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9C6662">
        <w:rPr>
          <w:rFonts w:eastAsia="Calibri"/>
          <w:b/>
          <w:lang w:val="lt-LT"/>
        </w:rPr>
        <w:t>BALANDŽIO</w:t>
      </w:r>
      <w:r w:rsidR="006E6FE9" w:rsidRPr="00E47362">
        <w:rPr>
          <w:rFonts w:eastAsia="Calibri"/>
          <w:b/>
          <w:lang w:val="lt-LT"/>
        </w:rPr>
        <w:t xml:space="preserve"> 16</w:t>
      </w:r>
      <w:r w:rsidRPr="00E47362">
        <w:rPr>
          <w:rFonts w:eastAsia="Calibri"/>
          <w:b/>
          <w:lang w:val="lt-LT"/>
        </w:rPr>
        <w:t xml:space="preserve"> D. </w:t>
      </w:r>
      <w:r w:rsidR="0032625D" w:rsidRPr="00E47362">
        <w:rPr>
          <w:rFonts w:eastAsia="Calibri"/>
          <w:b/>
          <w:lang w:val="lt-LT"/>
        </w:rPr>
        <w:t>EUROPOS SĄJUNGOS EKONOMIKOS IR FINANSŲ RE</w:t>
      </w:r>
      <w:r w:rsidR="0032625D" w:rsidRPr="00E47362">
        <w:rPr>
          <w:rFonts w:eastAsia="Calibri"/>
          <w:b/>
          <w:lang w:val="lt-LT"/>
        </w:rPr>
        <w:t>I</w:t>
      </w:r>
      <w:r w:rsidR="0032625D" w:rsidRPr="00E47362">
        <w:rPr>
          <w:rFonts w:eastAsia="Calibri"/>
          <w:b/>
          <w:lang w:val="lt-LT"/>
        </w:rPr>
        <w:t>KALŲ TARYBOS (ECOFIN) VAIZDO KONFER</w:t>
      </w:r>
      <w:r w:rsidR="00790FF5" w:rsidRPr="00E47362">
        <w:rPr>
          <w:rFonts w:eastAsia="Calibri"/>
          <w:b/>
          <w:lang w:val="lt-LT"/>
        </w:rPr>
        <w:t>ENCIJA</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5D3625" w:rsidTr="003A3602">
        <w:trPr>
          <w:trHeight w:val="1475"/>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C6662" w:rsidRPr="0098163A" w:rsidRDefault="0032625D" w:rsidP="00AF1B36">
            <w:pPr>
              <w:pStyle w:val="BodyA"/>
              <w:jc w:val="both"/>
              <w:rPr>
                <w:rFonts w:hAnsi="Times New Roman" w:cs="Times New Roman"/>
                <w:lang w:val="lt-LT"/>
              </w:rPr>
            </w:pPr>
            <w:r w:rsidRPr="00E47362">
              <w:rPr>
                <w:rFonts w:hAnsi="Times New Roman" w:cs="Times New Roman"/>
                <w:b/>
                <w:lang w:val="lt-LT"/>
              </w:rPr>
              <w:t>1.</w:t>
            </w:r>
            <w:r w:rsidRPr="00E47362">
              <w:rPr>
                <w:rFonts w:hAnsi="Times New Roman" w:cs="Times New Roman"/>
                <w:lang w:val="lt-LT"/>
              </w:rPr>
              <w:t xml:space="preserve"> </w:t>
            </w:r>
            <w:r w:rsidR="009C6662" w:rsidRPr="00D20000">
              <w:rPr>
                <w:rFonts w:hAnsi="Times New Roman" w:cs="Times New Roman"/>
                <w:b/>
                <w:lang w:val="lt-LT"/>
              </w:rPr>
              <w:t xml:space="preserve">Kapitalo rinkų sąjungos esama situacija: informacija dėl </w:t>
            </w:r>
            <w:r w:rsidR="00D20000" w:rsidRPr="00D20000">
              <w:rPr>
                <w:rFonts w:hAnsi="Times New Roman" w:cs="Times New Roman"/>
                <w:b/>
                <w:lang w:val="lt-LT"/>
              </w:rPr>
              <w:t>Europos bendro</w:t>
            </w:r>
            <w:r w:rsidR="00B6006E">
              <w:rPr>
                <w:rFonts w:hAnsi="Times New Roman" w:cs="Times New Roman"/>
                <w:b/>
                <w:lang w:val="lt-LT"/>
              </w:rPr>
              <w:t xml:space="preserve"> prieigos punkto </w:t>
            </w:r>
            <w:r w:rsidR="00D20000">
              <w:rPr>
                <w:rFonts w:hAnsi="Times New Roman" w:cs="Times New Roman"/>
                <w:lang w:val="lt-LT"/>
              </w:rPr>
              <w:t xml:space="preserve"> </w:t>
            </w:r>
            <w:r w:rsidR="009C6662">
              <w:rPr>
                <w:rFonts w:hAnsi="Times New Roman" w:cs="Times New Roman"/>
                <w:lang w:val="lt-LT"/>
              </w:rPr>
              <w:t>(</w:t>
            </w:r>
            <w:r w:rsidR="009C6662" w:rsidRPr="009C6662">
              <w:rPr>
                <w:rFonts w:hAnsi="Times New Roman" w:cs="Times New Roman"/>
                <w:i/>
                <w:lang w:val="lt-LT"/>
              </w:rPr>
              <w:t>Komisijos pristatymas</w:t>
            </w:r>
            <w:r w:rsidR="009C6662">
              <w:rPr>
                <w:rFonts w:hAnsi="Times New Roman" w:cs="Times New Roman"/>
                <w:lang w:val="lt-LT"/>
              </w:rPr>
              <w:t>)</w:t>
            </w:r>
          </w:p>
          <w:p w:rsidR="00B6006E" w:rsidRPr="00B6006E" w:rsidRDefault="00FD34ED" w:rsidP="00B6006E">
            <w:pPr>
              <w:pStyle w:val="BodyA"/>
              <w:jc w:val="both"/>
              <w:rPr>
                <w:rFonts w:hAnsi="Times New Roman" w:cs="Times New Roman"/>
                <w:lang w:val="lt-LT"/>
              </w:rPr>
            </w:pPr>
            <w:r w:rsidRPr="00A600FE">
              <w:rPr>
                <w:rFonts w:hAnsi="Times New Roman" w:cs="Times New Roman"/>
                <w:b/>
                <w:u w:val="single"/>
                <w:lang w:val="lt-LT"/>
              </w:rPr>
              <w:t>Klausimo esmė:</w:t>
            </w:r>
            <w:r w:rsidR="00EE1216" w:rsidRPr="00A600FE">
              <w:rPr>
                <w:rFonts w:hAnsi="Times New Roman" w:cs="Times New Roman"/>
                <w:lang w:val="lt-LT"/>
              </w:rPr>
              <w:t xml:space="preserve"> </w:t>
            </w:r>
            <w:r w:rsidR="00D20000">
              <w:rPr>
                <w:rFonts w:hAnsi="Times New Roman" w:cs="Times New Roman"/>
                <w:lang w:val="lt-LT"/>
              </w:rPr>
              <w:t>ECOFIN posėdyje bus pristatyta</w:t>
            </w:r>
            <w:r w:rsidR="00D20000" w:rsidRPr="00D20000">
              <w:rPr>
                <w:rFonts w:hAnsi="Times New Roman" w:cs="Times New Roman"/>
                <w:lang w:val="lt-LT"/>
              </w:rPr>
              <w:t xml:space="preserve"> aktuali informacija dėl </w:t>
            </w:r>
            <w:r w:rsidR="00B6006E">
              <w:rPr>
                <w:rFonts w:hAnsi="Times New Roman" w:cs="Times New Roman"/>
                <w:lang w:val="lt-LT"/>
              </w:rPr>
              <w:t xml:space="preserve">iniciatyvos sukurti </w:t>
            </w:r>
            <w:r w:rsidR="00D20000" w:rsidRPr="00D20000">
              <w:rPr>
                <w:rFonts w:hAnsi="Times New Roman" w:cs="Times New Roman"/>
                <w:lang w:val="lt-LT"/>
              </w:rPr>
              <w:t>Europos bendro priei</w:t>
            </w:r>
            <w:r w:rsidR="00B6006E">
              <w:rPr>
                <w:rFonts w:hAnsi="Times New Roman" w:cs="Times New Roman"/>
                <w:lang w:val="lt-LT"/>
              </w:rPr>
              <w:t>gos punktą</w:t>
            </w:r>
            <w:r w:rsidR="00D20000" w:rsidRPr="00D20000">
              <w:rPr>
                <w:rFonts w:hAnsi="Times New Roman" w:cs="Times New Roman"/>
                <w:lang w:val="lt-LT"/>
              </w:rPr>
              <w:t xml:space="preserve"> </w:t>
            </w:r>
            <w:r w:rsidR="00195B59">
              <w:rPr>
                <w:rFonts w:hAnsi="Times New Roman" w:cs="Times New Roman"/>
                <w:lang w:val="lt-LT"/>
              </w:rPr>
              <w:t xml:space="preserve">(angl. </w:t>
            </w:r>
            <w:r w:rsidR="00195B59" w:rsidRPr="00195B59">
              <w:rPr>
                <w:rFonts w:hAnsi="Times New Roman" w:cs="Times New Roman"/>
                <w:i/>
                <w:lang w:val="en-GB"/>
              </w:rPr>
              <w:t>Single Access Point</w:t>
            </w:r>
            <w:r w:rsidR="00D315D6">
              <w:rPr>
                <w:rFonts w:hAnsi="Times New Roman" w:cs="Times New Roman"/>
                <w:lang w:val="lt-LT"/>
              </w:rPr>
              <w:t xml:space="preserve">, </w:t>
            </w:r>
            <w:r w:rsidR="00B6006E">
              <w:rPr>
                <w:rFonts w:hAnsi="Times New Roman" w:cs="Times New Roman"/>
                <w:lang w:val="lt-LT"/>
              </w:rPr>
              <w:t>ESAP).</w:t>
            </w:r>
            <w:r w:rsidR="00D20000" w:rsidRPr="00D20000">
              <w:rPr>
                <w:rFonts w:hAnsi="Times New Roman" w:cs="Times New Roman"/>
                <w:lang w:val="lt-LT"/>
              </w:rPr>
              <w:t xml:space="preserve"> </w:t>
            </w:r>
            <w:r w:rsidR="00B6006E" w:rsidRPr="00B6006E">
              <w:rPr>
                <w:rFonts w:hAnsi="Times New Roman" w:cs="Times New Roman"/>
                <w:lang w:val="lt-LT"/>
              </w:rPr>
              <w:t xml:space="preserve">ESAP sukūrimas – tai viena iš 2020 m. rugsėjo 24 d. atnaujinto Kapitalo rinkų Sąjungos (CMU) veiksmų plano priemonių. Šiame plane numatyta, kad </w:t>
            </w:r>
            <w:r w:rsidR="00B6006E">
              <w:rPr>
                <w:rFonts w:hAnsi="Times New Roman" w:cs="Times New Roman"/>
                <w:lang w:val="lt-LT"/>
              </w:rPr>
              <w:t xml:space="preserve">Europos </w:t>
            </w:r>
            <w:r w:rsidR="00B6006E" w:rsidRPr="00B6006E">
              <w:rPr>
                <w:rFonts w:hAnsi="Times New Roman" w:cs="Times New Roman"/>
                <w:lang w:val="lt-LT"/>
              </w:rPr>
              <w:t xml:space="preserve">Komisija </w:t>
            </w:r>
            <w:r w:rsidR="00B6006E">
              <w:rPr>
                <w:rFonts w:hAnsi="Times New Roman" w:cs="Times New Roman"/>
                <w:lang w:val="lt-LT"/>
              </w:rPr>
              <w:t xml:space="preserve">(toliau – EK) </w:t>
            </w:r>
            <w:r w:rsidR="00B6006E" w:rsidRPr="00B6006E">
              <w:rPr>
                <w:rFonts w:hAnsi="Times New Roman" w:cs="Times New Roman"/>
                <w:lang w:val="lt-LT"/>
              </w:rPr>
              <w:t xml:space="preserve">pasiūlys sukurti ES masto platformą (Europos bendrą prieigos punktą), kuri palengvintų investuotojams prieigą prie finansinės ir su tvarumu susijusios informacijos apie ES įmones, ypač </w:t>
            </w:r>
            <w:r w:rsidR="00B6006E">
              <w:rPr>
                <w:rFonts w:hAnsi="Times New Roman" w:cs="Times New Roman"/>
                <w:lang w:val="lt-LT"/>
              </w:rPr>
              <w:t xml:space="preserve">smulkų ir vidutinį verslą (toliau – </w:t>
            </w:r>
            <w:r w:rsidR="00B6006E" w:rsidRPr="00B6006E">
              <w:rPr>
                <w:rFonts w:hAnsi="Times New Roman" w:cs="Times New Roman"/>
                <w:lang w:val="lt-LT"/>
              </w:rPr>
              <w:t>SVV</w:t>
            </w:r>
            <w:r w:rsidR="00B6006E">
              <w:rPr>
                <w:rFonts w:hAnsi="Times New Roman" w:cs="Times New Roman"/>
                <w:lang w:val="lt-LT"/>
              </w:rPr>
              <w:t>)</w:t>
            </w:r>
            <w:r w:rsidR="00B6006E" w:rsidRPr="00B6006E">
              <w:rPr>
                <w:rFonts w:hAnsi="Times New Roman" w:cs="Times New Roman"/>
                <w:lang w:val="lt-LT"/>
              </w:rPr>
              <w:t>. Tai leistų investuotojams lengviau gauti ir sulyginti ES įmonių viešai skelbiamą informaciją, kuri būtų pateikiama vienoje erdvėje, taip pat sumažintų duomenų fragmentaciją (šiuo metu i</w:t>
            </w:r>
            <w:r w:rsidR="00B6006E" w:rsidRPr="00B6006E">
              <w:rPr>
                <w:rFonts w:hAnsi="Times New Roman" w:cs="Times New Roman"/>
                <w:lang w:val="lt-LT"/>
              </w:rPr>
              <w:t>n</w:t>
            </w:r>
            <w:r w:rsidR="00B6006E" w:rsidRPr="00B6006E">
              <w:rPr>
                <w:rFonts w:hAnsi="Times New Roman" w:cs="Times New Roman"/>
                <w:lang w:val="lt-LT"/>
              </w:rPr>
              <w:t>formacija pateikiama skirtingomis kalbomis ir formatais, o tai apsunkina duomenų apdorojimą ir jų analizavi</w:t>
            </w:r>
            <w:r w:rsidR="00B6006E">
              <w:rPr>
                <w:rFonts w:hAnsi="Times New Roman" w:cs="Times New Roman"/>
                <w:lang w:val="lt-LT"/>
              </w:rPr>
              <w:t xml:space="preserve">mą). </w:t>
            </w:r>
            <w:r w:rsidR="00B6006E" w:rsidRPr="00B6006E">
              <w:rPr>
                <w:rFonts w:hAnsi="Times New Roman" w:cs="Times New Roman"/>
                <w:lang w:val="lt-LT"/>
              </w:rPr>
              <w:t xml:space="preserve">ESAP leistų mažiau išvystytomis kapitalo rinkomis labiau integruotis į bendrąją erdvę ir tapti matomesnėmis tarpvalstybiniams investuotojams. </w:t>
            </w:r>
          </w:p>
          <w:p w:rsidR="00B6006E" w:rsidRPr="00B6006E" w:rsidRDefault="00B6006E" w:rsidP="00B6006E">
            <w:pPr>
              <w:pStyle w:val="BodyA"/>
              <w:jc w:val="both"/>
              <w:rPr>
                <w:rFonts w:hAnsi="Times New Roman" w:cs="Times New Roman"/>
                <w:lang w:val="lt-LT"/>
              </w:rPr>
            </w:pPr>
            <w:r w:rsidRPr="00B6006E">
              <w:rPr>
                <w:rFonts w:hAnsi="Times New Roman" w:cs="Times New Roman"/>
                <w:lang w:val="lt-LT"/>
              </w:rPr>
              <w:t>ESAP yra ne tik CMU plano dalis, tačiau ir atnaujintos skaitmeninių finansų strategijos dalis. Be to, šioje platformoje numatoma teikti informacija taip pat turėtų padidinti su tvarumu susijusių duomenų prieinamumą, nukreipti daugiau investicijų į tvarią veiklą ir padėti siekti Europos ž</w:t>
            </w:r>
            <w:r w:rsidRPr="00B6006E">
              <w:rPr>
                <w:rFonts w:hAnsi="Times New Roman" w:cs="Times New Roman"/>
                <w:lang w:val="lt-LT"/>
              </w:rPr>
              <w:t>a</w:t>
            </w:r>
            <w:r w:rsidRPr="00B6006E">
              <w:rPr>
                <w:rFonts w:hAnsi="Times New Roman" w:cs="Times New Roman"/>
                <w:lang w:val="lt-LT"/>
              </w:rPr>
              <w:t>liojo kurso tikslų.</w:t>
            </w:r>
          </w:p>
          <w:p w:rsidR="00B6006E" w:rsidRPr="00B6006E" w:rsidRDefault="00B6006E" w:rsidP="00B6006E">
            <w:pPr>
              <w:pStyle w:val="BodyA"/>
              <w:jc w:val="both"/>
              <w:rPr>
                <w:rFonts w:hAnsi="Times New Roman" w:cs="Times New Roman"/>
                <w:lang w:val="lt-LT"/>
              </w:rPr>
            </w:pPr>
            <w:r w:rsidRPr="00B6006E">
              <w:rPr>
                <w:rFonts w:hAnsi="Times New Roman" w:cs="Times New Roman"/>
                <w:lang w:val="lt-LT"/>
              </w:rPr>
              <w:t>Šių metų sausio 20 d. – kovo 12 d. EK rengė viešas konsultacijas dėl ESAP sukūrimo, kuriomis buvo siekiama surinkti nuomones iš suinteresuotų subjektų.</w:t>
            </w:r>
          </w:p>
          <w:p w:rsidR="00406FB1" w:rsidRDefault="00B6006E" w:rsidP="00B6006E">
            <w:pPr>
              <w:pStyle w:val="BodyA"/>
              <w:jc w:val="both"/>
              <w:rPr>
                <w:rFonts w:hAnsi="Times New Roman" w:cs="Times New Roman"/>
                <w:lang w:val="lt-LT"/>
              </w:rPr>
            </w:pPr>
            <w:r w:rsidRPr="00B6006E">
              <w:rPr>
                <w:rFonts w:hAnsi="Times New Roman" w:cs="Times New Roman"/>
                <w:lang w:val="lt-LT"/>
              </w:rPr>
              <w:t>Europos Komisijos teisinis pasiūlymas dėl ESAP bus teikiamas kartu su pasiūlymu dėl prieži</w:t>
            </w:r>
            <w:r w:rsidRPr="00B6006E">
              <w:rPr>
                <w:rFonts w:hAnsi="Times New Roman" w:cs="Times New Roman"/>
                <w:lang w:val="lt-LT"/>
              </w:rPr>
              <w:t>ū</w:t>
            </w:r>
            <w:r w:rsidRPr="00B6006E">
              <w:rPr>
                <w:rFonts w:hAnsi="Times New Roman" w:cs="Times New Roman"/>
                <w:lang w:val="lt-LT"/>
              </w:rPr>
              <w:t>ros duomenų strategijos sukūrimo (</w:t>
            </w:r>
            <w:proofErr w:type="spellStart"/>
            <w:r w:rsidRPr="00B6006E">
              <w:rPr>
                <w:rFonts w:hAnsi="Times New Roman" w:cs="Times New Roman"/>
                <w:i/>
                <w:lang w:val="lt-LT"/>
              </w:rPr>
              <w:t>Supervisory</w:t>
            </w:r>
            <w:proofErr w:type="spellEnd"/>
            <w:r w:rsidRPr="00B6006E">
              <w:rPr>
                <w:rFonts w:hAnsi="Times New Roman" w:cs="Times New Roman"/>
                <w:i/>
                <w:lang w:val="lt-LT"/>
              </w:rPr>
              <w:t xml:space="preserve"> data </w:t>
            </w:r>
            <w:proofErr w:type="spellStart"/>
            <w:r w:rsidRPr="00B6006E">
              <w:rPr>
                <w:rFonts w:hAnsi="Times New Roman" w:cs="Times New Roman"/>
                <w:i/>
                <w:lang w:val="lt-LT"/>
              </w:rPr>
              <w:t>strategy</w:t>
            </w:r>
            <w:proofErr w:type="spellEnd"/>
            <w:r w:rsidRPr="00B6006E">
              <w:rPr>
                <w:rFonts w:hAnsi="Times New Roman" w:cs="Times New Roman"/>
                <w:lang w:val="lt-LT"/>
              </w:rPr>
              <w:t xml:space="preserve">). </w:t>
            </w:r>
            <w:r>
              <w:rPr>
                <w:rFonts w:hAnsi="Times New Roman" w:cs="Times New Roman"/>
                <w:lang w:val="lt-LT"/>
              </w:rPr>
              <w:t xml:space="preserve">EK </w:t>
            </w:r>
            <w:r w:rsidRPr="00B6006E">
              <w:rPr>
                <w:rFonts w:hAnsi="Times New Roman" w:cs="Times New Roman"/>
                <w:lang w:val="lt-LT"/>
              </w:rPr>
              <w:t>planuoja pateikti teisinius pasiūlymus 2021 m. pabaigoje.</w:t>
            </w:r>
          </w:p>
          <w:p w:rsidR="001B199F" w:rsidRPr="00A600FE" w:rsidRDefault="001B199F" w:rsidP="001B199F">
            <w:pPr>
              <w:pStyle w:val="BodyA"/>
              <w:jc w:val="both"/>
              <w:rPr>
                <w:rFonts w:eastAsia="Times New Roman Bold" w:hAnsi="Times New Roman" w:cs="Times New Roman"/>
                <w:u w:val="single"/>
                <w:lang w:val="lt-LT"/>
              </w:rPr>
            </w:pPr>
          </w:p>
          <w:p w:rsidR="00D65D3A" w:rsidRDefault="00EE1216" w:rsidP="001B199F">
            <w:pPr>
              <w:pStyle w:val="BodyA"/>
              <w:jc w:val="both"/>
              <w:rPr>
                <w:rFonts w:hAnsi="Times New Roman" w:cs="Times New Roman"/>
                <w:lang w:val="lt-LT"/>
              </w:rPr>
            </w:pPr>
            <w:r w:rsidRPr="00A600FE">
              <w:rPr>
                <w:rFonts w:hAnsi="Times New Roman" w:cs="Times New Roman"/>
                <w:b/>
                <w:u w:val="single"/>
                <w:lang w:val="lt-LT"/>
              </w:rPr>
              <w:t>Lietuvos pozicija.</w:t>
            </w:r>
            <w:r w:rsidRPr="00A600FE">
              <w:rPr>
                <w:rFonts w:hAnsi="Times New Roman" w:cs="Times New Roman"/>
                <w:lang w:val="lt-LT"/>
              </w:rPr>
              <w:t xml:space="preserve"> </w:t>
            </w:r>
            <w:r w:rsidR="00B6006E" w:rsidRPr="00B6006E">
              <w:rPr>
                <w:rFonts w:hAnsi="Times New Roman" w:cs="Times New Roman"/>
                <w:lang w:val="lt-LT"/>
              </w:rPr>
              <w:t xml:space="preserve">Palaikome </w:t>
            </w:r>
            <w:r w:rsidR="00B6006E">
              <w:rPr>
                <w:rFonts w:hAnsi="Times New Roman" w:cs="Times New Roman"/>
                <w:lang w:val="lt-LT"/>
              </w:rPr>
              <w:t xml:space="preserve">EK </w:t>
            </w:r>
            <w:r w:rsidR="00B6006E" w:rsidRPr="00B6006E">
              <w:rPr>
                <w:rFonts w:hAnsi="Times New Roman" w:cs="Times New Roman"/>
                <w:lang w:val="lt-LT"/>
              </w:rPr>
              <w:t>iniciatyvą dėl ESAP. Pritariame, kad būtina sukurti bendrą duomenų bazę, kurioje investuotojai galėtų gauti informaciją apie įmones. Tikime, kad ESAP sukūrimas padės ES įmonėms, ypač SVV, pritraukti naujų investuotojų. Pažymime, kad spre</w:t>
            </w:r>
            <w:r w:rsidR="00B6006E" w:rsidRPr="00B6006E">
              <w:rPr>
                <w:rFonts w:hAnsi="Times New Roman" w:cs="Times New Roman"/>
                <w:lang w:val="lt-LT"/>
              </w:rPr>
              <w:t>n</w:t>
            </w:r>
            <w:r w:rsidR="00B6006E" w:rsidRPr="00B6006E">
              <w:rPr>
                <w:rFonts w:hAnsi="Times New Roman" w:cs="Times New Roman"/>
                <w:lang w:val="lt-LT"/>
              </w:rPr>
              <w:t>džiant dėl informacijos apimties ir struktūros, visų pirma reikėtų atsižvelgti į esamą duomenų rinkimo infrastruktūrą ir įvertinti kaip ją išnaudoti, siekiant, kad toks informacijos atskleidimas uždėtų kuo mažesnę administracinę naštą įmonėms.</w:t>
            </w:r>
          </w:p>
          <w:p w:rsidR="001B199F" w:rsidRPr="00E47362" w:rsidRDefault="001B199F" w:rsidP="001B199F">
            <w:pPr>
              <w:pStyle w:val="BodyA"/>
              <w:jc w:val="both"/>
              <w:rPr>
                <w:rFonts w:hAnsi="Times New Roman" w:cs="Times New Roman"/>
                <w:lang w:val="lt-LT"/>
              </w:rPr>
            </w:pPr>
          </w:p>
          <w:p w:rsidR="009C6662" w:rsidRDefault="0032625D" w:rsidP="0032625D">
            <w:pPr>
              <w:pStyle w:val="BodyA"/>
              <w:jc w:val="both"/>
              <w:rPr>
                <w:rFonts w:hAnsi="Times New Roman" w:cs="Times New Roman"/>
                <w:b/>
                <w:lang w:val="lt-LT"/>
              </w:rPr>
            </w:pPr>
            <w:r w:rsidRPr="00E47362">
              <w:rPr>
                <w:rFonts w:hAnsi="Times New Roman" w:cs="Times New Roman"/>
                <w:b/>
                <w:lang w:val="lt-LT"/>
              </w:rPr>
              <w:t>2.</w:t>
            </w:r>
            <w:r w:rsidRPr="00E47362">
              <w:rPr>
                <w:rFonts w:hAnsi="Times New Roman" w:cs="Times New Roman"/>
                <w:lang w:val="lt-LT"/>
              </w:rPr>
              <w:t xml:space="preserve"> </w:t>
            </w:r>
            <w:r w:rsidR="00AF1B36">
              <w:rPr>
                <w:rFonts w:hAnsi="Times New Roman" w:cs="Times New Roman"/>
                <w:b/>
                <w:lang w:val="lt-LT"/>
              </w:rPr>
              <w:t>E</w:t>
            </w:r>
            <w:r w:rsidR="00AF1B36" w:rsidRPr="00AF1B36">
              <w:rPr>
                <w:rFonts w:hAnsi="Times New Roman" w:cs="Times New Roman"/>
                <w:b/>
                <w:lang w:val="lt-LT"/>
              </w:rPr>
              <w:t xml:space="preserve">konomikos </w:t>
            </w:r>
            <w:r w:rsidR="009C6662">
              <w:rPr>
                <w:rFonts w:hAnsi="Times New Roman" w:cs="Times New Roman"/>
                <w:b/>
                <w:lang w:val="lt-LT"/>
              </w:rPr>
              <w:t>atsigavimas Europoje</w:t>
            </w:r>
          </w:p>
          <w:p w:rsidR="0032625D" w:rsidRPr="0098163A" w:rsidRDefault="009C6662" w:rsidP="002C15B7">
            <w:pPr>
              <w:pStyle w:val="BodyA"/>
              <w:jc w:val="both"/>
              <w:rPr>
                <w:rFonts w:hAnsi="Times New Roman" w:cs="Times New Roman"/>
                <w:lang w:val="lt-LT"/>
              </w:rPr>
            </w:pPr>
            <w:r>
              <w:rPr>
                <w:rFonts w:hAnsi="Times New Roman" w:cs="Times New Roman"/>
                <w:b/>
                <w:lang w:val="lt-LT"/>
              </w:rPr>
              <w:t xml:space="preserve">a) Ekonominė situacija ir perspektyvos </w:t>
            </w:r>
            <w:r>
              <w:rPr>
                <w:rFonts w:hAnsi="Times New Roman" w:cs="Times New Roman"/>
                <w:i/>
                <w:lang w:val="lt-LT"/>
              </w:rPr>
              <w:t>(Apsikeitimas nuomonėmis</w:t>
            </w:r>
            <w:r w:rsidR="00085F32" w:rsidRPr="00E47362">
              <w:rPr>
                <w:rFonts w:hAnsi="Times New Roman" w:cs="Times New Roman"/>
                <w:i/>
                <w:lang w:val="lt-LT"/>
              </w:rPr>
              <w:t>)</w:t>
            </w:r>
          </w:p>
          <w:p w:rsidR="00AF1B36" w:rsidRDefault="00816959" w:rsidP="009C6662">
            <w:pPr>
              <w:pStyle w:val="BodyA"/>
              <w:jc w:val="both"/>
              <w:rPr>
                <w:rFonts w:hAnsi="Times New Roman" w:cs="Times New Roman"/>
                <w:lang w:val="lt-LT"/>
              </w:rPr>
            </w:pPr>
            <w:r w:rsidRPr="00E47362">
              <w:rPr>
                <w:rFonts w:hAnsi="Times New Roman" w:cs="Times New Roman"/>
                <w:b/>
                <w:u w:val="single"/>
                <w:lang w:val="lt-LT"/>
              </w:rPr>
              <w:t>Klausimo esmė.</w:t>
            </w:r>
            <w:r w:rsidRPr="00E47362">
              <w:rPr>
                <w:rFonts w:hAnsi="Times New Roman" w:cs="Times New Roman"/>
                <w:lang w:val="lt-LT"/>
              </w:rPr>
              <w:t xml:space="preserve"> </w:t>
            </w:r>
            <w:r w:rsidR="00856CFA" w:rsidRPr="00856CFA">
              <w:rPr>
                <w:rFonts w:hAnsi="Times New Roman" w:cs="Times New Roman"/>
                <w:lang w:val="lt-LT"/>
              </w:rPr>
              <w:t xml:space="preserve">Remiantis vasario 11 d. tarpinėmis (atnaujinti tik BVP ir infliacijos rodikliai) EK prognozėmis, </w:t>
            </w:r>
            <w:r w:rsidR="00195B59" w:rsidRPr="00856CFA">
              <w:rPr>
                <w:rFonts w:hAnsi="Times New Roman" w:cs="Times New Roman"/>
                <w:lang w:val="lt-LT"/>
              </w:rPr>
              <w:t xml:space="preserve">dėl antros pandemijos bangos </w:t>
            </w:r>
            <w:r w:rsidR="00856CFA" w:rsidRPr="00856CFA">
              <w:rPr>
                <w:rFonts w:hAnsi="Times New Roman" w:cs="Times New Roman"/>
                <w:lang w:val="lt-LT"/>
              </w:rPr>
              <w:t>artimiausia ES ekonomikos ateitis atrodo pra</w:t>
            </w:r>
            <w:r w:rsidR="00856CFA" w:rsidRPr="00856CFA">
              <w:rPr>
                <w:rFonts w:hAnsi="Times New Roman" w:cs="Times New Roman"/>
                <w:lang w:val="lt-LT"/>
              </w:rPr>
              <w:t>s</w:t>
            </w:r>
            <w:r w:rsidR="00856CFA" w:rsidRPr="00856CFA">
              <w:rPr>
                <w:rFonts w:hAnsi="Times New Roman" w:cs="Times New Roman"/>
                <w:lang w:val="lt-LT"/>
              </w:rPr>
              <w:t>tesnė nei tikėtasi rudenį. Nepaisant to, prasidėjęs vakcinavimas, Brexit susitarimas ir spartus bei sėkmingas Next Generation EU įgyvendinimas gali paspartinti atsigavimą, bet neapibrėžtumas išlieka didelis. 2020 m. BVP ES krito 6,3 proc. EZ 6,8 proc. Tikimasi, kad 202</w:t>
            </w:r>
            <w:r w:rsidR="00D315D6">
              <w:rPr>
                <w:rFonts w:hAnsi="Times New Roman" w:cs="Times New Roman"/>
                <w:lang w:val="lt-LT"/>
              </w:rPr>
              <w:t xml:space="preserve">1 m. ES BVP augs 3,7 proc., o euro zonos (toliau – EZ) BVP - </w:t>
            </w:r>
            <w:r w:rsidR="00856CFA" w:rsidRPr="00856CFA">
              <w:rPr>
                <w:rFonts w:hAnsi="Times New Roman" w:cs="Times New Roman"/>
                <w:lang w:val="lt-LT"/>
              </w:rPr>
              <w:t xml:space="preserve">3,8 proc. 2022 m. tikimasi, kad </w:t>
            </w:r>
            <w:r w:rsidR="00D315D6">
              <w:rPr>
                <w:rFonts w:hAnsi="Times New Roman" w:cs="Times New Roman"/>
                <w:lang w:val="lt-LT"/>
              </w:rPr>
              <w:t xml:space="preserve">ES BVP augs 3,9 proc., o EZ BVP - </w:t>
            </w:r>
            <w:r w:rsidR="00856CFA" w:rsidRPr="00856CFA">
              <w:rPr>
                <w:rFonts w:hAnsi="Times New Roman" w:cs="Times New Roman"/>
                <w:lang w:val="lt-LT"/>
              </w:rPr>
              <w:t>3,8 proc.</w:t>
            </w:r>
          </w:p>
          <w:p w:rsidR="00856CFA" w:rsidRPr="00E47362" w:rsidRDefault="00856CFA" w:rsidP="00856CFA">
            <w:pPr>
              <w:pStyle w:val="BodyA"/>
              <w:jc w:val="both"/>
              <w:rPr>
                <w:rFonts w:hAnsi="Times New Roman" w:cs="Times New Roman"/>
                <w:lang w:val="lt-LT"/>
              </w:rPr>
            </w:pPr>
            <w:r w:rsidRPr="00856CFA">
              <w:rPr>
                <w:rFonts w:hAnsi="Times New Roman" w:cs="Times New Roman"/>
                <w:lang w:val="lt-LT"/>
              </w:rPr>
              <w:t xml:space="preserve">Remiantis kovo 19 d. </w:t>
            </w:r>
            <w:r>
              <w:rPr>
                <w:rFonts w:hAnsi="Times New Roman" w:cs="Times New Roman"/>
                <w:lang w:val="lt-LT"/>
              </w:rPr>
              <w:t xml:space="preserve">Finansų ministerijos </w:t>
            </w:r>
            <w:r w:rsidRPr="00856CFA">
              <w:rPr>
                <w:rFonts w:hAnsi="Times New Roman" w:cs="Times New Roman"/>
                <w:lang w:val="lt-LT"/>
              </w:rPr>
              <w:t>paskelbtu Ekonominės ra</w:t>
            </w:r>
            <w:r>
              <w:rPr>
                <w:rFonts w:hAnsi="Times New Roman" w:cs="Times New Roman"/>
                <w:lang w:val="lt-LT"/>
              </w:rPr>
              <w:t xml:space="preserve">idos scenarijumi, </w:t>
            </w:r>
            <w:r w:rsidRPr="00856CFA">
              <w:rPr>
                <w:rFonts w:hAnsi="Times New Roman" w:cs="Times New Roman"/>
                <w:lang w:val="lt-LT"/>
              </w:rPr>
              <w:t>2021 m</w:t>
            </w:r>
            <w:r w:rsidRPr="00856CFA">
              <w:rPr>
                <w:rFonts w:hAnsi="Times New Roman" w:cs="Times New Roman"/>
                <w:lang w:val="lt-LT"/>
              </w:rPr>
              <w:t>e</w:t>
            </w:r>
            <w:r w:rsidRPr="00856CFA">
              <w:rPr>
                <w:rFonts w:hAnsi="Times New Roman" w:cs="Times New Roman"/>
                <w:lang w:val="lt-LT"/>
              </w:rPr>
              <w:t>tais Lietuvos ekonomika galėtų augti 2,6 proc., o vėlesniais</w:t>
            </w:r>
            <w:r w:rsidR="00195B59">
              <w:rPr>
                <w:rFonts w:hAnsi="Times New Roman" w:cs="Times New Roman"/>
                <w:lang w:val="lt-LT"/>
              </w:rPr>
              <w:t xml:space="preserve"> metais</w:t>
            </w:r>
            <w:r w:rsidRPr="00856CFA">
              <w:rPr>
                <w:rFonts w:hAnsi="Times New Roman" w:cs="Times New Roman"/>
                <w:lang w:val="lt-LT"/>
              </w:rPr>
              <w:t xml:space="preserve"> tikėtinas ekonomikos atsig</w:t>
            </w:r>
            <w:r w:rsidRPr="00856CFA">
              <w:rPr>
                <w:rFonts w:hAnsi="Times New Roman" w:cs="Times New Roman"/>
                <w:lang w:val="lt-LT"/>
              </w:rPr>
              <w:t>a</w:t>
            </w:r>
            <w:r w:rsidRPr="00856CFA">
              <w:rPr>
                <w:rFonts w:hAnsi="Times New Roman" w:cs="Times New Roman"/>
                <w:lang w:val="lt-LT"/>
              </w:rPr>
              <w:t>vimo paspartėjimas – BVP galėtų augti vidutiniškai po 3,2 proc. per metus. 2020 m. COVID-19 pandemija reikšmingai pablogino darbo rinkos būklę šalyje. Nedarbo lygis, apskaičiuotas pagal gyventojų užimtumo tyrimo metodologiją, 2020 m. padidėjo 2,2 procentinio punkto iki 8,5 proc., o užimtų gyventojų sumažėjo 1,5 procento.</w:t>
            </w:r>
          </w:p>
          <w:p w:rsidR="00816959" w:rsidRPr="00E47362" w:rsidRDefault="00816959" w:rsidP="00816959">
            <w:pPr>
              <w:pStyle w:val="BodyA"/>
              <w:jc w:val="both"/>
              <w:rPr>
                <w:rFonts w:hAnsi="Times New Roman" w:cs="Times New Roman"/>
                <w:lang w:val="lt-LT"/>
              </w:rPr>
            </w:pPr>
          </w:p>
          <w:p w:rsidR="00816959" w:rsidRDefault="00816959" w:rsidP="009C6662">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4C5342" w:rsidRPr="004C5342">
              <w:rPr>
                <w:rFonts w:hAnsi="Times New Roman" w:cs="Times New Roman"/>
                <w:lang w:val="lt-LT"/>
              </w:rPr>
              <w:t>Išklausyti informaciją.</w:t>
            </w:r>
          </w:p>
          <w:p w:rsidR="009C6662" w:rsidRDefault="009C6662" w:rsidP="009C6662">
            <w:pPr>
              <w:pStyle w:val="BodyA"/>
              <w:jc w:val="both"/>
              <w:rPr>
                <w:rFonts w:hAnsi="Times New Roman" w:cs="Times New Roman"/>
                <w:lang w:val="lt-LT"/>
              </w:rPr>
            </w:pPr>
          </w:p>
          <w:p w:rsidR="009C6662" w:rsidRDefault="009C6662" w:rsidP="009C6662">
            <w:pPr>
              <w:pStyle w:val="BodyA"/>
              <w:jc w:val="both"/>
              <w:rPr>
                <w:rFonts w:hAnsi="Times New Roman" w:cs="Times New Roman"/>
                <w:lang w:val="lt-LT"/>
              </w:rPr>
            </w:pPr>
            <w:r>
              <w:rPr>
                <w:rFonts w:hAnsi="Times New Roman" w:cs="Times New Roman"/>
                <w:lang w:val="lt-LT"/>
              </w:rPr>
              <w:lastRenderedPageBreak/>
              <w:t xml:space="preserve">b) </w:t>
            </w:r>
            <w:r w:rsidRPr="00E24F35">
              <w:rPr>
                <w:rFonts w:hAnsi="Times New Roman" w:cs="Times New Roman"/>
                <w:b/>
                <w:lang w:val="lt-LT"/>
              </w:rPr>
              <w:t xml:space="preserve">Ekonomikos gaivinimo ir atsparumo didinimo priemonės </w:t>
            </w:r>
            <w:r>
              <w:rPr>
                <w:rFonts w:hAnsi="Times New Roman" w:cs="Times New Roman"/>
                <w:b/>
                <w:lang w:val="lt-LT"/>
              </w:rPr>
              <w:t xml:space="preserve">(RRF) </w:t>
            </w:r>
            <w:r w:rsidRPr="00E24F35">
              <w:rPr>
                <w:rFonts w:hAnsi="Times New Roman" w:cs="Times New Roman"/>
                <w:b/>
                <w:lang w:val="lt-LT"/>
              </w:rPr>
              <w:t>įgyvendinimas</w:t>
            </w:r>
          </w:p>
          <w:p w:rsidR="009C6662" w:rsidRPr="00E24F35" w:rsidRDefault="009C6662" w:rsidP="009C6662">
            <w:pPr>
              <w:pStyle w:val="BodyA"/>
              <w:jc w:val="both"/>
              <w:rPr>
                <w:rFonts w:hAnsi="Times New Roman" w:cs="Times New Roman"/>
                <w:i/>
                <w:lang w:val="lt-LT"/>
              </w:rPr>
            </w:pPr>
            <w:r w:rsidRPr="00E24F35">
              <w:rPr>
                <w:rFonts w:hAnsi="Times New Roman" w:cs="Times New Roman"/>
                <w:i/>
                <w:lang w:val="lt-LT"/>
              </w:rPr>
              <w:t>(Esama situacija ir apsikeitimas nuomonėmis</w:t>
            </w:r>
            <w:r w:rsidRPr="00E24F35">
              <w:rPr>
                <w:rFonts w:hAnsi="Times New Roman" w:cs="Times New Roman"/>
                <w:lang w:val="lt-LT"/>
              </w:rPr>
              <w:t>)</w:t>
            </w:r>
          </w:p>
          <w:p w:rsidR="004C5342" w:rsidRPr="00AA492E" w:rsidRDefault="009C6662" w:rsidP="004C5342">
            <w:pPr>
              <w:pStyle w:val="BodyA"/>
              <w:jc w:val="both"/>
              <w:rPr>
                <w:rFonts w:hAnsi="Times New Roman" w:cs="Times New Roman"/>
                <w:lang w:val="lt-LT"/>
              </w:rPr>
            </w:pPr>
            <w:r w:rsidRPr="00E24F35">
              <w:rPr>
                <w:rFonts w:hAnsi="Times New Roman" w:cs="Times New Roman"/>
                <w:b/>
                <w:u w:val="single"/>
                <w:lang w:val="lt-LT"/>
              </w:rPr>
              <w:t>Klausimo esmė:</w:t>
            </w:r>
            <w:r>
              <w:rPr>
                <w:rFonts w:hAnsi="Times New Roman" w:cs="Times New Roman"/>
                <w:b/>
                <w:u w:val="single"/>
                <w:lang w:val="lt-LT"/>
              </w:rPr>
              <w:t xml:space="preserve"> </w:t>
            </w:r>
            <w:r w:rsidR="004C5342" w:rsidRPr="00E24F35">
              <w:rPr>
                <w:rFonts w:hAnsi="Times New Roman" w:cs="Times New Roman"/>
                <w:lang w:val="lt-LT"/>
              </w:rPr>
              <w:t xml:space="preserve">Lietuva šiuo metu intensyviai rengia nacionalinį RRF planą. Plano rengimo </w:t>
            </w:r>
            <w:r w:rsidR="004C5342" w:rsidRPr="00AA492E">
              <w:rPr>
                <w:rFonts w:hAnsi="Times New Roman" w:cs="Times New Roman"/>
                <w:lang w:val="lt-LT"/>
              </w:rPr>
              <w:t xml:space="preserve">koordinatorius – Finansų ministerija, tačiau į procesą yra įsitraukiusios iš esmės beveik visos ministerijos ir įvairios </w:t>
            </w:r>
            <w:r w:rsidR="001B199F">
              <w:rPr>
                <w:rFonts w:hAnsi="Times New Roman" w:cs="Times New Roman"/>
                <w:lang w:val="lt-LT"/>
              </w:rPr>
              <w:t>viešojo sektoriaus institucijos.</w:t>
            </w:r>
            <w:r w:rsidR="004C5342" w:rsidRPr="00AA492E">
              <w:rPr>
                <w:rFonts w:hAnsi="Times New Roman" w:cs="Times New Roman"/>
                <w:lang w:val="lt-LT"/>
              </w:rPr>
              <w:t xml:space="preserve"> Lietuvai skirta RRF dotacijų suma – 2,225 mlrd. Eur</w:t>
            </w:r>
            <w:r w:rsidR="004C5342">
              <w:rPr>
                <w:rFonts w:hAnsi="Times New Roman" w:cs="Times New Roman"/>
                <w:lang w:val="lt-LT"/>
              </w:rPr>
              <w:t>.</w:t>
            </w:r>
            <w:r w:rsidR="004C5342" w:rsidRPr="00AA492E">
              <w:rPr>
                <w:rFonts w:hAnsi="Times New Roman" w:cs="Times New Roman"/>
                <w:lang w:val="lt-LT"/>
              </w:rPr>
              <w:t xml:space="preserve"> Lėšos turi būti panaudotos iki 2026 m. rugpjūčio pab. Lėšų išmokėjimas susiejamas su rezultatais t.y. Europos Komisija (EK) kompensuoja </w:t>
            </w:r>
            <w:r w:rsidR="00195B59">
              <w:rPr>
                <w:rFonts w:hAnsi="Times New Roman" w:cs="Times New Roman"/>
                <w:lang w:val="lt-LT"/>
              </w:rPr>
              <w:t>reformų ir investicijų</w:t>
            </w:r>
            <w:r w:rsidR="00195B59" w:rsidRPr="00AA492E">
              <w:rPr>
                <w:rFonts w:hAnsi="Times New Roman" w:cs="Times New Roman"/>
                <w:lang w:val="lt-LT"/>
              </w:rPr>
              <w:t xml:space="preserve"> </w:t>
            </w:r>
            <w:r w:rsidR="004C5342" w:rsidRPr="00AA492E">
              <w:rPr>
                <w:rFonts w:hAnsi="Times New Roman" w:cs="Times New Roman"/>
                <w:lang w:val="lt-LT"/>
              </w:rPr>
              <w:t>išlaidas, pasiekus užsibrėžtus rodiklius</w:t>
            </w:r>
            <w:r w:rsidR="004C5342">
              <w:rPr>
                <w:rFonts w:hAnsi="Times New Roman" w:cs="Times New Roman"/>
                <w:lang w:val="lt-LT"/>
              </w:rPr>
              <w:t xml:space="preserve"> (vyks reguliarios tikslų ir rodiklių pasiekimo peržiūros</w:t>
            </w:r>
            <w:r w:rsidR="00195B59">
              <w:rPr>
                <w:rFonts w:hAnsi="Times New Roman" w:cs="Times New Roman"/>
                <w:lang w:val="lt-LT"/>
              </w:rPr>
              <w:t>, numatoma, kad šalys mokėjimo prašymus teiks dukart per metus</w:t>
            </w:r>
            <w:r w:rsidR="004C5342">
              <w:rPr>
                <w:rFonts w:hAnsi="Times New Roman" w:cs="Times New Roman"/>
                <w:lang w:val="lt-LT"/>
              </w:rPr>
              <w:t>)</w:t>
            </w:r>
            <w:r w:rsidR="004C5342" w:rsidRPr="00AA492E">
              <w:rPr>
                <w:rFonts w:hAnsi="Times New Roman" w:cs="Times New Roman"/>
                <w:lang w:val="lt-LT"/>
              </w:rPr>
              <w:t xml:space="preserve">. </w:t>
            </w:r>
          </w:p>
          <w:p w:rsidR="00526A83" w:rsidRPr="00AD70B1" w:rsidRDefault="00526A83" w:rsidP="00AD70B1">
            <w:pPr>
              <w:suppressAutoHyphens/>
              <w:jc w:val="both"/>
              <w:rPr>
                <w:rFonts w:eastAsia="Times New Roman"/>
                <w:u w:val="single"/>
                <w:bdr w:val="none" w:sz="0" w:space="0" w:color="auto"/>
                <w:lang w:val="lt-LT" w:eastAsia="ar-SA"/>
              </w:rPr>
            </w:pPr>
            <w:r w:rsidRPr="00AD70B1">
              <w:rPr>
                <w:rFonts w:eastAsia="Times New Roman"/>
                <w:u w:val="single"/>
                <w:bdr w:val="none" w:sz="0" w:space="0" w:color="auto"/>
                <w:lang w:val="lt-LT" w:eastAsia="ar-SA"/>
              </w:rPr>
              <w:t xml:space="preserve">Nacionalinio RRF plano rengimas 2021 m.: </w:t>
            </w:r>
          </w:p>
          <w:p w:rsidR="00AD70B1" w:rsidRPr="00AD70B1" w:rsidRDefault="00AD70B1" w:rsidP="00AD70B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AD70B1">
              <w:rPr>
                <w:rFonts w:eastAsia="Times New Roman"/>
                <w:bdr w:val="none" w:sz="0" w:space="0" w:color="auto"/>
                <w:lang w:val="lt-LT" w:eastAsia="ar-SA"/>
              </w:rPr>
              <w:t>2021 m. sausio mėn. Vyriausybė patvirtino 7 komponentus, kuriais remiasi nacionalinis RRF planas.</w:t>
            </w:r>
          </w:p>
          <w:p w:rsidR="00CF6326" w:rsidRDefault="00957A35" w:rsidP="00AD70B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bdr w:val="none" w:sz="0" w:space="0" w:color="auto"/>
                <w:lang w:val="lt-LT" w:eastAsia="ar-SA"/>
              </w:rPr>
            </w:pPr>
            <w:r w:rsidRPr="006471C4">
              <w:rPr>
                <w:rFonts w:eastAsia="Times New Roman"/>
                <w:b/>
                <w:bdr w:val="none" w:sz="0" w:space="0" w:color="auto"/>
                <w:lang w:val="lt-LT" w:eastAsia="ar-SA"/>
              </w:rPr>
              <w:t>Balandžio 10 d. Europos Komisijai neformaliai pateiktas pirmas</w:t>
            </w:r>
            <w:r w:rsidR="00AD70B1" w:rsidRPr="006471C4">
              <w:rPr>
                <w:rFonts w:eastAsia="Times New Roman"/>
                <w:b/>
                <w:bdr w:val="none" w:sz="0" w:space="0" w:color="auto"/>
                <w:lang w:val="lt-LT" w:eastAsia="ar-SA"/>
              </w:rPr>
              <w:t xml:space="preserve"> jungtini</w:t>
            </w:r>
            <w:r w:rsidRPr="006471C4">
              <w:rPr>
                <w:rFonts w:eastAsia="Times New Roman"/>
                <w:b/>
                <w:bdr w:val="none" w:sz="0" w:space="0" w:color="auto"/>
                <w:lang w:val="lt-LT" w:eastAsia="ar-SA"/>
              </w:rPr>
              <w:t>s</w:t>
            </w:r>
            <w:r w:rsidR="00AD70B1" w:rsidRPr="006471C4">
              <w:rPr>
                <w:rFonts w:eastAsia="Times New Roman"/>
                <w:b/>
                <w:bdr w:val="none" w:sz="0" w:space="0" w:color="auto"/>
                <w:lang w:val="lt-LT" w:eastAsia="ar-SA"/>
              </w:rPr>
              <w:t xml:space="preserve"> RRF plano projekt</w:t>
            </w:r>
            <w:r w:rsidRPr="006471C4">
              <w:rPr>
                <w:rFonts w:eastAsia="Times New Roman"/>
                <w:b/>
                <w:bdr w:val="none" w:sz="0" w:space="0" w:color="auto"/>
                <w:lang w:val="lt-LT" w:eastAsia="ar-SA"/>
              </w:rPr>
              <w:t>as.</w:t>
            </w:r>
          </w:p>
          <w:p w:rsidR="00D30124" w:rsidRPr="006471C4" w:rsidRDefault="00D30124" w:rsidP="00AD70B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bdr w:val="none" w:sz="0" w:space="0" w:color="auto"/>
                <w:lang w:val="lt-LT" w:eastAsia="ar-SA"/>
              </w:rPr>
            </w:pPr>
            <w:r>
              <w:rPr>
                <w:rFonts w:eastAsia="Times New Roman"/>
                <w:bdr w:val="none" w:sz="0" w:space="0" w:color="auto"/>
                <w:lang w:val="lt-LT" w:eastAsia="ar-SA"/>
              </w:rPr>
              <w:t>Š</w:t>
            </w:r>
            <w:r w:rsidR="00C05559">
              <w:rPr>
                <w:rFonts w:eastAsia="Times New Roman"/>
                <w:bdr w:val="none" w:sz="0" w:space="0" w:color="auto"/>
                <w:lang w:val="lt-LT" w:eastAsia="ar-SA"/>
              </w:rPr>
              <w:t>iame teikime jau yra įtraukti pakeitimai ir patobulinimai, reaguojant į EK pastabas Sveikatos, Švietimo ir Socialinių reikalų komponentams. Kiti keturi komponentai dar nėra sulaukę oficialių EK pastabų.</w:t>
            </w:r>
          </w:p>
          <w:p w:rsidR="00AD70B1" w:rsidRPr="00161D1D" w:rsidRDefault="00CF6326" w:rsidP="00AD70B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161D1D">
              <w:rPr>
                <w:rFonts w:eastAsia="Times New Roman"/>
                <w:bdr w:val="none" w:sz="0" w:space="0" w:color="auto"/>
                <w:lang w:val="lt-LT" w:eastAsia="ar-SA"/>
              </w:rPr>
              <w:t xml:space="preserve">Kovo 18 d. dalyvaujant  Premjerei ir finansų ministrei įvyko aukšto lygio susitikimas su EK vicepirmininke M. </w:t>
            </w:r>
            <w:proofErr w:type="spellStart"/>
            <w:r w:rsidRPr="00161D1D">
              <w:rPr>
                <w:rFonts w:eastAsia="Times New Roman"/>
                <w:bdr w:val="none" w:sz="0" w:space="0" w:color="auto"/>
                <w:lang w:val="lt-LT" w:eastAsia="ar-SA"/>
              </w:rPr>
              <w:t>Vestager</w:t>
            </w:r>
            <w:proofErr w:type="spellEnd"/>
            <w:r w:rsidRPr="00161D1D">
              <w:rPr>
                <w:rFonts w:eastAsia="Times New Roman"/>
                <w:bdr w:val="none" w:sz="0" w:space="0" w:color="auto"/>
                <w:lang w:val="lt-LT" w:eastAsia="ar-SA"/>
              </w:rPr>
              <w:t>, kurio metu aptartas nacionalinio RRF plano rengimo procesas. Antrasis aukšto lygio susitikimas</w:t>
            </w:r>
            <w:r w:rsidR="00D30124" w:rsidRPr="00161D1D">
              <w:rPr>
                <w:rFonts w:eastAsia="Times New Roman"/>
                <w:bdr w:val="none" w:sz="0" w:space="0" w:color="auto"/>
                <w:lang w:val="lt-LT" w:eastAsia="ar-SA"/>
              </w:rPr>
              <w:t xml:space="preserve"> su EK vicepirmininke</w:t>
            </w:r>
            <w:r w:rsidRPr="00161D1D">
              <w:rPr>
                <w:rFonts w:eastAsia="Times New Roman"/>
                <w:bdr w:val="none" w:sz="0" w:space="0" w:color="auto"/>
                <w:lang w:val="lt-LT" w:eastAsia="ar-SA"/>
              </w:rPr>
              <w:t xml:space="preserve"> numatytas balandžio 13 d.</w:t>
            </w:r>
          </w:p>
          <w:p w:rsidR="00AD70B1" w:rsidRPr="00AD70B1" w:rsidRDefault="00AD70B1" w:rsidP="00AD70B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AD70B1">
              <w:rPr>
                <w:rFonts w:eastAsia="Times New Roman"/>
                <w:bdr w:val="none" w:sz="0" w:space="0" w:color="auto"/>
                <w:lang w:val="lt-LT" w:eastAsia="ar-SA"/>
              </w:rPr>
              <w:t>2021 m. vasario 23 - kovo 1 d. vyko viešosios konsultacijos ir aptarimai su socialiniais-ekonominiais partneriais. Atskiri komponentai ir RRP pažanga reguliariai yra pristatoma įvairiuose nacionaliniuose instituciniuose formatuose – Vyriausybės Europos Sąjungos komisijoje, Seimo komitetų posėdžiuose, Nacionalinėje energetikos ir klimato kaitos priemonių plano darbo grupėje ir kt.</w:t>
            </w:r>
          </w:p>
          <w:p w:rsidR="00AD70B1" w:rsidRPr="006471C4" w:rsidRDefault="00957A35" w:rsidP="00AD70B1">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907CB4">
              <w:rPr>
                <w:rFonts w:eastAsia="Times New Roman"/>
                <w:bdr w:val="none" w:sz="0" w:space="0" w:color="auto"/>
                <w:lang w:val="lt-LT" w:eastAsia="ar-SA"/>
              </w:rPr>
              <w:t>B</w:t>
            </w:r>
            <w:r w:rsidR="00AD70B1" w:rsidRPr="00907CB4">
              <w:rPr>
                <w:rFonts w:eastAsia="Times New Roman"/>
                <w:bdr w:val="none" w:sz="0" w:space="0" w:color="auto"/>
                <w:lang w:val="lt-LT" w:eastAsia="ar-SA"/>
              </w:rPr>
              <w:t>alandžio antroje pusėje</w:t>
            </w:r>
            <w:r w:rsidRPr="00907CB4">
              <w:rPr>
                <w:rFonts w:eastAsia="Times New Roman"/>
                <w:bdr w:val="none" w:sz="0" w:space="0" w:color="auto"/>
                <w:lang w:val="lt-LT" w:eastAsia="ar-SA"/>
              </w:rPr>
              <w:t xml:space="preserve"> numatoma </w:t>
            </w:r>
            <w:r w:rsidR="00AD70B1" w:rsidRPr="00907CB4">
              <w:rPr>
                <w:rFonts w:eastAsia="Times New Roman"/>
                <w:bdr w:val="none" w:sz="0" w:space="0" w:color="auto"/>
                <w:lang w:val="lt-LT" w:eastAsia="ar-SA"/>
              </w:rPr>
              <w:t>inicijuoti plačią viešinimo kampaniją ir kartu organizuoti</w:t>
            </w:r>
            <w:r w:rsidR="00F017FA">
              <w:rPr>
                <w:rFonts w:eastAsia="Times New Roman"/>
                <w:bdr w:val="none" w:sz="0" w:space="0" w:color="auto"/>
                <w:lang w:val="lt-LT" w:eastAsia="ar-SA"/>
              </w:rPr>
              <w:t xml:space="preserve"> 2 savaite</w:t>
            </w:r>
            <w:bookmarkStart w:id="0" w:name="_GoBack"/>
            <w:bookmarkEnd w:id="0"/>
            <w:r w:rsidR="00C61052" w:rsidRPr="006471C4">
              <w:rPr>
                <w:rFonts w:eastAsia="Times New Roman"/>
                <w:bdr w:val="none" w:sz="0" w:space="0" w:color="auto"/>
                <w:lang w:val="lt-LT" w:eastAsia="ar-SA"/>
              </w:rPr>
              <w:t>s truksiančią</w:t>
            </w:r>
            <w:r w:rsidR="00AD70B1" w:rsidRPr="00907CB4">
              <w:rPr>
                <w:rFonts w:eastAsia="Times New Roman"/>
                <w:bdr w:val="none" w:sz="0" w:space="0" w:color="auto"/>
                <w:lang w:val="lt-LT" w:eastAsia="ar-SA"/>
              </w:rPr>
              <w:t xml:space="preserve"> rašytinę konsultaciją socialinių ir ekonominių partnerių nuomonėms ir pozicijoms suderinti.</w:t>
            </w:r>
          </w:p>
          <w:p w:rsidR="000D6DCF" w:rsidRPr="00160063" w:rsidRDefault="000D6DCF" w:rsidP="0016006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160063">
              <w:rPr>
                <w:rFonts w:eastAsia="Times New Roman"/>
                <w:bdr w:val="none" w:sz="0" w:space="0" w:color="auto"/>
                <w:lang w:val="lt-LT" w:eastAsia="ar-SA"/>
              </w:rPr>
              <w:t>Taip pat, papildomai bus organizuojamos viešosios diskusijos su socialini</w:t>
            </w:r>
            <w:r w:rsidR="00160063" w:rsidRPr="00160063">
              <w:rPr>
                <w:rFonts w:eastAsia="Times New Roman"/>
                <w:bdr w:val="none" w:sz="0" w:space="0" w:color="auto"/>
                <w:lang w:val="lt-LT" w:eastAsia="ar-SA"/>
              </w:rPr>
              <w:t>ais ir ekonominiais partneriais.</w:t>
            </w:r>
            <w:r w:rsidRPr="00160063">
              <w:rPr>
                <w:rFonts w:eastAsia="Times New Roman"/>
                <w:bdr w:val="none" w:sz="0" w:space="0" w:color="auto"/>
                <w:lang w:val="lt-LT" w:eastAsia="ar-SA"/>
              </w:rPr>
              <w:t xml:space="preserve"> </w:t>
            </w:r>
            <w:r w:rsidR="00C61052" w:rsidRPr="00160063">
              <w:rPr>
                <w:rFonts w:eastAsia="Times New Roman"/>
                <w:bdr w:val="none" w:sz="0" w:space="0" w:color="auto"/>
                <w:lang w:val="lt-LT" w:eastAsia="ar-SA"/>
              </w:rPr>
              <w:t>Susitikimus nuo balandžio vidurio organizuos už komponent</w:t>
            </w:r>
            <w:r w:rsidR="00907CB4" w:rsidRPr="00160063">
              <w:rPr>
                <w:rFonts w:eastAsia="Times New Roman"/>
                <w:bdr w:val="none" w:sz="0" w:space="0" w:color="auto"/>
                <w:lang w:val="lt-LT" w:eastAsia="ar-SA"/>
              </w:rPr>
              <w:t>us</w:t>
            </w:r>
            <w:r w:rsidR="00C61052" w:rsidRPr="00160063">
              <w:rPr>
                <w:rFonts w:eastAsia="Times New Roman"/>
                <w:bdr w:val="none" w:sz="0" w:space="0" w:color="auto"/>
                <w:lang w:val="lt-LT" w:eastAsia="ar-SA"/>
              </w:rPr>
              <w:t xml:space="preserve"> atsaking</w:t>
            </w:r>
            <w:r w:rsidR="00907CB4" w:rsidRPr="00160063">
              <w:rPr>
                <w:rFonts w:eastAsia="Times New Roman"/>
                <w:bdr w:val="none" w:sz="0" w:space="0" w:color="auto"/>
                <w:lang w:val="lt-LT" w:eastAsia="ar-SA"/>
              </w:rPr>
              <w:t>os</w:t>
            </w:r>
            <w:r w:rsidR="00C61052" w:rsidRPr="00160063">
              <w:rPr>
                <w:rFonts w:eastAsia="Times New Roman"/>
                <w:bdr w:val="none" w:sz="0" w:space="0" w:color="auto"/>
                <w:lang w:val="lt-LT" w:eastAsia="ar-SA"/>
              </w:rPr>
              <w:t xml:space="preserve"> ministerij</w:t>
            </w:r>
            <w:r w:rsidR="00907CB4" w:rsidRPr="00160063">
              <w:rPr>
                <w:rFonts w:eastAsia="Times New Roman"/>
                <w:bdr w:val="none" w:sz="0" w:space="0" w:color="auto"/>
                <w:lang w:val="lt-LT" w:eastAsia="ar-SA"/>
              </w:rPr>
              <w:t>os</w:t>
            </w:r>
            <w:r w:rsidR="00C61052" w:rsidRPr="00160063">
              <w:rPr>
                <w:rFonts w:eastAsia="Times New Roman"/>
                <w:bdr w:val="none" w:sz="0" w:space="0" w:color="auto"/>
                <w:lang w:val="lt-LT" w:eastAsia="ar-SA"/>
              </w:rPr>
              <w:t>. Su partneriais bus aptariami</w:t>
            </w:r>
            <w:r w:rsidRPr="00160063">
              <w:rPr>
                <w:rFonts w:eastAsia="Times New Roman"/>
                <w:bdr w:val="none" w:sz="0" w:space="0" w:color="auto"/>
                <w:lang w:val="lt-LT" w:eastAsia="ar-SA"/>
              </w:rPr>
              <w:t xml:space="preserve"> viešojo administravimo ir verslo aplink</w:t>
            </w:r>
            <w:r w:rsidR="00C61052" w:rsidRPr="00160063">
              <w:rPr>
                <w:rFonts w:eastAsia="Times New Roman"/>
                <w:bdr w:val="none" w:sz="0" w:space="0" w:color="auto"/>
                <w:lang w:val="lt-LT" w:eastAsia="ar-SA"/>
              </w:rPr>
              <w:t>os gerinimo, skaitmeninės pertvarkos</w:t>
            </w:r>
            <w:r w:rsidRPr="00160063">
              <w:rPr>
                <w:rFonts w:eastAsia="Times New Roman"/>
                <w:bdr w:val="none" w:sz="0" w:space="0" w:color="auto"/>
                <w:lang w:val="lt-LT" w:eastAsia="ar-SA"/>
              </w:rPr>
              <w:t>, mokslo ir inovacijų</w:t>
            </w:r>
            <w:r w:rsidR="00C61052" w:rsidRPr="00160063">
              <w:rPr>
                <w:rFonts w:eastAsia="Times New Roman"/>
                <w:bdr w:val="none" w:sz="0" w:space="0" w:color="auto"/>
                <w:lang w:val="lt-LT" w:eastAsia="ar-SA"/>
              </w:rPr>
              <w:t>, sveikatos bei socialinių reikalų komponentai.</w:t>
            </w:r>
          </w:p>
          <w:p w:rsidR="00AD70B1" w:rsidRPr="00161D1D" w:rsidRDefault="00AD70B1" w:rsidP="00161D1D">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sidRPr="00907CB4">
              <w:rPr>
                <w:rFonts w:eastAsia="Times New Roman"/>
                <w:bdr w:val="none" w:sz="0" w:space="0" w:color="auto"/>
                <w:lang w:val="lt-LT" w:eastAsia="ar-SA"/>
              </w:rPr>
              <w:t>Per 2021 m. balandžio mėn. numatoma neformaliai suderinti RRF plano projektą su Europos Komisija ir užbaigti galutinius patikslinimus.</w:t>
            </w:r>
          </w:p>
          <w:p w:rsidR="00526A83" w:rsidRPr="00161D1D" w:rsidRDefault="00526A83" w:rsidP="00161D1D">
            <w:pPr>
              <w:contextualSpacing/>
              <w:jc w:val="both"/>
              <w:rPr>
                <w:rFonts w:eastAsia="Calibri"/>
                <w:sz w:val="26"/>
                <w:szCs w:val="26"/>
                <w:bdr w:val="none" w:sz="0" w:space="0" w:color="auto"/>
                <w:lang w:val="lt-LT"/>
              </w:rPr>
            </w:pPr>
          </w:p>
          <w:p w:rsidR="00856CFA" w:rsidRPr="00856CFA" w:rsidRDefault="009C6662" w:rsidP="00856CFA">
            <w:pPr>
              <w:pStyle w:val="BodyA"/>
              <w:jc w:val="both"/>
              <w:rPr>
                <w:rFonts w:hAnsi="Times New Roman" w:cs="Times New Roman"/>
                <w:lang w:val="lt-LT"/>
              </w:rPr>
            </w:pPr>
            <w:r w:rsidRPr="00856CFA">
              <w:rPr>
                <w:rFonts w:hAnsi="Times New Roman" w:cs="Times New Roman"/>
                <w:b/>
                <w:u w:val="single"/>
                <w:lang w:val="lt-LT"/>
              </w:rPr>
              <w:t>Lietuvos pozicija:</w:t>
            </w:r>
            <w:r w:rsidRPr="00856CFA">
              <w:rPr>
                <w:rFonts w:hAnsi="Times New Roman" w:cs="Times New Roman"/>
                <w:lang w:val="lt-LT"/>
              </w:rPr>
              <w:t xml:space="preserve"> </w:t>
            </w:r>
            <w:r w:rsidR="00856CFA" w:rsidRPr="00856CFA">
              <w:rPr>
                <w:rFonts w:eastAsia="Calibri" w:hAnsi="Times New Roman" w:cs="Times New Roman"/>
                <w:bdr w:val="none" w:sz="0" w:space="0" w:color="auto"/>
                <w:lang w:val="lt-LT"/>
              </w:rPr>
              <w:t>RRF plane bus koncentruojamasi į 7 komponentus, kurie atitinka ES Semes</w:t>
            </w:r>
            <w:r w:rsidR="00856CFA" w:rsidRPr="00856CFA">
              <w:rPr>
                <w:rFonts w:eastAsia="Calibri" w:hAnsi="Times New Roman" w:cs="Times New Roman"/>
                <w:bdr w:val="none" w:sz="0" w:space="0" w:color="auto"/>
                <w:lang w:val="lt-LT"/>
              </w:rPr>
              <w:t>t</w:t>
            </w:r>
            <w:r w:rsidR="00856CFA" w:rsidRPr="00856CFA">
              <w:rPr>
                <w:rFonts w:eastAsia="Calibri" w:hAnsi="Times New Roman" w:cs="Times New Roman"/>
                <w:bdr w:val="none" w:sz="0" w:space="0" w:color="auto"/>
                <w:lang w:val="lt-LT"/>
              </w:rPr>
              <w:t>ro kontekste keliamas rekomendacijas Lietuvai (CSRs): 1. Žalioji pertvarka (37 % RRF lėšų); 2. Skaitmeninė transformacija (20 %) 3. Sveikata (12 %); 4. Socialiniai reikalai (5 %); 5. Mokslas ir inovacijos (9 %) 6. Švietimas (14 %) 7. Viešasis administravimas ir verslo aplinka (3  %).</w:t>
            </w:r>
          </w:p>
          <w:p w:rsidR="00856CFA" w:rsidRPr="00856CFA" w:rsidRDefault="00856CFA" w:rsidP="00856CF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856CFA">
              <w:rPr>
                <w:rFonts w:eastAsia="Calibri"/>
                <w:bdr w:val="none" w:sz="0" w:space="0" w:color="auto"/>
                <w:lang w:val="lt-LT"/>
              </w:rPr>
              <w:t>Visame RRF plano rengimo procese didelis dėmesys skiriamas konsultacijoms su socialiniais ir ekonominiais partneriais bei formalių EK kriterijų atitikimui (pvz., tikslų ir rodiklių formulav</w:t>
            </w:r>
            <w:r w:rsidRPr="00856CFA">
              <w:rPr>
                <w:rFonts w:eastAsia="Calibri"/>
                <w:bdr w:val="none" w:sz="0" w:space="0" w:color="auto"/>
                <w:lang w:val="lt-LT"/>
              </w:rPr>
              <w:t>i</w:t>
            </w:r>
            <w:r w:rsidRPr="00856CFA">
              <w:rPr>
                <w:rFonts w:eastAsia="Calibri"/>
                <w:bdr w:val="none" w:sz="0" w:space="0" w:color="auto"/>
                <w:lang w:val="lt-LT"/>
              </w:rPr>
              <w:t>mas, reformų kaštų vertinimas, valdymo ir kontrolės aspektai ir kt.).</w:t>
            </w:r>
          </w:p>
          <w:p w:rsidR="0098163A" w:rsidRDefault="0098163A" w:rsidP="009C6662">
            <w:pPr>
              <w:pStyle w:val="BodyA"/>
              <w:jc w:val="both"/>
              <w:rPr>
                <w:rFonts w:hAnsi="Times New Roman" w:cs="Times New Roman"/>
                <w:lang w:val="lt-LT"/>
              </w:rPr>
            </w:pPr>
          </w:p>
          <w:p w:rsidR="0098163A" w:rsidRPr="002C1B25" w:rsidRDefault="0098163A" w:rsidP="009C6662">
            <w:pPr>
              <w:pStyle w:val="BodyA"/>
              <w:jc w:val="both"/>
              <w:rPr>
                <w:rFonts w:hAnsi="Times New Roman" w:cs="Times New Roman"/>
                <w:lang w:val="lt-LT"/>
              </w:rPr>
            </w:pPr>
            <w:r w:rsidRPr="002C1B25">
              <w:rPr>
                <w:rFonts w:hAnsi="Times New Roman" w:cs="Times New Roman"/>
                <w:b/>
                <w:lang w:val="lt-LT"/>
              </w:rPr>
              <w:t xml:space="preserve">c) </w:t>
            </w:r>
            <w:r w:rsidR="00D20000" w:rsidRPr="002C1B25">
              <w:rPr>
                <w:rFonts w:hAnsi="Times New Roman" w:cs="Times New Roman"/>
                <w:b/>
                <w:lang w:val="lt-LT"/>
              </w:rPr>
              <w:t>„</w:t>
            </w:r>
            <w:r w:rsidRPr="002C1B25">
              <w:rPr>
                <w:rFonts w:hAnsi="Times New Roman" w:cs="Times New Roman"/>
                <w:b/>
                <w:lang w:val="lt-LT"/>
              </w:rPr>
              <w:t>Kitos kartos ES</w:t>
            </w:r>
            <w:r w:rsidR="00D20000" w:rsidRPr="002C1B25">
              <w:rPr>
                <w:rFonts w:hAnsi="Times New Roman" w:cs="Times New Roman"/>
                <w:b/>
                <w:lang w:val="lt-LT"/>
              </w:rPr>
              <w:t>“</w:t>
            </w:r>
            <w:r w:rsidRPr="002C1B25">
              <w:rPr>
                <w:rFonts w:hAnsi="Times New Roman" w:cs="Times New Roman"/>
                <w:b/>
                <w:lang w:val="lt-LT"/>
              </w:rPr>
              <w:t xml:space="preserve"> finansavimas</w:t>
            </w:r>
            <w:r w:rsidRPr="002C1B25">
              <w:rPr>
                <w:rFonts w:hAnsi="Times New Roman" w:cs="Times New Roman"/>
                <w:lang w:val="lt-LT"/>
              </w:rPr>
              <w:t xml:space="preserve"> (</w:t>
            </w:r>
            <w:r w:rsidRPr="002C1B25">
              <w:rPr>
                <w:rFonts w:hAnsi="Times New Roman" w:cs="Times New Roman"/>
                <w:i/>
                <w:lang w:val="lt-LT"/>
              </w:rPr>
              <w:t>Komisijos pristatymas ir apsikeitimas nuomonėmis</w:t>
            </w:r>
            <w:r w:rsidRPr="002C1B25">
              <w:rPr>
                <w:rFonts w:hAnsi="Times New Roman" w:cs="Times New Roman"/>
                <w:lang w:val="lt-LT"/>
              </w:rPr>
              <w:t>)</w:t>
            </w:r>
          </w:p>
          <w:p w:rsidR="0098163A" w:rsidRPr="002C1B25" w:rsidRDefault="0098163A" w:rsidP="00992EA2">
            <w:pPr>
              <w:pStyle w:val="BodyA"/>
              <w:jc w:val="both"/>
              <w:rPr>
                <w:rFonts w:hAnsi="Times New Roman" w:cs="Times New Roman"/>
                <w:lang w:val="lt-LT"/>
              </w:rPr>
            </w:pPr>
            <w:r w:rsidRPr="002C1B25">
              <w:rPr>
                <w:rFonts w:hAnsi="Times New Roman" w:cs="Times New Roman"/>
                <w:b/>
                <w:u w:val="single"/>
                <w:lang w:val="lt-LT"/>
              </w:rPr>
              <w:t>Klausimo esmė.</w:t>
            </w:r>
            <w:r w:rsidRPr="002C1B25">
              <w:rPr>
                <w:rFonts w:hAnsi="Times New Roman" w:cs="Times New Roman"/>
                <w:lang w:val="lt-LT"/>
              </w:rPr>
              <w:t xml:space="preserve"> </w:t>
            </w:r>
            <w:r w:rsidR="00992EA2" w:rsidRPr="002C1B25">
              <w:rPr>
                <w:rFonts w:hAnsi="Times New Roman" w:cs="Times New Roman"/>
                <w:lang w:val="lt-LT"/>
              </w:rPr>
              <w:t>ECOFIN posėdyje EK pristatys</w:t>
            </w:r>
            <w:r w:rsidR="00BD4688" w:rsidRPr="002C1B25">
              <w:rPr>
                <w:rFonts w:hAnsi="Times New Roman" w:cs="Times New Roman"/>
                <w:lang w:val="lt-LT"/>
              </w:rPr>
              <w:t xml:space="preserve"> balandžio 14 d. planuo</w:t>
            </w:r>
            <w:r w:rsidR="00D20000" w:rsidRPr="002C1B25">
              <w:rPr>
                <w:rFonts w:hAnsi="Times New Roman" w:cs="Times New Roman"/>
                <w:lang w:val="lt-LT"/>
              </w:rPr>
              <w:t>jamą</w:t>
            </w:r>
            <w:r w:rsidR="00BD4688" w:rsidRPr="002C1B25">
              <w:rPr>
                <w:rFonts w:hAnsi="Times New Roman" w:cs="Times New Roman"/>
                <w:lang w:val="lt-LT"/>
              </w:rPr>
              <w:t xml:space="preserve"> paskelbti dok</w:t>
            </w:r>
            <w:r w:rsidR="00BD4688" w:rsidRPr="002C1B25">
              <w:rPr>
                <w:rFonts w:hAnsi="Times New Roman" w:cs="Times New Roman"/>
                <w:lang w:val="lt-LT"/>
              </w:rPr>
              <w:t>u</w:t>
            </w:r>
            <w:r w:rsidR="00BD4688" w:rsidRPr="002C1B25">
              <w:rPr>
                <w:rFonts w:hAnsi="Times New Roman" w:cs="Times New Roman"/>
                <w:lang w:val="lt-LT"/>
              </w:rPr>
              <w:t xml:space="preserve">mentų paketą dėl </w:t>
            </w:r>
            <w:r w:rsidR="00D20000" w:rsidRPr="002C1B25">
              <w:rPr>
                <w:rFonts w:hAnsi="Times New Roman" w:cs="Times New Roman"/>
                <w:lang w:val="lt-LT"/>
              </w:rPr>
              <w:t>„Kitos kartos ES“</w:t>
            </w:r>
            <w:r w:rsidR="00992EA2" w:rsidRPr="002C1B25">
              <w:rPr>
                <w:rFonts w:hAnsi="Times New Roman" w:cs="Times New Roman"/>
                <w:lang w:val="lt-LT"/>
              </w:rPr>
              <w:t xml:space="preserve"> (toliau – NGEU)</w:t>
            </w:r>
            <w:r w:rsidR="00D20000" w:rsidRPr="002C1B25">
              <w:rPr>
                <w:rFonts w:hAnsi="Times New Roman" w:cs="Times New Roman"/>
                <w:lang w:val="lt-LT"/>
              </w:rPr>
              <w:t xml:space="preserve"> </w:t>
            </w:r>
            <w:r w:rsidR="00BD4688" w:rsidRPr="002C1B25">
              <w:rPr>
                <w:rFonts w:hAnsi="Times New Roman" w:cs="Times New Roman"/>
                <w:lang w:val="lt-LT"/>
              </w:rPr>
              <w:t>finansavimo</w:t>
            </w:r>
            <w:r w:rsidR="00392437">
              <w:rPr>
                <w:rFonts w:hAnsi="Times New Roman" w:cs="Times New Roman"/>
                <w:lang w:val="lt-LT"/>
              </w:rPr>
              <w:t xml:space="preserve"> strategijos</w:t>
            </w:r>
            <w:r w:rsidR="00BD4688" w:rsidRPr="002C1B25">
              <w:rPr>
                <w:rFonts w:hAnsi="Times New Roman" w:cs="Times New Roman"/>
                <w:lang w:val="lt-LT"/>
              </w:rPr>
              <w:t>, kurį sudarys k</w:t>
            </w:r>
            <w:r w:rsidR="00BD4688" w:rsidRPr="002C1B25">
              <w:rPr>
                <w:rFonts w:hAnsi="Times New Roman" w:cs="Times New Roman"/>
                <w:lang w:val="lt-LT"/>
              </w:rPr>
              <w:t>o</w:t>
            </w:r>
            <w:r w:rsidR="00BD4688" w:rsidRPr="002C1B25">
              <w:rPr>
                <w:rFonts w:hAnsi="Times New Roman" w:cs="Times New Roman"/>
                <w:lang w:val="lt-LT"/>
              </w:rPr>
              <w:t>munikatas ir susiję teisės aktų projektai.</w:t>
            </w:r>
            <w:r w:rsidR="00992EA2" w:rsidRPr="002C1B25">
              <w:rPr>
                <w:rFonts w:hAnsi="Times New Roman" w:cs="Times New Roman"/>
                <w:lang w:val="lt-LT"/>
              </w:rPr>
              <w:t xml:space="preserve"> Siekiant sumažinti neigiam</w:t>
            </w:r>
            <w:r w:rsidR="00EA3DB2">
              <w:rPr>
                <w:rFonts w:hAnsi="Times New Roman" w:cs="Times New Roman"/>
                <w:lang w:val="lt-LT"/>
              </w:rPr>
              <w:t>ą</w:t>
            </w:r>
            <w:r w:rsidR="00992EA2" w:rsidRPr="002C1B25">
              <w:rPr>
                <w:rFonts w:hAnsi="Times New Roman" w:cs="Times New Roman"/>
                <w:lang w:val="lt-LT"/>
              </w:rPr>
              <w:t xml:space="preserve"> COVID-19 pandemijos poveikį ES šalių ekonomikoms, EK 2021-2026 m. turėtų skolintis po ma</w:t>
            </w:r>
            <w:r w:rsidR="002C1B25">
              <w:rPr>
                <w:rFonts w:hAnsi="Times New Roman" w:cs="Times New Roman"/>
                <w:lang w:val="lt-LT"/>
              </w:rPr>
              <w:t>ž</w:t>
            </w:r>
            <w:r w:rsidR="00992EA2" w:rsidRPr="002C1B25">
              <w:rPr>
                <w:rFonts w:hAnsi="Times New Roman" w:cs="Times New Roman"/>
                <w:lang w:val="lt-LT"/>
              </w:rPr>
              <w:t>daug 150-200 mlrd. eurų per me</w:t>
            </w:r>
            <w:r w:rsidR="002C1B25">
              <w:rPr>
                <w:rFonts w:hAnsi="Times New Roman" w:cs="Times New Roman"/>
                <w:lang w:val="lt-LT"/>
              </w:rPr>
              <w:t xml:space="preserve">tus, tai yra </w:t>
            </w:r>
            <w:r w:rsidR="00992EA2" w:rsidRPr="002C1B25">
              <w:rPr>
                <w:rFonts w:hAnsi="Times New Roman" w:cs="Times New Roman"/>
                <w:lang w:val="lt-LT"/>
              </w:rPr>
              <w:t>didelėms ES valstybėms</w:t>
            </w:r>
            <w:r w:rsidR="00D57067">
              <w:rPr>
                <w:rFonts w:hAnsi="Times New Roman" w:cs="Times New Roman"/>
                <w:lang w:val="lt-LT"/>
              </w:rPr>
              <w:t xml:space="preserve"> ekvivalen</w:t>
            </w:r>
            <w:r w:rsidR="00992EA2" w:rsidRPr="002C1B25">
              <w:rPr>
                <w:rFonts w:hAnsi="Times New Roman" w:cs="Times New Roman"/>
                <w:lang w:val="lt-LT"/>
              </w:rPr>
              <w:t xml:space="preserve">čios skolinimosi apimtys. </w:t>
            </w:r>
            <w:r w:rsidR="002C1B25">
              <w:rPr>
                <w:rFonts w:hAnsi="Times New Roman" w:cs="Times New Roman"/>
                <w:lang w:val="lt-LT"/>
              </w:rPr>
              <w:t>P</w:t>
            </w:r>
            <w:r w:rsidR="00992EA2" w:rsidRPr="002C1B25">
              <w:rPr>
                <w:rFonts w:hAnsi="Times New Roman" w:cs="Times New Roman"/>
                <w:lang w:val="lt-LT"/>
              </w:rPr>
              <w:t>asiskoli</w:t>
            </w:r>
            <w:r w:rsidR="00992EA2" w:rsidRPr="002C1B25">
              <w:rPr>
                <w:rFonts w:hAnsi="Times New Roman" w:cs="Times New Roman"/>
                <w:lang w:val="lt-LT"/>
              </w:rPr>
              <w:t>n</w:t>
            </w:r>
            <w:r w:rsidR="00992EA2" w:rsidRPr="002C1B25">
              <w:rPr>
                <w:rFonts w:hAnsi="Times New Roman" w:cs="Times New Roman"/>
                <w:lang w:val="lt-LT"/>
              </w:rPr>
              <w:t>tos lėšos bus naudojamos skirtingiems tikslams</w:t>
            </w:r>
            <w:r w:rsidR="00811E87">
              <w:rPr>
                <w:rFonts w:hAnsi="Times New Roman" w:cs="Times New Roman"/>
                <w:lang w:val="lt-LT"/>
              </w:rPr>
              <w:t xml:space="preserve"> (RRF, teisingo perėjimo fondui (JTF), kaimo </w:t>
            </w:r>
            <w:r w:rsidR="00811E87">
              <w:rPr>
                <w:rFonts w:hAnsi="Times New Roman" w:cs="Times New Roman"/>
                <w:lang w:val="lt-LT"/>
              </w:rPr>
              <w:lastRenderedPageBreak/>
              <w:t>plėtros fondui ir pan.)</w:t>
            </w:r>
            <w:r w:rsidR="00992EA2" w:rsidRPr="002C1B25">
              <w:rPr>
                <w:rFonts w:hAnsi="Times New Roman" w:cs="Times New Roman"/>
                <w:lang w:val="lt-LT"/>
              </w:rPr>
              <w:t xml:space="preserve"> ir skirtingomis formomis (dotacijos, paskolos). </w:t>
            </w:r>
            <w:r w:rsidR="002C1B25">
              <w:rPr>
                <w:rFonts w:hAnsi="Times New Roman" w:cs="Times New Roman"/>
                <w:lang w:val="lt-LT"/>
              </w:rPr>
              <w:t xml:space="preserve">Siekiant </w:t>
            </w:r>
            <w:r w:rsidR="00811E87">
              <w:rPr>
                <w:rFonts w:hAnsi="Times New Roman" w:cs="Times New Roman"/>
                <w:lang w:val="lt-LT"/>
              </w:rPr>
              <w:t xml:space="preserve">užtikrinti kuo palankesnes skolinimosi galimybes, </w:t>
            </w:r>
            <w:r w:rsidR="002C1B25">
              <w:rPr>
                <w:rFonts w:hAnsi="Times New Roman" w:cs="Times New Roman"/>
                <w:lang w:val="lt-LT"/>
              </w:rPr>
              <w:t>EK ketina įgyvend</w:t>
            </w:r>
            <w:r w:rsidR="00D57067">
              <w:rPr>
                <w:rFonts w:hAnsi="Times New Roman" w:cs="Times New Roman"/>
                <w:lang w:val="lt-LT"/>
              </w:rPr>
              <w:t xml:space="preserve">inti diversifikuotą finansavimo </w:t>
            </w:r>
            <w:r w:rsidR="002C1B25">
              <w:rPr>
                <w:rFonts w:hAnsi="Times New Roman" w:cs="Times New Roman"/>
                <w:lang w:val="lt-LT"/>
              </w:rPr>
              <w:t xml:space="preserve">strategiją. </w:t>
            </w:r>
            <w:r w:rsidR="002C1B25" w:rsidRPr="002C1B25">
              <w:rPr>
                <w:rFonts w:hAnsi="Times New Roman" w:cs="Times New Roman"/>
                <w:lang w:val="lt-LT"/>
              </w:rPr>
              <w:t>Pažymėtina, kad 30 proc. NGEU išlaidų bus finansuojama ES leidžiant ža</w:t>
            </w:r>
            <w:r w:rsidR="00D57067">
              <w:rPr>
                <w:rFonts w:hAnsi="Times New Roman" w:cs="Times New Roman"/>
                <w:lang w:val="lt-LT"/>
              </w:rPr>
              <w:t>liąsias</w:t>
            </w:r>
            <w:r w:rsidR="002C1B25" w:rsidRPr="002C1B25">
              <w:rPr>
                <w:rFonts w:hAnsi="Times New Roman" w:cs="Times New Roman"/>
                <w:lang w:val="lt-LT"/>
              </w:rPr>
              <w:t xml:space="preserve"> obligacijas.</w:t>
            </w:r>
          </w:p>
          <w:p w:rsidR="00811E87" w:rsidRPr="00811E87" w:rsidRDefault="00811E87" w:rsidP="00811E8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lang w:val="lt-LT" w:eastAsia="ar-SA"/>
              </w:rPr>
            </w:pPr>
            <w:r>
              <w:rPr>
                <w:rFonts w:eastAsia="Times New Roman"/>
                <w:u w:val="single"/>
                <w:bdr w:val="none" w:sz="0" w:space="0" w:color="auto"/>
                <w:lang w:val="lt-LT" w:eastAsia="ar-SA"/>
              </w:rPr>
              <w:t xml:space="preserve">NGEU ir </w:t>
            </w:r>
            <w:r w:rsidRPr="00526A83">
              <w:rPr>
                <w:rFonts w:eastAsia="Times New Roman"/>
                <w:bdr w:val="none" w:sz="0" w:space="0" w:color="auto"/>
                <w:lang w:val="lt-LT" w:eastAsia="ar-SA"/>
              </w:rPr>
              <w:t>2021–2027 m. daugiametės finansi</w:t>
            </w:r>
            <w:r>
              <w:rPr>
                <w:rFonts w:eastAsia="Times New Roman"/>
                <w:bdr w:val="none" w:sz="0" w:space="0" w:color="auto"/>
                <w:lang w:val="lt-LT" w:eastAsia="ar-SA"/>
              </w:rPr>
              <w:t xml:space="preserve">nės programos (DFP) </w:t>
            </w:r>
            <w:r>
              <w:rPr>
                <w:rFonts w:eastAsia="Times New Roman"/>
                <w:u w:val="single"/>
                <w:bdr w:val="none" w:sz="0" w:space="0" w:color="auto"/>
                <w:lang w:val="lt-LT" w:eastAsia="ar-SA"/>
              </w:rPr>
              <w:t xml:space="preserve">įgyvendinimui būtinas </w:t>
            </w:r>
            <w:r w:rsidRPr="00AD70B1">
              <w:rPr>
                <w:rFonts w:eastAsia="Times New Roman"/>
                <w:u w:val="single"/>
                <w:bdr w:val="none" w:sz="0" w:space="0" w:color="auto"/>
                <w:lang w:val="lt-LT" w:eastAsia="ar-SA"/>
              </w:rPr>
              <w:t>ES nuosavų</w:t>
            </w:r>
            <w:r w:rsidRPr="00526A83">
              <w:rPr>
                <w:rFonts w:eastAsia="Times New Roman"/>
                <w:u w:val="single"/>
                <w:bdr w:val="none" w:sz="0" w:space="0" w:color="auto"/>
                <w:lang w:val="lt-LT" w:eastAsia="ar-SA"/>
              </w:rPr>
              <w:t xml:space="preserve"> išteklių (NI) sprendimo </w:t>
            </w:r>
            <w:r>
              <w:rPr>
                <w:rFonts w:eastAsia="Times New Roman"/>
                <w:u w:val="single"/>
                <w:bdr w:val="none" w:sz="0" w:space="0" w:color="auto"/>
                <w:lang w:val="lt-LT" w:eastAsia="ar-SA"/>
              </w:rPr>
              <w:t xml:space="preserve">įsigaliojimas. </w:t>
            </w:r>
            <w:r w:rsidRPr="00526A83">
              <w:rPr>
                <w:rFonts w:eastAsia="Times New Roman"/>
                <w:bdr w:val="none" w:sz="0" w:space="0" w:color="auto"/>
                <w:lang w:val="lt-LT" w:eastAsia="ar-SA"/>
              </w:rPr>
              <w:t xml:space="preserve">Tam, kad šis sprendimas įsigaliotų, jo patvirtinimui turi pritarti visos ES valstybės narės (VN) pagal savo atitinkamus konstitucinius </w:t>
            </w:r>
            <w:r w:rsidRPr="00811E87">
              <w:rPr>
                <w:rFonts w:eastAsia="Times New Roman"/>
                <w:bdr w:val="none" w:sz="0" w:space="0" w:color="auto"/>
                <w:lang w:val="lt-LT" w:eastAsia="ar-SA"/>
              </w:rPr>
              <w:t xml:space="preserve">reikalavimus. </w:t>
            </w:r>
          </w:p>
          <w:p w:rsidR="0098163A" w:rsidRDefault="00811E87" w:rsidP="00811E87">
            <w:pPr>
              <w:pStyle w:val="BodyA"/>
              <w:jc w:val="both"/>
              <w:rPr>
                <w:rFonts w:eastAsia="Calibri" w:hAnsi="Times New Roman" w:cs="Times New Roman"/>
                <w:bdr w:val="none" w:sz="0" w:space="0" w:color="auto"/>
                <w:lang w:val="lt-LT"/>
              </w:rPr>
            </w:pPr>
            <w:r w:rsidRPr="00811E87">
              <w:rPr>
                <w:rFonts w:eastAsia="Times New Roman" w:hAnsi="Times New Roman" w:cs="Times New Roman"/>
                <w:bdr w:val="none" w:sz="0" w:space="0" w:color="auto"/>
                <w:lang w:val="lt-LT" w:eastAsia="ar-SA"/>
              </w:rPr>
              <w:t xml:space="preserve">Iki šiol apie NI sprendimo patvirtinimą nacionaliniu lygiu yra pranešusios 14 šalių narių. </w:t>
            </w:r>
            <w:r w:rsidRPr="00811E87">
              <w:rPr>
                <w:rFonts w:eastAsia="Calibri" w:hAnsi="Times New Roman" w:cs="Times New Roman"/>
                <w:u w:val="single"/>
                <w:bdr w:val="none" w:sz="0" w:space="0" w:color="auto"/>
                <w:lang w:val="lt-LT"/>
              </w:rPr>
              <w:t>Num</w:t>
            </w:r>
            <w:r w:rsidRPr="00811E87">
              <w:rPr>
                <w:rFonts w:eastAsia="Calibri" w:hAnsi="Times New Roman" w:cs="Times New Roman"/>
                <w:u w:val="single"/>
                <w:bdr w:val="none" w:sz="0" w:space="0" w:color="auto"/>
                <w:lang w:val="lt-LT"/>
              </w:rPr>
              <w:t>a</w:t>
            </w:r>
            <w:r w:rsidRPr="00811E87">
              <w:rPr>
                <w:rFonts w:eastAsia="Calibri" w:hAnsi="Times New Roman" w:cs="Times New Roman"/>
                <w:u w:val="single"/>
                <w:bdr w:val="none" w:sz="0" w:space="0" w:color="auto"/>
                <w:lang w:val="lt-LT"/>
              </w:rPr>
              <w:t>tomas NI sprendimo ratifikavimo LT terminas – 2021 m. balandžio mėn.</w:t>
            </w:r>
            <w:r w:rsidRPr="00811E87">
              <w:rPr>
                <w:rFonts w:eastAsia="Calibri" w:hAnsi="Times New Roman" w:cs="Times New Roman"/>
                <w:bdr w:val="none" w:sz="0" w:space="0" w:color="auto"/>
                <w:lang w:val="lt-LT"/>
              </w:rPr>
              <w:t xml:space="preserve"> Įstatymo projektui dėl nuosavų išteklių LR Vyriausybė pritarė vasario 17 d., , LR Seime klausimas pristatytas kovo 16 d., svarstymas planuojamas  balandžio 20 dieną, tvirtinimas – balandžio 22 dieną. Po Seimo pa</w:t>
            </w:r>
            <w:r w:rsidRPr="00811E87">
              <w:rPr>
                <w:rFonts w:eastAsia="Calibri" w:hAnsi="Times New Roman" w:cs="Times New Roman"/>
                <w:bdr w:val="none" w:sz="0" w:space="0" w:color="auto"/>
                <w:lang w:val="lt-LT"/>
              </w:rPr>
              <w:t>t</w:t>
            </w:r>
            <w:r w:rsidRPr="00811E87">
              <w:rPr>
                <w:rFonts w:eastAsia="Calibri" w:hAnsi="Times New Roman" w:cs="Times New Roman"/>
                <w:bdr w:val="none" w:sz="0" w:space="0" w:color="auto"/>
                <w:lang w:val="lt-LT"/>
              </w:rPr>
              <w:t>virtinimo įstatymą dar turės pasirašyti LR Prezidentas</w:t>
            </w:r>
            <w:r w:rsidR="00161D1D">
              <w:rPr>
                <w:rFonts w:eastAsia="Calibri" w:hAnsi="Times New Roman" w:cs="Times New Roman"/>
                <w:bdr w:val="none" w:sz="0" w:space="0" w:color="auto"/>
                <w:lang w:val="lt-LT"/>
              </w:rPr>
              <w:t>.</w:t>
            </w:r>
          </w:p>
          <w:p w:rsidR="00161D1D" w:rsidRPr="00811E87" w:rsidRDefault="00161D1D" w:rsidP="00811E87">
            <w:pPr>
              <w:pStyle w:val="BodyA"/>
              <w:jc w:val="both"/>
              <w:rPr>
                <w:rFonts w:hAnsi="Times New Roman" w:cs="Times New Roman"/>
                <w:lang w:val="lt-LT"/>
              </w:rPr>
            </w:pPr>
          </w:p>
          <w:p w:rsidR="0098163A" w:rsidRPr="00392437" w:rsidRDefault="0098163A" w:rsidP="0098163A">
            <w:pPr>
              <w:pStyle w:val="BodyA"/>
              <w:jc w:val="both"/>
              <w:rPr>
                <w:rFonts w:hAnsi="Times New Roman" w:cs="Times New Roman"/>
                <w:u w:val="single"/>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C52BEC">
              <w:rPr>
                <w:rFonts w:hAnsi="Times New Roman" w:cs="Times New Roman"/>
                <w:lang w:val="lt-LT"/>
              </w:rPr>
              <w:t>S</w:t>
            </w:r>
            <w:r w:rsidR="00C52BEC" w:rsidRPr="00C52BEC">
              <w:rPr>
                <w:rFonts w:hAnsi="Times New Roman" w:cs="Times New Roman"/>
                <w:lang w:val="lt-LT"/>
              </w:rPr>
              <w:t>veikiname Komisijos paruošiamuosius veiksmus, siekiant sklandžiai įg</w:t>
            </w:r>
            <w:r w:rsidR="00C52BEC" w:rsidRPr="00C52BEC">
              <w:rPr>
                <w:rFonts w:hAnsi="Times New Roman" w:cs="Times New Roman"/>
                <w:lang w:val="lt-LT"/>
              </w:rPr>
              <w:t>y</w:t>
            </w:r>
            <w:r w:rsidR="00C52BEC" w:rsidRPr="00C52BEC">
              <w:rPr>
                <w:rFonts w:hAnsi="Times New Roman" w:cs="Times New Roman"/>
                <w:lang w:val="lt-LT"/>
              </w:rPr>
              <w:t>vendinti „Kitos kart</w:t>
            </w:r>
            <w:r w:rsidR="00C52BEC">
              <w:rPr>
                <w:rFonts w:hAnsi="Times New Roman" w:cs="Times New Roman"/>
                <w:lang w:val="lt-LT"/>
              </w:rPr>
              <w:t>os ES“. Svarbu užtikrinti, kad šalių narių ekonomikų atsigavimui reikalingos l</w:t>
            </w:r>
            <w:r w:rsidR="00C52BEC" w:rsidRPr="00C52BEC">
              <w:rPr>
                <w:rFonts w:hAnsi="Times New Roman" w:cs="Times New Roman"/>
                <w:lang w:val="lt-LT"/>
              </w:rPr>
              <w:t xml:space="preserve">ėšos </w:t>
            </w:r>
            <w:r w:rsidR="00C52BEC">
              <w:rPr>
                <w:rFonts w:hAnsi="Times New Roman" w:cs="Times New Roman"/>
                <w:lang w:val="lt-LT"/>
              </w:rPr>
              <w:t xml:space="preserve">būtų </w:t>
            </w:r>
            <w:r w:rsidR="00C52BEC" w:rsidRPr="00C52BEC">
              <w:rPr>
                <w:rFonts w:hAnsi="Times New Roman" w:cs="Times New Roman"/>
                <w:lang w:val="lt-LT"/>
              </w:rPr>
              <w:t>prieinamos</w:t>
            </w:r>
            <w:r w:rsidR="00C52BEC">
              <w:rPr>
                <w:rFonts w:hAnsi="Times New Roman" w:cs="Times New Roman"/>
                <w:lang w:val="lt-LT"/>
              </w:rPr>
              <w:t xml:space="preserve"> laiku</w:t>
            </w:r>
            <w:r w:rsidR="00C52BEC" w:rsidRPr="00C52BEC">
              <w:rPr>
                <w:rFonts w:hAnsi="Times New Roman" w:cs="Times New Roman"/>
                <w:lang w:val="lt-LT"/>
              </w:rPr>
              <w:t>.</w:t>
            </w:r>
            <w:r w:rsidR="00C52BEC">
              <w:rPr>
                <w:rFonts w:hAnsi="Times New Roman" w:cs="Times New Roman"/>
                <w:lang w:val="lt-LT"/>
              </w:rPr>
              <w:t xml:space="preserve"> </w:t>
            </w:r>
            <w:r w:rsidR="00D20000">
              <w:rPr>
                <w:rFonts w:hAnsi="Times New Roman" w:cs="Times New Roman"/>
                <w:lang w:val="lt-LT"/>
              </w:rPr>
              <w:t xml:space="preserve">Remiame </w:t>
            </w:r>
            <w:r w:rsidR="002C1B25">
              <w:rPr>
                <w:rFonts w:hAnsi="Times New Roman" w:cs="Times New Roman"/>
                <w:lang w:val="lt-LT"/>
              </w:rPr>
              <w:t>ambicingą tikslą trečdalį NGEU reikalingų lėšų finansu</w:t>
            </w:r>
            <w:r w:rsidR="002C1B25">
              <w:rPr>
                <w:rFonts w:hAnsi="Times New Roman" w:cs="Times New Roman"/>
                <w:lang w:val="lt-LT"/>
              </w:rPr>
              <w:t>o</w:t>
            </w:r>
            <w:r w:rsidR="002C1B25">
              <w:rPr>
                <w:rFonts w:hAnsi="Times New Roman" w:cs="Times New Roman"/>
                <w:lang w:val="lt-LT"/>
              </w:rPr>
              <w:t xml:space="preserve">ti </w:t>
            </w:r>
            <w:r w:rsidR="00811E87">
              <w:rPr>
                <w:rFonts w:hAnsi="Times New Roman" w:cs="Times New Roman"/>
                <w:lang w:val="lt-LT"/>
              </w:rPr>
              <w:t xml:space="preserve">išleidžiant </w:t>
            </w:r>
            <w:r w:rsidR="002C1B25">
              <w:rPr>
                <w:rFonts w:hAnsi="Times New Roman" w:cs="Times New Roman"/>
                <w:lang w:val="lt-LT"/>
              </w:rPr>
              <w:t>žali</w:t>
            </w:r>
            <w:r w:rsidR="00811E87">
              <w:rPr>
                <w:rFonts w:hAnsi="Times New Roman" w:cs="Times New Roman"/>
                <w:lang w:val="lt-LT"/>
              </w:rPr>
              <w:t>ąsias</w:t>
            </w:r>
            <w:r w:rsidR="002C1B25">
              <w:rPr>
                <w:rFonts w:hAnsi="Times New Roman" w:cs="Times New Roman"/>
                <w:lang w:val="lt-LT"/>
              </w:rPr>
              <w:t xml:space="preserve"> obligacij</w:t>
            </w:r>
            <w:r w:rsidR="00811E87">
              <w:rPr>
                <w:rFonts w:hAnsi="Times New Roman" w:cs="Times New Roman"/>
                <w:lang w:val="lt-LT"/>
              </w:rPr>
              <w:t>as</w:t>
            </w:r>
            <w:r w:rsidR="002C1B25">
              <w:rPr>
                <w:rFonts w:hAnsi="Times New Roman" w:cs="Times New Roman"/>
                <w:lang w:val="lt-LT"/>
              </w:rPr>
              <w:t xml:space="preserve">. </w:t>
            </w:r>
            <w:r w:rsidR="00987B6A" w:rsidRPr="00392437">
              <w:rPr>
                <w:rFonts w:hAnsi="Times New Roman" w:cs="Times New Roman"/>
                <w:u w:val="single"/>
                <w:lang w:val="lt-LT"/>
              </w:rPr>
              <w:t xml:space="preserve">Pozicija bus </w:t>
            </w:r>
            <w:r w:rsidR="00C52BEC" w:rsidRPr="00392437">
              <w:rPr>
                <w:rFonts w:hAnsi="Times New Roman" w:cs="Times New Roman"/>
                <w:u w:val="single"/>
                <w:lang w:val="lt-LT"/>
              </w:rPr>
              <w:t xml:space="preserve">tikslinama </w:t>
            </w:r>
            <w:r w:rsidR="00987B6A" w:rsidRPr="00392437">
              <w:rPr>
                <w:rFonts w:hAnsi="Times New Roman" w:cs="Times New Roman"/>
                <w:u w:val="single"/>
                <w:lang w:val="lt-LT"/>
              </w:rPr>
              <w:t xml:space="preserve">įvertinus EK komunikatą ir susijusius dokumentus. </w:t>
            </w:r>
          </w:p>
          <w:p w:rsidR="00811E87" w:rsidRPr="00856CFA" w:rsidRDefault="00811E87" w:rsidP="00811E87">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856CFA">
              <w:rPr>
                <w:rFonts w:eastAsia="Calibri"/>
                <w:b/>
                <w:bdr w:val="none" w:sz="0" w:space="0" w:color="auto"/>
                <w:lang w:val="lt-LT"/>
              </w:rPr>
              <w:t>Dėl nuosavų išteklių.</w:t>
            </w:r>
            <w:r w:rsidRPr="00856CFA">
              <w:rPr>
                <w:rFonts w:eastAsia="Calibri"/>
                <w:bdr w:val="none" w:sz="0" w:space="0" w:color="auto"/>
                <w:lang w:val="lt-LT"/>
              </w:rPr>
              <w:t xml:space="preserve"> </w:t>
            </w:r>
            <w:r w:rsidR="00907CB4" w:rsidRPr="00907CB4">
              <w:rPr>
                <w:rFonts w:eastAsia="Calibri"/>
                <w:bdr w:val="none" w:sz="0" w:space="0" w:color="auto"/>
                <w:lang w:val="lt-LT"/>
              </w:rPr>
              <w:t>Nors kovo 11 d. buvo pasiektas preliminarus sutarimas dėl CEF regl</w:t>
            </w:r>
            <w:r w:rsidR="00907CB4" w:rsidRPr="00907CB4">
              <w:rPr>
                <w:rFonts w:eastAsia="Calibri"/>
                <w:bdr w:val="none" w:sz="0" w:space="0" w:color="auto"/>
                <w:lang w:val="lt-LT"/>
              </w:rPr>
              <w:t>a</w:t>
            </w:r>
            <w:r w:rsidR="00907CB4" w:rsidRPr="00907CB4">
              <w:rPr>
                <w:rFonts w:eastAsia="Calibri"/>
                <w:bdr w:val="none" w:sz="0" w:space="0" w:color="auto"/>
                <w:lang w:val="lt-LT"/>
              </w:rPr>
              <w:t xml:space="preserve">mento, kuriame išsaugoti EVT sutarti Lietuvai svarbūs </w:t>
            </w:r>
            <w:proofErr w:type="spellStart"/>
            <w:r w:rsidR="00907CB4" w:rsidRPr="00907CB4">
              <w:rPr>
                <w:rFonts w:eastAsia="Calibri"/>
                <w:bdr w:val="none" w:sz="0" w:space="0" w:color="auto"/>
                <w:lang w:val="lt-LT"/>
              </w:rPr>
              <w:t>Rail</w:t>
            </w:r>
            <w:proofErr w:type="spellEnd"/>
            <w:r w:rsidR="00907CB4" w:rsidRPr="00907CB4">
              <w:rPr>
                <w:rFonts w:eastAsia="Calibri"/>
                <w:bdr w:val="none" w:sz="0" w:space="0" w:color="auto"/>
                <w:lang w:val="lt-LT"/>
              </w:rPr>
              <w:t xml:space="preserve"> </w:t>
            </w:r>
            <w:proofErr w:type="spellStart"/>
            <w:r w:rsidR="00907CB4" w:rsidRPr="00907CB4">
              <w:rPr>
                <w:rFonts w:eastAsia="Calibri"/>
                <w:bdr w:val="none" w:sz="0" w:space="0" w:color="auto"/>
                <w:lang w:val="lt-LT"/>
              </w:rPr>
              <w:t>Baltica</w:t>
            </w:r>
            <w:proofErr w:type="spellEnd"/>
            <w:r w:rsidR="00907CB4" w:rsidRPr="00907CB4">
              <w:rPr>
                <w:rFonts w:eastAsia="Calibri"/>
                <w:bdr w:val="none" w:sz="0" w:space="0" w:color="auto"/>
                <w:lang w:val="lt-LT"/>
              </w:rPr>
              <w:t xml:space="preserve"> finansavimo elementai</w:t>
            </w:r>
            <w:r w:rsidR="00907CB4">
              <w:rPr>
                <w:rFonts w:eastAsia="Calibri"/>
                <w:bdr w:val="none" w:sz="0" w:space="0" w:color="auto"/>
                <w:lang w:val="lt-LT"/>
              </w:rPr>
              <w:t>,</w:t>
            </w:r>
            <w:r w:rsidR="00907CB4" w:rsidRPr="00907CB4">
              <w:rPr>
                <w:rFonts w:eastAsia="Calibri"/>
                <w:bdr w:val="none" w:sz="0" w:space="0" w:color="auto"/>
                <w:lang w:val="lt-LT"/>
              </w:rPr>
              <w:t xml:space="preserve"> vi</w:t>
            </w:r>
            <w:r w:rsidR="00907CB4" w:rsidRPr="00907CB4">
              <w:rPr>
                <w:rFonts w:eastAsia="Calibri"/>
                <w:bdr w:val="none" w:sz="0" w:space="0" w:color="auto"/>
                <w:lang w:val="lt-LT"/>
              </w:rPr>
              <w:t>s</w:t>
            </w:r>
            <w:r w:rsidR="00907CB4" w:rsidRPr="00907CB4">
              <w:rPr>
                <w:rFonts w:eastAsia="Calibri"/>
                <w:bdr w:val="none" w:sz="0" w:space="0" w:color="auto"/>
                <w:lang w:val="lt-LT"/>
              </w:rPr>
              <w:t>gi, prieš užbaigiant ES nuosavų išteklių sprendimo ratifikavimą Lie</w:t>
            </w:r>
            <w:r w:rsidR="00336353">
              <w:rPr>
                <w:rFonts w:eastAsia="Calibri"/>
                <w:bdr w:val="none" w:sz="0" w:space="0" w:color="auto"/>
                <w:lang w:val="lt-LT"/>
              </w:rPr>
              <w:t>tuvoje</w:t>
            </w:r>
            <w:r w:rsidR="00907CB4" w:rsidRPr="00907CB4">
              <w:rPr>
                <w:rFonts w:eastAsia="Calibri"/>
                <w:bdr w:val="none" w:sz="0" w:space="0" w:color="auto"/>
                <w:lang w:val="lt-LT"/>
              </w:rPr>
              <w:t>, svarbu sulaukti CEF reglamento patvi</w:t>
            </w:r>
            <w:r w:rsidR="00336353">
              <w:rPr>
                <w:rFonts w:eastAsia="Calibri"/>
                <w:bdr w:val="none" w:sz="0" w:space="0" w:color="auto"/>
                <w:lang w:val="lt-LT"/>
              </w:rPr>
              <w:t xml:space="preserve">rtinimo Europos Parlamente. </w:t>
            </w:r>
            <w:r w:rsidR="00907CB4" w:rsidRPr="00907CB4">
              <w:rPr>
                <w:rFonts w:eastAsia="Calibri"/>
                <w:bdr w:val="none" w:sz="0" w:space="0" w:color="auto"/>
                <w:lang w:val="lt-LT"/>
              </w:rPr>
              <w:t>Jei šis procesas vyks sklandžiai, ratifikavimą Li</w:t>
            </w:r>
            <w:r w:rsidR="00907CB4" w:rsidRPr="00907CB4">
              <w:rPr>
                <w:rFonts w:eastAsia="Calibri"/>
                <w:bdr w:val="none" w:sz="0" w:space="0" w:color="auto"/>
                <w:lang w:val="lt-LT"/>
              </w:rPr>
              <w:t>e</w:t>
            </w:r>
            <w:r w:rsidR="00907CB4" w:rsidRPr="00907CB4">
              <w:rPr>
                <w:rFonts w:eastAsia="Calibri"/>
                <w:bdr w:val="none" w:sz="0" w:space="0" w:color="auto"/>
                <w:lang w:val="lt-LT"/>
              </w:rPr>
              <w:t xml:space="preserve">tuvoje </w:t>
            </w:r>
            <w:r w:rsidR="00336353">
              <w:rPr>
                <w:rFonts w:eastAsia="Calibri"/>
                <w:bdr w:val="none" w:sz="0" w:space="0" w:color="auto"/>
                <w:lang w:val="lt-LT"/>
              </w:rPr>
              <w:t xml:space="preserve">bus galima </w:t>
            </w:r>
            <w:r w:rsidR="00907CB4" w:rsidRPr="00907CB4">
              <w:rPr>
                <w:rFonts w:eastAsia="Calibri"/>
                <w:bdr w:val="none" w:sz="0" w:space="0" w:color="auto"/>
                <w:lang w:val="lt-LT"/>
              </w:rPr>
              <w:t>užbaigti per kelias artimiausias savaites.</w:t>
            </w:r>
          </w:p>
          <w:p w:rsidR="00E1240D" w:rsidRPr="00E47362" w:rsidRDefault="00E1240D" w:rsidP="0032625D">
            <w:pPr>
              <w:pStyle w:val="BodyA"/>
              <w:jc w:val="both"/>
              <w:rPr>
                <w:lang w:val="lt-LT"/>
              </w:rPr>
            </w:pPr>
          </w:p>
          <w:p w:rsidR="004226F1" w:rsidRPr="00752F42" w:rsidRDefault="00E1240D" w:rsidP="00E1240D">
            <w:pPr>
              <w:pStyle w:val="BodyA"/>
              <w:jc w:val="both"/>
              <w:rPr>
                <w:rFonts w:hAnsi="Times New Roman" w:cs="Times New Roman"/>
                <w:b/>
                <w:lang w:val="lt-LT"/>
              </w:rPr>
            </w:pPr>
            <w:r w:rsidRPr="0058519B">
              <w:rPr>
                <w:rFonts w:hAnsi="Times New Roman" w:cs="Times New Roman"/>
                <w:b/>
                <w:lang w:val="lt-LT"/>
              </w:rPr>
              <w:t xml:space="preserve">3. </w:t>
            </w:r>
            <w:r w:rsidR="00E24F35" w:rsidRPr="0058519B">
              <w:rPr>
                <w:rFonts w:hAnsi="Times New Roman" w:cs="Times New Roman"/>
                <w:b/>
                <w:lang w:val="lt-LT"/>
              </w:rPr>
              <w:t xml:space="preserve">Europos </w:t>
            </w:r>
            <w:r w:rsidR="0098163A">
              <w:rPr>
                <w:rFonts w:hAnsi="Times New Roman" w:cs="Times New Roman"/>
                <w:b/>
                <w:lang w:val="lt-LT"/>
              </w:rPr>
              <w:t xml:space="preserve">finansų architektūra vystymuisi </w:t>
            </w:r>
            <w:r w:rsidR="004226F1" w:rsidRPr="00752F42">
              <w:rPr>
                <w:rFonts w:hAnsi="Times New Roman" w:cs="Times New Roman"/>
                <w:i/>
                <w:lang w:val="lt-LT"/>
              </w:rPr>
              <w:t>(</w:t>
            </w:r>
            <w:r w:rsidR="00E24F35" w:rsidRPr="00752F42">
              <w:rPr>
                <w:rFonts w:hAnsi="Times New Roman" w:cs="Times New Roman"/>
                <w:i/>
                <w:lang w:val="lt-LT"/>
              </w:rPr>
              <w:t>Apsikeitimas nuomonėmis</w:t>
            </w:r>
            <w:r w:rsidR="004226F1" w:rsidRPr="00752F42">
              <w:rPr>
                <w:rFonts w:hAnsi="Times New Roman" w:cs="Times New Roman"/>
                <w:i/>
                <w:lang w:val="lt-LT"/>
              </w:rPr>
              <w:t>)</w:t>
            </w:r>
          </w:p>
          <w:p w:rsidR="00816959" w:rsidRDefault="00752F42" w:rsidP="009816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98163A">
              <w:rPr>
                <w:rFonts w:eastAsia="Calibri"/>
                <w:b/>
                <w:u w:val="single"/>
                <w:bdr w:val="none" w:sz="0" w:space="0" w:color="auto"/>
                <w:lang w:val="lt-LT"/>
              </w:rPr>
              <w:t xml:space="preserve">Klausimo esmė. </w:t>
            </w:r>
            <w:r w:rsidR="0098163A" w:rsidRPr="0098163A">
              <w:rPr>
                <w:rFonts w:eastAsia="Calibri"/>
                <w:bdr w:val="none" w:sz="0" w:space="0" w:color="auto"/>
                <w:lang w:val="lt-LT" w:eastAsia="fr-BE"/>
              </w:rPr>
              <w:t xml:space="preserve">2019 m. </w:t>
            </w:r>
            <w:r w:rsidR="0098163A" w:rsidRPr="0098163A">
              <w:rPr>
                <w:rFonts w:eastAsia="Calibri"/>
                <w:bdr w:val="none" w:sz="0" w:space="0" w:color="auto"/>
                <w:lang w:val="lt-LT"/>
              </w:rPr>
              <w:t>Ekspertų darbo grupė (</w:t>
            </w:r>
            <w:r w:rsidR="0098163A" w:rsidRPr="0098163A">
              <w:rPr>
                <w:rFonts w:eastAsia="Calibri"/>
                <w:i/>
                <w:bdr w:val="none" w:sz="0" w:space="0" w:color="auto"/>
                <w:lang w:val="lt-LT"/>
              </w:rPr>
              <w:t xml:space="preserve">angl. </w:t>
            </w:r>
            <w:proofErr w:type="spellStart"/>
            <w:r w:rsidR="0098163A" w:rsidRPr="0098163A">
              <w:rPr>
                <w:rFonts w:eastAsia="Calibri"/>
                <w:i/>
                <w:bdr w:val="none" w:sz="0" w:space="0" w:color="auto"/>
                <w:lang w:val="lt-LT"/>
              </w:rPr>
              <w:t>Wise</w:t>
            </w:r>
            <w:proofErr w:type="spellEnd"/>
            <w:r w:rsidR="0098163A" w:rsidRPr="0098163A">
              <w:rPr>
                <w:rFonts w:eastAsia="Calibri"/>
                <w:i/>
                <w:bdr w:val="none" w:sz="0" w:space="0" w:color="auto"/>
                <w:lang w:val="lt-LT"/>
              </w:rPr>
              <w:t xml:space="preserve"> </w:t>
            </w:r>
            <w:proofErr w:type="spellStart"/>
            <w:r w:rsidR="0098163A" w:rsidRPr="0098163A">
              <w:rPr>
                <w:rFonts w:eastAsia="Calibri"/>
                <w:i/>
                <w:bdr w:val="none" w:sz="0" w:space="0" w:color="auto"/>
                <w:lang w:val="lt-LT"/>
              </w:rPr>
              <w:t>Persons</w:t>
            </w:r>
            <w:proofErr w:type="spellEnd"/>
            <w:r w:rsidR="0098163A" w:rsidRPr="0098163A">
              <w:rPr>
                <w:rFonts w:eastAsia="Calibri"/>
                <w:i/>
                <w:bdr w:val="none" w:sz="0" w:space="0" w:color="auto"/>
                <w:lang w:val="lt-LT"/>
              </w:rPr>
              <w:t xml:space="preserve"> </w:t>
            </w:r>
            <w:proofErr w:type="spellStart"/>
            <w:r w:rsidR="0098163A" w:rsidRPr="0098163A">
              <w:rPr>
                <w:rFonts w:eastAsia="Calibri"/>
                <w:i/>
                <w:bdr w:val="none" w:sz="0" w:space="0" w:color="auto"/>
                <w:lang w:val="lt-LT"/>
              </w:rPr>
              <w:t>Group</w:t>
            </w:r>
            <w:proofErr w:type="spellEnd"/>
            <w:r w:rsidR="0098163A" w:rsidRPr="0098163A">
              <w:rPr>
                <w:rFonts w:eastAsia="Calibri"/>
                <w:bdr w:val="none" w:sz="0" w:space="0" w:color="auto"/>
                <w:lang w:val="lt-LT"/>
              </w:rPr>
              <w:t xml:space="preserve">) Europos finansų architektūros vystymuisi </w:t>
            </w:r>
            <w:r w:rsidR="0098163A" w:rsidRPr="0098163A">
              <w:rPr>
                <w:rFonts w:eastAsia="Calibri"/>
                <w:color w:val="000000"/>
                <w:bdr w:val="none" w:sz="0" w:space="0" w:color="auto"/>
                <w:lang w:val="lt-LT"/>
              </w:rPr>
              <w:t>tob</w:t>
            </w:r>
            <w:r w:rsidR="00FD757A">
              <w:rPr>
                <w:rFonts w:eastAsia="Calibri"/>
                <w:color w:val="000000"/>
                <w:bdr w:val="none" w:sz="0" w:space="0" w:color="auto"/>
                <w:lang w:val="lt-LT"/>
              </w:rPr>
              <w:t xml:space="preserve">ulinimo galimybėms išnagrinėti paskelbė </w:t>
            </w:r>
            <w:r w:rsidR="00FD757A">
              <w:rPr>
                <w:rFonts w:eastAsia="Calibri"/>
                <w:bdr w:val="none" w:sz="0" w:space="0" w:color="auto"/>
                <w:lang w:val="lt-LT"/>
              </w:rPr>
              <w:t>a</w:t>
            </w:r>
            <w:r w:rsidR="0098163A" w:rsidRPr="0098163A">
              <w:rPr>
                <w:rFonts w:eastAsia="Calibri"/>
                <w:bdr w:val="none" w:sz="0" w:space="0" w:color="auto"/>
                <w:lang w:val="lt-LT"/>
              </w:rPr>
              <w:t>ta</w:t>
            </w:r>
            <w:r w:rsidR="00FD757A">
              <w:rPr>
                <w:rFonts w:eastAsia="Calibri"/>
                <w:bdr w:val="none" w:sz="0" w:space="0" w:color="auto"/>
                <w:lang w:val="lt-LT"/>
              </w:rPr>
              <w:t>skaitą, kurioje</w:t>
            </w:r>
            <w:r w:rsidR="0098163A" w:rsidRPr="0098163A">
              <w:rPr>
                <w:rFonts w:eastAsia="Calibri"/>
                <w:bdr w:val="none" w:sz="0" w:space="0" w:color="auto"/>
                <w:lang w:val="lt-LT"/>
              </w:rPr>
              <w:t xml:space="preserve"> paž</w:t>
            </w:r>
            <w:r w:rsidR="0098163A" w:rsidRPr="0098163A">
              <w:rPr>
                <w:rFonts w:eastAsia="Calibri"/>
                <w:bdr w:val="none" w:sz="0" w:space="0" w:color="auto"/>
                <w:lang w:val="lt-LT"/>
              </w:rPr>
              <w:t>y</w:t>
            </w:r>
            <w:r w:rsidR="0098163A" w:rsidRPr="0098163A">
              <w:rPr>
                <w:rFonts w:eastAsia="Calibri"/>
                <w:bdr w:val="none" w:sz="0" w:space="0" w:color="auto"/>
                <w:lang w:val="lt-LT"/>
              </w:rPr>
              <w:t>mima, kad dabartinė Europos finansų architektūra vystymuisi yra fragmentuota, pasižyminti persidengimu, sektoriniu ir geografiniu neefektyvumu, patirties Afrikoje stoka, taip pat konst</w:t>
            </w:r>
            <w:r w:rsidR="0098163A" w:rsidRPr="0098163A">
              <w:rPr>
                <w:rFonts w:eastAsia="Calibri"/>
                <w:bdr w:val="none" w:sz="0" w:space="0" w:color="auto"/>
                <w:lang w:val="lt-LT"/>
              </w:rPr>
              <w:t>a</w:t>
            </w:r>
            <w:r w:rsidR="0098163A" w:rsidRPr="0098163A">
              <w:rPr>
                <w:rFonts w:eastAsia="Calibri"/>
                <w:bdr w:val="none" w:sz="0" w:space="0" w:color="auto"/>
                <w:lang w:val="lt-LT"/>
              </w:rPr>
              <w:t xml:space="preserve">tuojamas Europos strateginio požiūrio trūkumas. </w:t>
            </w:r>
            <w:r w:rsidR="00FD757A">
              <w:rPr>
                <w:rFonts w:eastAsia="Calibri"/>
                <w:bdr w:val="none" w:sz="0" w:space="0" w:color="auto"/>
                <w:lang w:val="lt-LT"/>
              </w:rPr>
              <w:t xml:space="preserve">Ataskaitoje </w:t>
            </w:r>
            <w:r w:rsidR="00FD757A" w:rsidRPr="00FD757A">
              <w:rPr>
                <w:rFonts w:eastAsia="Calibri"/>
                <w:bdr w:val="none" w:sz="0" w:space="0" w:color="auto"/>
                <w:lang w:val="lt-LT"/>
              </w:rPr>
              <w:t xml:space="preserve">ilguoju laikotarpiu </w:t>
            </w:r>
            <w:r w:rsidR="00FD757A">
              <w:rPr>
                <w:rFonts w:eastAsia="Calibri"/>
                <w:bdr w:val="none" w:sz="0" w:space="0" w:color="auto"/>
                <w:lang w:val="lt-LT"/>
              </w:rPr>
              <w:t xml:space="preserve">siūlomos </w:t>
            </w:r>
            <w:r w:rsidR="0098163A" w:rsidRPr="0098163A">
              <w:rPr>
                <w:rFonts w:eastAsia="Calibri"/>
                <w:bdr w:val="none" w:sz="0" w:space="0" w:color="auto"/>
                <w:lang w:val="lt-LT"/>
              </w:rPr>
              <w:t>3 o</w:t>
            </w:r>
            <w:r w:rsidR="0098163A" w:rsidRPr="0098163A">
              <w:rPr>
                <w:rFonts w:eastAsia="Calibri"/>
                <w:bdr w:val="none" w:sz="0" w:space="0" w:color="auto"/>
                <w:lang w:val="lt-LT"/>
              </w:rPr>
              <w:t>p</w:t>
            </w:r>
            <w:r w:rsidR="0098163A" w:rsidRPr="0098163A">
              <w:rPr>
                <w:rFonts w:eastAsia="Calibri"/>
                <w:bdr w:val="none" w:sz="0" w:space="0" w:color="auto"/>
                <w:lang w:val="lt-LT"/>
              </w:rPr>
              <w:t>ci</w:t>
            </w:r>
            <w:r w:rsidR="00FD757A">
              <w:rPr>
                <w:rFonts w:eastAsia="Calibri"/>
                <w:bdr w:val="none" w:sz="0" w:space="0" w:color="auto"/>
                <w:lang w:val="lt-LT"/>
              </w:rPr>
              <w:t>jo</w:t>
            </w:r>
            <w:r w:rsidR="0098163A" w:rsidRPr="0098163A">
              <w:rPr>
                <w:rFonts w:eastAsia="Calibri"/>
                <w:bdr w:val="none" w:sz="0" w:space="0" w:color="auto"/>
                <w:lang w:val="lt-LT"/>
              </w:rPr>
              <w:t xml:space="preserve">s dėl institucinių reformų sukuriant vieną Europos klimato ir tvaraus vystymosi banką (toliau – EKTVB): 1 – EKTVB kūrimas </w:t>
            </w:r>
            <w:r w:rsidR="00FD757A" w:rsidRPr="00FD757A">
              <w:rPr>
                <w:rFonts w:eastAsia="Calibri"/>
                <w:bdr w:val="none" w:sz="0" w:space="0" w:color="auto"/>
                <w:lang w:val="lt-LT"/>
              </w:rPr>
              <w:t>Europos r</w:t>
            </w:r>
            <w:r w:rsidR="00FD757A">
              <w:rPr>
                <w:rFonts w:eastAsia="Calibri"/>
                <w:bdr w:val="none" w:sz="0" w:space="0" w:color="auto"/>
                <w:lang w:val="lt-LT"/>
              </w:rPr>
              <w:t>ekonstrukcijos ir plėtros banko</w:t>
            </w:r>
            <w:r w:rsidR="00FD757A" w:rsidRPr="00FD757A">
              <w:rPr>
                <w:rFonts w:eastAsia="Calibri"/>
                <w:bdr w:val="none" w:sz="0" w:space="0" w:color="auto"/>
                <w:lang w:val="lt-LT"/>
              </w:rPr>
              <w:t xml:space="preserve"> </w:t>
            </w:r>
            <w:r w:rsidR="00FD757A">
              <w:rPr>
                <w:rFonts w:eastAsia="Calibri"/>
                <w:bdr w:val="none" w:sz="0" w:space="0" w:color="auto"/>
                <w:lang w:val="lt-LT"/>
              </w:rPr>
              <w:t>(</w:t>
            </w:r>
            <w:r w:rsidR="0098163A" w:rsidRPr="0098163A">
              <w:rPr>
                <w:rFonts w:eastAsia="Calibri"/>
                <w:bdr w:val="none" w:sz="0" w:space="0" w:color="auto"/>
                <w:lang w:val="lt-LT"/>
              </w:rPr>
              <w:t>ERPB</w:t>
            </w:r>
            <w:r w:rsidR="00FD757A">
              <w:rPr>
                <w:rFonts w:eastAsia="Calibri"/>
                <w:bdr w:val="none" w:sz="0" w:space="0" w:color="auto"/>
                <w:lang w:val="lt-LT"/>
              </w:rPr>
              <w:t>)</w:t>
            </w:r>
            <w:r w:rsidR="0098163A" w:rsidRPr="0098163A">
              <w:rPr>
                <w:rFonts w:eastAsia="Calibri"/>
                <w:bdr w:val="none" w:sz="0" w:space="0" w:color="auto"/>
                <w:lang w:val="lt-LT"/>
              </w:rPr>
              <w:t xml:space="preserve"> pagrindu, 2 – sukurti naują instituciją, 3 – EKTVB kūrimas naujos dukterinės EIB institucijos pagrindu. </w:t>
            </w:r>
          </w:p>
          <w:p w:rsidR="00FD757A" w:rsidRPr="00FD757A" w:rsidRDefault="00FD757A" w:rsidP="00FD75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bidi="lt-LT"/>
              </w:rPr>
            </w:pPr>
            <w:r w:rsidRPr="00FD757A">
              <w:rPr>
                <w:rFonts w:eastAsia="Times New Roman"/>
                <w:color w:val="000000"/>
                <w:bdr w:val="none" w:sz="0" w:space="0" w:color="auto"/>
                <w:lang w:val="lt-LT" w:eastAsia="lt-LT" w:bidi="lt-LT"/>
              </w:rPr>
              <w:t xml:space="preserve">2021 m. kovo 11 d. </w:t>
            </w:r>
            <w:r>
              <w:rPr>
                <w:rFonts w:eastAsia="Times New Roman"/>
                <w:color w:val="000000"/>
                <w:bdr w:val="none" w:sz="0" w:space="0" w:color="auto"/>
                <w:lang w:val="lt-LT" w:eastAsia="lt-LT" w:bidi="lt-LT"/>
              </w:rPr>
              <w:t>paskelbta nepriklausoma galimybių</w:t>
            </w:r>
            <w:r w:rsidRPr="00FD757A">
              <w:rPr>
                <w:rFonts w:eastAsia="Times New Roman"/>
                <w:color w:val="000000"/>
                <w:bdr w:val="none" w:sz="0" w:space="0" w:color="auto"/>
                <w:lang w:val="lt-LT" w:eastAsia="lt-LT" w:bidi="lt-LT"/>
              </w:rPr>
              <w:t xml:space="preserve"> studi</w:t>
            </w:r>
            <w:r>
              <w:rPr>
                <w:rFonts w:eastAsia="Times New Roman"/>
                <w:color w:val="000000"/>
                <w:bdr w:val="none" w:sz="0" w:space="0" w:color="auto"/>
                <w:lang w:val="lt-LT" w:eastAsia="lt-LT" w:bidi="lt-LT"/>
              </w:rPr>
              <w:t>ja, kurioje</w:t>
            </w:r>
            <w:r w:rsidRPr="00FD757A">
              <w:rPr>
                <w:rFonts w:eastAsia="Times New Roman"/>
                <w:color w:val="000000"/>
                <w:bdr w:val="none" w:sz="0" w:space="0" w:color="auto"/>
                <w:lang w:val="lt-LT" w:eastAsia="lt-LT" w:bidi="lt-LT"/>
              </w:rPr>
              <w:t xml:space="preserve"> nagrinėjami 3 scenarijai: A scenarijus – EKTVB kūrimas ERPB pagrindu, B scenarijus – EKTVB kūrimas naujos dukt</w:t>
            </w:r>
            <w:r w:rsidRPr="00FD757A">
              <w:rPr>
                <w:rFonts w:eastAsia="Times New Roman"/>
                <w:color w:val="000000"/>
                <w:bdr w:val="none" w:sz="0" w:space="0" w:color="auto"/>
                <w:lang w:val="lt-LT" w:eastAsia="lt-LT" w:bidi="lt-LT"/>
              </w:rPr>
              <w:t>e</w:t>
            </w:r>
            <w:r w:rsidRPr="00FD757A">
              <w:rPr>
                <w:rFonts w:eastAsia="Times New Roman"/>
                <w:color w:val="000000"/>
                <w:bdr w:val="none" w:sz="0" w:space="0" w:color="auto"/>
                <w:lang w:val="lt-LT" w:eastAsia="lt-LT" w:bidi="lt-LT"/>
              </w:rPr>
              <w:t xml:space="preserve">rinės EIB institucijos pagrindu, C scenarijus – Status </w:t>
            </w:r>
            <w:proofErr w:type="spellStart"/>
            <w:r w:rsidRPr="00FD757A">
              <w:rPr>
                <w:rFonts w:eastAsia="Times New Roman"/>
                <w:color w:val="000000"/>
                <w:bdr w:val="none" w:sz="0" w:space="0" w:color="auto"/>
                <w:lang w:val="lt-LT" w:eastAsia="lt-LT" w:bidi="lt-LT"/>
              </w:rPr>
              <w:t>Quo</w:t>
            </w:r>
            <w:proofErr w:type="spellEnd"/>
            <w:r w:rsidRPr="00FD757A">
              <w:rPr>
                <w:rFonts w:eastAsia="Times New Roman"/>
                <w:color w:val="000000"/>
                <w:bdr w:val="none" w:sz="0" w:space="0" w:color="auto"/>
                <w:lang w:val="lt-LT" w:eastAsia="lt-LT" w:bidi="lt-LT"/>
              </w:rPr>
              <w:t xml:space="preserve"> +.</w:t>
            </w:r>
          </w:p>
          <w:p w:rsidR="00FD757A" w:rsidRDefault="00FD757A" w:rsidP="00FD75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bidi="lt-LT"/>
              </w:rPr>
            </w:pPr>
            <w:r w:rsidRPr="00FD757A">
              <w:rPr>
                <w:rFonts w:eastAsia="Times New Roman"/>
                <w:color w:val="000000"/>
                <w:bdr w:val="none" w:sz="0" w:space="0" w:color="auto"/>
                <w:lang w:val="lt-LT" w:eastAsia="lt-LT" w:bidi="lt-LT"/>
              </w:rPr>
              <w:t>Pagrindi</w:t>
            </w:r>
            <w:r>
              <w:rPr>
                <w:rFonts w:eastAsia="Times New Roman"/>
                <w:color w:val="000000"/>
                <w:bdr w:val="none" w:sz="0" w:space="0" w:color="auto"/>
                <w:lang w:val="lt-LT" w:eastAsia="lt-LT" w:bidi="lt-LT"/>
              </w:rPr>
              <w:t xml:space="preserve">nės galimybių studijos išvados: </w:t>
            </w:r>
            <w:r w:rsidRPr="00FD757A">
              <w:rPr>
                <w:rFonts w:eastAsia="Times New Roman"/>
                <w:color w:val="000000"/>
                <w:bdr w:val="none" w:sz="0" w:space="0" w:color="auto"/>
                <w:lang w:val="lt-LT" w:eastAsia="lt-LT" w:bidi="lt-LT"/>
              </w:rPr>
              <w:t xml:space="preserve">A ar B scenarijų </w:t>
            </w:r>
            <w:r>
              <w:rPr>
                <w:rFonts w:eastAsia="Times New Roman"/>
                <w:color w:val="000000"/>
                <w:bdr w:val="none" w:sz="0" w:space="0" w:color="auto"/>
                <w:lang w:val="lt-LT" w:eastAsia="lt-LT" w:bidi="lt-LT"/>
              </w:rPr>
              <w:t xml:space="preserve">įgyvendinimas </w:t>
            </w:r>
            <w:r w:rsidRPr="00FD757A">
              <w:rPr>
                <w:rFonts w:eastAsia="Times New Roman"/>
                <w:color w:val="000000"/>
                <w:bdr w:val="none" w:sz="0" w:space="0" w:color="auto"/>
                <w:lang w:val="lt-LT" w:eastAsia="lt-LT" w:bidi="lt-LT"/>
              </w:rPr>
              <w:t>užtruktų apie 10 metų, todėl realiausias</w:t>
            </w:r>
            <w:r>
              <w:rPr>
                <w:rFonts w:eastAsia="Times New Roman"/>
                <w:color w:val="000000"/>
                <w:bdr w:val="none" w:sz="0" w:space="0" w:color="auto"/>
                <w:lang w:val="lt-LT" w:eastAsia="lt-LT" w:bidi="lt-LT"/>
              </w:rPr>
              <w:t xml:space="preserve"> scenarijus yra C (Status </w:t>
            </w:r>
            <w:proofErr w:type="spellStart"/>
            <w:r>
              <w:rPr>
                <w:rFonts w:eastAsia="Times New Roman"/>
                <w:color w:val="000000"/>
                <w:bdr w:val="none" w:sz="0" w:space="0" w:color="auto"/>
                <w:lang w:val="lt-LT" w:eastAsia="lt-LT" w:bidi="lt-LT"/>
              </w:rPr>
              <w:t>quo</w:t>
            </w:r>
            <w:proofErr w:type="spellEnd"/>
            <w:r>
              <w:rPr>
                <w:rFonts w:eastAsia="Times New Roman"/>
                <w:color w:val="000000"/>
                <w:bdr w:val="none" w:sz="0" w:space="0" w:color="auto"/>
                <w:lang w:val="lt-LT" w:eastAsia="lt-LT" w:bidi="lt-LT"/>
              </w:rPr>
              <w:t>+).</w:t>
            </w:r>
            <w:r w:rsidRPr="00FD757A">
              <w:rPr>
                <w:rFonts w:eastAsia="Times New Roman"/>
                <w:color w:val="000000"/>
                <w:bdr w:val="none" w:sz="0" w:space="0" w:color="auto"/>
                <w:lang w:val="lt-LT" w:eastAsia="lt-LT" w:bidi="lt-LT"/>
              </w:rPr>
              <w:t xml:space="preserve"> </w:t>
            </w:r>
            <w:r>
              <w:rPr>
                <w:rFonts w:eastAsia="Times New Roman"/>
                <w:color w:val="000000"/>
                <w:bdr w:val="none" w:sz="0" w:space="0" w:color="auto"/>
                <w:lang w:val="lt-LT" w:eastAsia="lt-LT" w:bidi="lt-LT"/>
              </w:rPr>
              <w:t xml:space="preserve">Siekiant, </w:t>
            </w:r>
            <w:r w:rsidRPr="00FD757A">
              <w:rPr>
                <w:rFonts w:eastAsia="Times New Roman"/>
                <w:color w:val="000000"/>
                <w:bdr w:val="none" w:sz="0" w:space="0" w:color="auto"/>
                <w:lang w:val="lt-LT" w:eastAsia="lt-LT" w:bidi="lt-LT"/>
              </w:rPr>
              <w:t>kad jis būtų sėkmingas, reikalingas sustiprintas val</w:t>
            </w:r>
            <w:r>
              <w:rPr>
                <w:rFonts w:eastAsia="Times New Roman"/>
                <w:color w:val="000000"/>
                <w:bdr w:val="none" w:sz="0" w:space="0" w:color="auto"/>
                <w:lang w:val="lt-LT" w:eastAsia="lt-LT" w:bidi="lt-LT"/>
              </w:rPr>
              <w:t>dymas iš EK</w:t>
            </w:r>
            <w:r w:rsidRPr="00FD757A">
              <w:rPr>
                <w:rFonts w:eastAsia="Times New Roman"/>
                <w:color w:val="000000"/>
                <w:bdr w:val="none" w:sz="0" w:space="0" w:color="auto"/>
                <w:lang w:val="lt-LT" w:eastAsia="lt-LT" w:bidi="lt-LT"/>
              </w:rPr>
              <w:t xml:space="preserve"> pusės, </w:t>
            </w:r>
            <w:r>
              <w:rPr>
                <w:rFonts w:eastAsia="Times New Roman"/>
                <w:color w:val="000000"/>
                <w:bdr w:val="none" w:sz="0" w:space="0" w:color="auto"/>
                <w:lang w:val="lt-LT" w:eastAsia="lt-LT" w:bidi="lt-LT"/>
              </w:rPr>
              <w:t>r</w:t>
            </w:r>
            <w:r w:rsidRPr="00FD757A">
              <w:rPr>
                <w:rFonts w:eastAsia="Times New Roman"/>
                <w:color w:val="000000"/>
                <w:bdr w:val="none" w:sz="0" w:space="0" w:color="auto"/>
                <w:lang w:val="lt-LT" w:eastAsia="lt-LT" w:bidi="lt-LT"/>
              </w:rPr>
              <w:t>eikia išnaudoti įvairias bendradarbiavimo platformas, įska</w:t>
            </w:r>
            <w:r w:rsidRPr="00FD757A">
              <w:rPr>
                <w:rFonts w:eastAsia="Times New Roman"/>
                <w:color w:val="000000"/>
                <w:bdr w:val="none" w:sz="0" w:space="0" w:color="auto"/>
                <w:lang w:val="lt-LT" w:eastAsia="lt-LT" w:bidi="lt-LT"/>
              </w:rPr>
              <w:t>i</w:t>
            </w:r>
            <w:r w:rsidRPr="00FD757A">
              <w:rPr>
                <w:rFonts w:eastAsia="Times New Roman"/>
                <w:color w:val="000000"/>
                <w:bdr w:val="none" w:sz="0" w:space="0" w:color="auto"/>
                <w:lang w:val="lt-LT" w:eastAsia="lt-LT" w:bidi="lt-LT"/>
              </w:rPr>
              <w:t xml:space="preserve">tant „Europos komandą“ (angl. </w:t>
            </w:r>
            <w:proofErr w:type="spellStart"/>
            <w:r w:rsidRPr="00FD757A">
              <w:rPr>
                <w:rFonts w:eastAsia="Times New Roman"/>
                <w:color w:val="000000"/>
                <w:bdr w:val="none" w:sz="0" w:space="0" w:color="auto"/>
                <w:lang w:val="lt-LT" w:eastAsia="lt-LT" w:bidi="lt-LT"/>
              </w:rPr>
              <w:t>Team</w:t>
            </w:r>
            <w:proofErr w:type="spellEnd"/>
            <w:r w:rsidRPr="00FD757A">
              <w:rPr>
                <w:rFonts w:eastAsia="Times New Roman"/>
                <w:color w:val="000000"/>
                <w:bdr w:val="none" w:sz="0" w:space="0" w:color="auto"/>
                <w:lang w:val="lt-LT" w:eastAsia="lt-LT" w:bidi="lt-LT"/>
              </w:rPr>
              <w:t xml:space="preserve"> </w:t>
            </w:r>
            <w:proofErr w:type="spellStart"/>
            <w:r w:rsidRPr="00FD757A">
              <w:rPr>
                <w:rFonts w:eastAsia="Times New Roman"/>
                <w:color w:val="000000"/>
                <w:bdr w:val="none" w:sz="0" w:space="0" w:color="auto"/>
                <w:lang w:val="lt-LT" w:eastAsia="lt-LT" w:bidi="lt-LT"/>
              </w:rPr>
              <w:t>Europe</w:t>
            </w:r>
            <w:proofErr w:type="spellEnd"/>
            <w:r w:rsidRPr="00FD757A">
              <w:rPr>
                <w:rFonts w:eastAsia="Times New Roman"/>
                <w:color w:val="000000"/>
                <w:bdr w:val="none" w:sz="0" w:space="0" w:color="auto"/>
                <w:lang w:val="lt-LT" w:eastAsia="lt-LT" w:bidi="lt-LT"/>
              </w:rPr>
              <w:t>), koordinuoti veiksmus šalyse part</w:t>
            </w:r>
            <w:r>
              <w:rPr>
                <w:rFonts w:eastAsia="Times New Roman"/>
                <w:color w:val="000000"/>
                <w:bdr w:val="none" w:sz="0" w:space="0" w:color="auto"/>
                <w:lang w:val="lt-LT" w:eastAsia="lt-LT" w:bidi="lt-LT"/>
              </w:rPr>
              <w:t>nerėse ir</w:t>
            </w:r>
            <w:r w:rsidRPr="00FD757A">
              <w:rPr>
                <w:rFonts w:eastAsia="Times New Roman"/>
                <w:color w:val="000000"/>
                <w:bdr w:val="none" w:sz="0" w:space="0" w:color="auto"/>
                <w:lang w:val="lt-LT" w:eastAsia="lt-LT" w:bidi="lt-LT"/>
              </w:rPr>
              <w:t xml:space="preserve"> regi</w:t>
            </w:r>
            <w:r w:rsidRPr="00FD757A">
              <w:rPr>
                <w:rFonts w:eastAsia="Times New Roman"/>
                <w:color w:val="000000"/>
                <w:bdr w:val="none" w:sz="0" w:space="0" w:color="auto"/>
                <w:lang w:val="lt-LT" w:eastAsia="lt-LT" w:bidi="lt-LT"/>
              </w:rPr>
              <w:t>o</w:t>
            </w:r>
            <w:r w:rsidRPr="00FD757A">
              <w:rPr>
                <w:rFonts w:eastAsia="Times New Roman"/>
                <w:color w:val="000000"/>
                <w:bdr w:val="none" w:sz="0" w:space="0" w:color="auto"/>
                <w:lang w:val="lt-LT" w:eastAsia="lt-LT" w:bidi="lt-LT"/>
              </w:rPr>
              <w:t>niniu lygmeniu, pasinaudoti šalies ir regioninėmis „platformomis“ veiksmų koordinavimui. In</w:t>
            </w:r>
            <w:r w:rsidRPr="00FD757A">
              <w:rPr>
                <w:rFonts w:eastAsia="Times New Roman"/>
                <w:color w:val="000000"/>
                <w:bdr w:val="none" w:sz="0" w:space="0" w:color="auto"/>
                <w:lang w:val="lt-LT" w:eastAsia="lt-LT" w:bidi="lt-LT"/>
              </w:rPr>
              <w:t>s</w:t>
            </w:r>
            <w:r w:rsidRPr="00FD757A">
              <w:rPr>
                <w:rFonts w:eastAsia="Times New Roman"/>
                <w:color w:val="000000"/>
                <w:bdr w:val="none" w:sz="0" w:space="0" w:color="auto"/>
                <w:lang w:val="lt-LT" w:eastAsia="lt-LT" w:bidi="lt-LT"/>
              </w:rPr>
              <w:t>tituciniai pokyčiai šiuo scenarijumi nebūtų daromi, bet tiek ERPB, tiek EIB turėtų imtis veiksmų panaikinti pagrindinius scenarijų A ir B trūkumus</w:t>
            </w:r>
            <w:r>
              <w:rPr>
                <w:rFonts w:eastAsia="Times New Roman"/>
                <w:color w:val="000000"/>
                <w:bdr w:val="none" w:sz="0" w:space="0" w:color="auto"/>
                <w:lang w:val="lt-LT" w:eastAsia="lt-LT" w:bidi="lt-LT"/>
              </w:rPr>
              <w:t>.</w:t>
            </w:r>
          </w:p>
          <w:p w:rsidR="00161D1D" w:rsidRPr="0098163A" w:rsidRDefault="00161D1D" w:rsidP="00FD75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bidi="lt-LT"/>
              </w:rPr>
            </w:pPr>
          </w:p>
          <w:p w:rsidR="00E24F35" w:rsidRDefault="00816959" w:rsidP="004226F1">
            <w:pPr>
              <w:pStyle w:val="BodyA"/>
              <w:jc w:val="both"/>
              <w:rPr>
                <w:rFonts w:eastAsia="Calibri" w:hAnsi="Times New Roman" w:cs="Times New Roman"/>
                <w:color w:val="auto"/>
                <w:bdr w:val="none" w:sz="0" w:space="0" w:color="auto"/>
                <w:lang w:val="lt-LT"/>
              </w:rPr>
            </w:pPr>
            <w:r w:rsidRPr="00752F42">
              <w:rPr>
                <w:rFonts w:eastAsia="Calibri"/>
                <w:b/>
                <w:u w:val="single"/>
                <w:bdr w:val="none" w:sz="0" w:space="0" w:color="auto"/>
                <w:lang w:val="lt-LT"/>
              </w:rPr>
              <w:t>Lietuvos pozicija</w:t>
            </w:r>
            <w:r w:rsidRPr="00752F42">
              <w:rPr>
                <w:rFonts w:eastAsia="Calibri"/>
                <w:bdr w:val="none" w:sz="0" w:space="0" w:color="auto"/>
                <w:lang w:val="lt-LT"/>
              </w:rPr>
              <w:t xml:space="preserve">: </w:t>
            </w:r>
            <w:r w:rsidR="004A21F3" w:rsidRPr="004A21F3">
              <w:rPr>
                <w:rFonts w:eastAsia="Calibri" w:hAnsi="Times New Roman" w:cs="Times New Roman"/>
                <w:color w:val="auto"/>
                <w:bdr w:val="none" w:sz="0" w:space="0" w:color="auto"/>
                <w:lang w:val="lt-LT"/>
              </w:rPr>
              <w:t>Viso proceso metu pasisakėme už tai, kad svarstant galimus esamos sistemos tobulinimo variantus būtų siekiama papildomumo, vengiama dubliavimosi, institucijų konkur</w:t>
            </w:r>
            <w:r w:rsidR="004A21F3" w:rsidRPr="004A21F3">
              <w:rPr>
                <w:rFonts w:eastAsia="Calibri" w:hAnsi="Times New Roman" w:cs="Times New Roman"/>
                <w:color w:val="auto"/>
                <w:bdr w:val="none" w:sz="0" w:space="0" w:color="auto"/>
                <w:lang w:val="lt-LT"/>
              </w:rPr>
              <w:t>a</w:t>
            </w:r>
            <w:r w:rsidR="004A21F3" w:rsidRPr="004A21F3">
              <w:rPr>
                <w:rFonts w:eastAsia="Calibri" w:hAnsi="Times New Roman" w:cs="Times New Roman"/>
                <w:color w:val="auto"/>
                <w:bdr w:val="none" w:sz="0" w:space="0" w:color="auto"/>
                <w:lang w:val="lt-LT"/>
              </w:rPr>
              <w:t>vimo ar rinkos iškreipimo, siekiama geriausiai išnaudoti įvairių partnerių patirtį ir jų stipriąsias puses – reikia sukurti institucinį bendradarbiavimą, o ne tarpinstitucinį varžymąsi. Svarbu suku</w:t>
            </w:r>
            <w:r w:rsidR="004A21F3" w:rsidRPr="004A21F3">
              <w:rPr>
                <w:rFonts w:eastAsia="Calibri" w:hAnsi="Times New Roman" w:cs="Times New Roman"/>
                <w:color w:val="auto"/>
                <w:bdr w:val="none" w:sz="0" w:space="0" w:color="auto"/>
                <w:lang w:val="lt-LT"/>
              </w:rPr>
              <w:t>r</w:t>
            </w:r>
            <w:r w:rsidR="004A21F3" w:rsidRPr="004A21F3">
              <w:rPr>
                <w:rFonts w:eastAsia="Calibri" w:hAnsi="Times New Roman" w:cs="Times New Roman"/>
                <w:color w:val="auto"/>
                <w:bdr w:val="none" w:sz="0" w:space="0" w:color="auto"/>
                <w:lang w:val="lt-LT"/>
              </w:rPr>
              <w:t>ti įtraukią sistemą, kuri supaprastintų prieigą prie ES VB finansavimo visoms VN. Svarbu nen</w:t>
            </w:r>
            <w:r w:rsidR="004A21F3" w:rsidRPr="004A21F3">
              <w:rPr>
                <w:rFonts w:eastAsia="Calibri" w:hAnsi="Times New Roman" w:cs="Times New Roman"/>
                <w:color w:val="auto"/>
                <w:bdr w:val="none" w:sz="0" w:space="0" w:color="auto"/>
                <w:lang w:val="lt-LT"/>
              </w:rPr>
              <w:t>u</w:t>
            </w:r>
            <w:r w:rsidR="004A21F3" w:rsidRPr="004A21F3">
              <w:rPr>
                <w:rFonts w:eastAsia="Calibri" w:hAnsi="Times New Roman" w:cs="Times New Roman"/>
                <w:color w:val="auto"/>
                <w:bdr w:val="none" w:sz="0" w:space="0" w:color="auto"/>
                <w:lang w:val="lt-LT"/>
              </w:rPr>
              <w:t>krypti nuo ES išorės tikslų pasiekimo. Atsižvelgdami į esamą situaciją dėl COVID-19 ir su tuo susijusius šalių partnerių poreikius, nemanome, kad dabar yra tinkamas metas imtis didelių inst</w:t>
            </w:r>
            <w:r w:rsidR="004A21F3" w:rsidRPr="004A21F3">
              <w:rPr>
                <w:rFonts w:eastAsia="Calibri" w:hAnsi="Times New Roman" w:cs="Times New Roman"/>
                <w:color w:val="auto"/>
                <w:bdr w:val="none" w:sz="0" w:space="0" w:color="auto"/>
                <w:lang w:val="lt-LT"/>
              </w:rPr>
              <w:t>i</w:t>
            </w:r>
            <w:r w:rsidR="004A21F3" w:rsidRPr="004A21F3">
              <w:rPr>
                <w:rFonts w:eastAsia="Calibri" w:hAnsi="Times New Roman" w:cs="Times New Roman"/>
                <w:color w:val="auto"/>
                <w:bdr w:val="none" w:sz="0" w:space="0" w:color="auto"/>
                <w:lang w:val="lt-LT"/>
              </w:rPr>
              <w:t xml:space="preserve">tucinių pokyčių, todėl esame linkę palaikyti scenarijų C (Status </w:t>
            </w:r>
            <w:proofErr w:type="spellStart"/>
            <w:r w:rsidR="004A21F3" w:rsidRPr="004A21F3">
              <w:rPr>
                <w:rFonts w:eastAsia="Calibri" w:hAnsi="Times New Roman" w:cs="Times New Roman"/>
                <w:color w:val="auto"/>
                <w:bdr w:val="none" w:sz="0" w:space="0" w:color="auto"/>
                <w:lang w:val="lt-LT"/>
              </w:rPr>
              <w:t>Quo</w:t>
            </w:r>
            <w:proofErr w:type="spellEnd"/>
            <w:r w:rsidR="004A21F3" w:rsidRPr="004A21F3">
              <w:rPr>
                <w:rFonts w:eastAsia="Calibri" w:hAnsi="Times New Roman" w:cs="Times New Roman"/>
                <w:color w:val="auto"/>
                <w:bdr w:val="none" w:sz="0" w:space="0" w:color="auto"/>
                <w:lang w:val="lt-LT"/>
              </w:rPr>
              <w:t xml:space="preserve"> +).</w:t>
            </w:r>
          </w:p>
          <w:p w:rsidR="004A21F3" w:rsidRPr="00AA492E" w:rsidRDefault="004A21F3" w:rsidP="004226F1">
            <w:pPr>
              <w:pStyle w:val="BodyA"/>
              <w:jc w:val="both"/>
              <w:rPr>
                <w:rFonts w:hAnsi="Times New Roman" w:cs="Times New Roman"/>
                <w:b/>
                <w:lang w:val="lt-LT"/>
              </w:rPr>
            </w:pPr>
          </w:p>
          <w:p w:rsidR="00AA492E" w:rsidRPr="00AA492E" w:rsidRDefault="00E1240D" w:rsidP="00E1240D">
            <w:pPr>
              <w:pStyle w:val="BodyA"/>
              <w:jc w:val="both"/>
              <w:rPr>
                <w:rFonts w:hAnsi="Times New Roman" w:cs="Times New Roman"/>
                <w:b/>
                <w:lang w:val="lt-LT"/>
              </w:rPr>
            </w:pPr>
            <w:r w:rsidRPr="00AA492E">
              <w:rPr>
                <w:rFonts w:hAnsi="Times New Roman" w:cs="Times New Roman"/>
                <w:b/>
                <w:lang w:val="lt-LT"/>
              </w:rPr>
              <w:t xml:space="preserve">4. </w:t>
            </w:r>
            <w:r w:rsidR="00FD757A">
              <w:rPr>
                <w:rFonts w:hAnsi="Times New Roman" w:cs="Times New Roman"/>
                <w:b/>
                <w:lang w:val="lt-LT"/>
              </w:rPr>
              <w:t>Tarptautiniai susitikimai: balandžio 7</w:t>
            </w:r>
            <w:r w:rsidR="00E24F35" w:rsidRPr="00AA492E">
              <w:rPr>
                <w:rFonts w:hAnsi="Times New Roman" w:cs="Times New Roman"/>
                <w:b/>
                <w:lang w:val="lt-LT"/>
              </w:rPr>
              <w:t xml:space="preserve"> d. G-20 finansų ministrų ir centrinių bankų va</w:t>
            </w:r>
            <w:r w:rsidR="00E24F35" w:rsidRPr="00AA492E">
              <w:rPr>
                <w:rFonts w:hAnsi="Times New Roman" w:cs="Times New Roman"/>
                <w:b/>
                <w:lang w:val="lt-LT"/>
              </w:rPr>
              <w:t>l</w:t>
            </w:r>
            <w:r w:rsidR="00E24F35" w:rsidRPr="00AA492E">
              <w:rPr>
                <w:rFonts w:hAnsi="Times New Roman" w:cs="Times New Roman"/>
                <w:b/>
                <w:lang w:val="lt-LT"/>
              </w:rPr>
              <w:t xml:space="preserve">dytojų susitikimo </w:t>
            </w:r>
            <w:r w:rsidR="00FD757A">
              <w:rPr>
                <w:rFonts w:hAnsi="Times New Roman" w:cs="Times New Roman"/>
                <w:b/>
                <w:lang w:val="lt-LT"/>
              </w:rPr>
              <w:t xml:space="preserve">rezultatų </w:t>
            </w:r>
            <w:r w:rsidR="00E24F35" w:rsidRPr="00AA492E">
              <w:rPr>
                <w:rFonts w:hAnsi="Times New Roman" w:cs="Times New Roman"/>
                <w:b/>
                <w:lang w:val="lt-LT"/>
              </w:rPr>
              <w:t xml:space="preserve">aptarimas </w:t>
            </w:r>
            <w:r w:rsidR="00E24F35" w:rsidRPr="00AA492E">
              <w:rPr>
                <w:rFonts w:hAnsi="Times New Roman" w:cs="Times New Roman"/>
                <w:lang w:val="lt-LT"/>
              </w:rPr>
              <w:t>(</w:t>
            </w:r>
            <w:r w:rsidR="00E24F35" w:rsidRPr="00AA492E">
              <w:rPr>
                <w:rFonts w:hAnsi="Times New Roman" w:cs="Times New Roman"/>
                <w:i/>
                <w:lang w:val="lt-LT"/>
              </w:rPr>
              <w:t>Pirmininkaujančios šalies ir Komisijos informacija)</w:t>
            </w:r>
          </w:p>
          <w:p w:rsidR="004A21F3" w:rsidRPr="004A21F3" w:rsidRDefault="00E1240D" w:rsidP="004A21F3">
            <w:pPr>
              <w:tabs>
                <w:tab w:val="left" w:pos="851"/>
              </w:tabs>
              <w:jc w:val="both"/>
              <w:rPr>
                <w:iCs/>
                <w:lang w:val="lt-LT"/>
              </w:rPr>
            </w:pPr>
            <w:r w:rsidRPr="00AA492E">
              <w:rPr>
                <w:b/>
                <w:u w:val="single"/>
                <w:lang w:val="lt-LT"/>
              </w:rPr>
              <w:t>Klausimo esmė.</w:t>
            </w:r>
            <w:r w:rsidRPr="00AA492E">
              <w:rPr>
                <w:b/>
                <w:lang w:val="lt-LT"/>
              </w:rPr>
              <w:t xml:space="preserve"> </w:t>
            </w:r>
            <w:r w:rsidR="004A21F3" w:rsidRPr="004A21F3">
              <w:rPr>
                <w:iCs/>
                <w:lang w:val="lt-LT"/>
              </w:rPr>
              <w:t xml:space="preserve">Pirmininkaujanti šalis ir Komisija informuos apie 2021 m. balandžio 7 d. G20 finansų ministrų ir centrinių bankų valdytojų susitikimo rezultatus. Pagrindiniai šio susitikimo akcentai: </w:t>
            </w:r>
          </w:p>
          <w:p w:rsidR="004A21F3" w:rsidRPr="004A21F3" w:rsidRDefault="004A21F3" w:rsidP="004A21F3">
            <w:pPr>
              <w:tabs>
                <w:tab w:val="left" w:pos="851"/>
              </w:tabs>
              <w:jc w:val="both"/>
              <w:rPr>
                <w:iCs/>
                <w:lang w:val="lt-LT"/>
              </w:rPr>
            </w:pPr>
            <w:r w:rsidRPr="004A21F3">
              <w:rPr>
                <w:iCs/>
                <w:lang w:val="lt-LT"/>
              </w:rPr>
              <w:t>- Aptarta pasaulio ekonomika, pastangos skatinant atsigavimą, tvaresnį augimą, parama paže</w:t>
            </w:r>
            <w:r w:rsidRPr="004A21F3">
              <w:rPr>
                <w:iCs/>
                <w:lang w:val="lt-LT"/>
              </w:rPr>
              <w:t>i</w:t>
            </w:r>
            <w:r w:rsidRPr="004A21F3">
              <w:rPr>
                <w:iCs/>
                <w:lang w:val="lt-LT"/>
              </w:rPr>
              <w:t>džiamiausioms šalims, pažanga tarptautinio apmokestinimo ir finansų sektoriaus klausimų srit</w:t>
            </w:r>
            <w:r w:rsidRPr="004A21F3">
              <w:rPr>
                <w:iCs/>
                <w:lang w:val="lt-LT"/>
              </w:rPr>
              <w:t>y</w:t>
            </w:r>
            <w:r w:rsidRPr="004A21F3">
              <w:rPr>
                <w:iCs/>
                <w:lang w:val="lt-LT"/>
              </w:rPr>
              <w:t>se.</w:t>
            </w:r>
          </w:p>
          <w:p w:rsidR="004A21F3" w:rsidRPr="004A21F3" w:rsidRDefault="004A21F3" w:rsidP="004A21F3">
            <w:pPr>
              <w:tabs>
                <w:tab w:val="left" w:pos="851"/>
              </w:tabs>
              <w:jc w:val="both"/>
              <w:rPr>
                <w:iCs/>
                <w:lang w:val="lt-LT"/>
              </w:rPr>
            </w:pPr>
            <w:r w:rsidRPr="004A21F3">
              <w:rPr>
                <w:iCs/>
                <w:lang w:val="lt-LT"/>
              </w:rPr>
              <w:t>- Susitikimo metu pakartotinai įsipareigota nenutraukti paramos priemonių per anksti.</w:t>
            </w:r>
          </w:p>
          <w:p w:rsidR="004A21F3" w:rsidRPr="004A21F3" w:rsidRDefault="004A21F3" w:rsidP="004A21F3">
            <w:pPr>
              <w:tabs>
                <w:tab w:val="left" w:pos="851"/>
              </w:tabs>
              <w:jc w:val="both"/>
              <w:rPr>
                <w:iCs/>
                <w:lang w:val="lt-LT"/>
              </w:rPr>
            </w:pPr>
            <w:r w:rsidRPr="004A21F3">
              <w:rPr>
                <w:iCs/>
                <w:lang w:val="lt-LT"/>
              </w:rPr>
              <w:t>- G20 lieka įsipareigoję stiprinti sveikatos apsaugos sistemas ir lengvinti prieigą prie vakcinų.</w:t>
            </w:r>
          </w:p>
          <w:p w:rsidR="004A21F3" w:rsidRPr="004A21F3" w:rsidRDefault="004A21F3" w:rsidP="004A21F3">
            <w:pPr>
              <w:tabs>
                <w:tab w:val="left" w:pos="851"/>
              </w:tabs>
              <w:jc w:val="both"/>
              <w:rPr>
                <w:iCs/>
                <w:lang w:val="lt-LT"/>
              </w:rPr>
            </w:pPr>
            <w:r w:rsidRPr="004A21F3">
              <w:rPr>
                <w:iCs/>
                <w:lang w:val="lt-LT"/>
              </w:rPr>
              <w:t>- Sutarta dėl G20 veiksmų plano atnaujinimo. Atnaujinimai apima įsipareigojimus siekiant i</w:t>
            </w:r>
            <w:r w:rsidRPr="004A21F3">
              <w:rPr>
                <w:iCs/>
                <w:lang w:val="lt-LT"/>
              </w:rPr>
              <w:t>š</w:t>
            </w:r>
            <w:r w:rsidRPr="004A21F3">
              <w:rPr>
                <w:iCs/>
                <w:lang w:val="lt-LT"/>
              </w:rPr>
              <w:t>vesti pasaulio ekonomiką iš krizės, spręsti esamus iššūkius ir didinti atsparumą ateities išš</w:t>
            </w:r>
            <w:r w:rsidRPr="004A21F3">
              <w:rPr>
                <w:iCs/>
                <w:lang w:val="lt-LT"/>
              </w:rPr>
              <w:t>ū</w:t>
            </w:r>
            <w:r w:rsidRPr="004A21F3">
              <w:rPr>
                <w:iCs/>
                <w:lang w:val="lt-LT"/>
              </w:rPr>
              <w:t>kiams, įskaitant su klimato kaita susijusius iššūkius.</w:t>
            </w:r>
          </w:p>
          <w:p w:rsidR="004A21F3" w:rsidRPr="004A21F3" w:rsidRDefault="004A21F3" w:rsidP="004A21F3">
            <w:pPr>
              <w:tabs>
                <w:tab w:val="left" w:pos="851"/>
              </w:tabs>
              <w:jc w:val="both"/>
              <w:rPr>
                <w:iCs/>
                <w:lang w:val="lt-LT"/>
              </w:rPr>
            </w:pPr>
            <w:r w:rsidRPr="004A21F3">
              <w:rPr>
                <w:iCs/>
                <w:lang w:val="lt-LT"/>
              </w:rPr>
              <w:t>- G20 paprašė TVF pateikti pasiūlymą dėl 650 mlrd. JAV dolerių apimties Specialiųjų skolin</w:t>
            </w:r>
            <w:r w:rsidRPr="004A21F3">
              <w:rPr>
                <w:iCs/>
                <w:lang w:val="lt-LT"/>
              </w:rPr>
              <w:t>i</w:t>
            </w:r>
            <w:r w:rsidRPr="004A21F3">
              <w:rPr>
                <w:iCs/>
                <w:lang w:val="lt-LT"/>
              </w:rPr>
              <w:t xml:space="preserve">mosi teisių (angl. </w:t>
            </w:r>
            <w:r w:rsidRPr="00392437">
              <w:rPr>
                <w:i/>
                <w:iCs/>
                <w:lang w:val="lt-LT"/>
              </w:rPr>
              <w:t>Special Drawing Rights</w:t>
            </w:r>
            <w:r w:rsidRPr="004A21F3">
              <w:rPr>
                <w:iCs/>
                <w:lang w:val="lt-LT"/>
              </w:rPr>
              <w:t>, SDR) paskirstymo.</w:t>
            </w:r>
          </w:p>
          <w:p w:rsidR="00AA492E" w:rsidRPr="00AA492E" w:rsidRDefault="004A21F3" w:rsidP="004A21F3">
            <w:pPr>
              <w:tabs>
                <w:tab w:val="left" w:pos="851"/>
              </w:tabs>
              <w:jc w:val="both"/>
              <w:rPr>
                <w:iCs/>
                <w:lang w:val="lt-LT"/>
              </w:rPr>
            </w:pPr>
            <w:r w:rsidRPr="004A21F3">
              <w:rPr>
                <w:iCs/>
                <w:lang w:val="lt-LT"/>
              </w:rPr>
              <w:t>- Pritarta Skolos aptarnavimo mokėjimų sustabdymo iniciatyvos (</w:t>
            </w:r>
            <w:proofErr w:type="spellStart"/>
            <w:r w:rsidRPr="004A21F3">
              <w:rPr>
                <w:iCs/>
                <w:lang w:val="lt-LT"/>
              </w:rPr>
              <w:t>angl</w:t>
            </w:r>
            <w:proofErr w:type="spellEnd"/>
            <w:r w:rsidRPr="004A21F3">
              <w:rPr>
                <w:iCs/>
                <w:lang w:val="lt-LT"/>
              </w:rPr>
              <w:t xml:space="preserve"> </w:t>
            </w:r>
            <w:proofErr w:type="spellStart"/>
            <w:r w:rsidRPr="00392437">
              <w:rPr>
                <w:i/>
                <w:iCs/>
                <w:lang w:val="lt-LT"/>
              </w:rPr>
              <w:t>Debt</w:t>
            </w:r>
            <w:proofErr w:type="spellEnd"/>
            <w:r w:rsidRPr="00392437">
              <w:rPr>
                <w:i/>
                <w:iCs/>
                <w:lang w:val="lt-LT"/>
              </w:rPr>
              <w:t xml:space="preserve"> </w:t>
            </w:r>
            <w:proofErr w:type="spellStart"/>
            <w:r w:rsidRPr="00392437">
              <w:rPr>
                <w:i/>
                <w:iCs/>
                <w:lang w:val="lt-LT"/>
              </w:rPr>
              <w:t>Service</w:t>
            </w:r>
            <w:proofErr w:type="spellEnd"/>
            <w:r w:rsidRPr="00392437">
              <w:rPr>
                <w:i/>
                <w:iCs/>
                <w:lang w:val="lt-LT"/>
              </w:rPr>
              <w:t xml:space="preserve"> </w:t>
            </w:r>
            <w:proofErr w:type="spellStart"/>
            <w:r w:rsidRPr="00392437">
              <w:rPr>
                <w:i/>
                <w:iCs/>
                <w:lang w:val="lt-LT"/>
              </w:rPr>
              <w:t>Su</w:t>
            </w:r>
            <w:r w:rsidR="00392437" w:rsidRPr="00392437">
              <w:rPr>
                <w:i/>
                <w:iCs/>
                <w:lang w:val="lt-LT"/>
              </w:rPr>
              <w:t>spension</w:t>
            </w:r>
            <w:proofErr w:type="spellEnd"/>
            <w:r w:rsidR="00392437" w:rsidRPr="00392437">
              <w:rPr>
                <w:i/>
                <w:iCs/>
                <w:lang w:val="lt-LT"/>
              </w:rPr>
              <w:t xml:space="preserve"> Initiati</w:t>
            </w:r>
            <w:r w:rsidRPr="00392437">
              <w:rPr>
                <w:i/>
                <w:iCs/>
                <w:lang w:val="lt-LT"/>
              </w:rPr>
              <w:t>ve</w:t>
            </w:r>
            <w:r w:rsidRPr="004A21F3">
              <w:rPr>
                <w:iCs/>
                <w:lang w:val="lt-LT"/>
              </w:rPr>
              <w:t>, DSSI) pratęsimui iki 2021 m. pabaigos. Tai yra paskutinis DSSI pratęsimas.</w:t>
            </w:r>
          </w:p>
          <w:p w:rsidR="00335ED8" w:rsidRPr="00E47362" w:rsidRDefault="00335ED8" w:rsidP="00335ED8">
            <w:pPr>
              <w:pStyle w:val="BodyA"/>
              <w:jc w:val="both"/>
              <w:rPr>
                <w:rFonts w:eastAsia="Times New Roman Bold" w:hAnsi="Times New Roman" w:cs="Times New Roman"/>
                <w:highlight w:val="yellow"/>
                <w:u w:val="single"/>
                <w:lang w:val="lt-LT"/>
              </w:rPr>
            </w:pPr>
          </w:p>
          <w:p w:rsidR="00085F32" w:rsidRDefault="00E1240D" w:rsidP="006E6FE9">
            <w:pPr>
              <w:pStyle w:val="BodyA"/>
              <w:rPr>
                <w:rFonts w:eastAsia="Calibri" w:hAnsi="Times New Roman" w:cs="Times New Roman"/>
                <w:bdr w:val="none" w:sz="0" w:space="0" w:color="auto"/>
                <w:lang w:val="lt-LT" w:eastAsia="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AA492E" w:rsidRPr="004A21F3">
              <w:rPr>
                <w:rFonts w:hAnsi="Times New Roman" w:cs="Times New Roman"/>
                <w:lang w:val="lt-LT"/>
              </w:rPr>
              <w:t>Išklausyti informaciją.</w:t>
            </w:r>
          </w:p>
          <w:p w:rsidR="0032625D" w:rsidRPr="00E47362" w:rsidRDefault="0032625D" w:rsidP="008E3D5A">
            <w:pPr>
              <w:pStyle w:val="BodyA"/>
              <w:rPr>
                <w:rFonts w:hAnsi="Times New Roman" w:cs="Times New Roman"/>
                <w:lang w:val="lt-LT"/>
              </w:rPr>
            </w:pPr>
          </w:p>
        </w:tc>
      </w:tr>
    </w:tbl>
    <w:p w:rsidR="004A21F3" w:rsidRDefault="004A21F3" w:rsidP="00664A68">
      <w:pPr>
        <w:jc w:val="center"/>
        <w:rPr>
          <w:rFonts w:eastAsia="Calibri"/>
          <w:b/>
          <w:lang w:val="lt-LT"/>
        </w:rPr>
      </w:pPr>
    </w:p>
    <w:p w:rsidR="005515EF" w:rsidRDefault="005515EF" w:rsidP="00664A68">
      <w:pPr>
        <w:jc w:val="center"/>
        <w:rPr>
          <w:rFonts w:eastAsia="Calibri"/>
          <w:b/>
          <w:lang w:val="lt-LT"/>
        </w:rPr>
      </w:pPr>
    </w:p>
    <w:p w:rsidR="002F39D0" w:rsidRPr="00E47362" w:rsidRDefault="00790FF5" w:rsidP="00664A68">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8E3D5A">
        <w:rPr>
          <w:rFonts w:eastAsia="Calibri"/>
          <w:b/>
          <w:lang w:val="lt-LT"/>
        </w:rPr>
        <w:t>M. BALANDŽIO 16</w:t>
      </w:r>
      <w:r w:rsidR="00EE0A8F" w:rsidRPr="00E47362">
        <w:rPr>
          <w:rFonts w:eastAsia="Calibri"/>
          <w:b/>
          <w:lang w:val="lt-LT"/>
        </w:rPr>
        <w:t xml:space="preserve"> D. EURO GRUPĖS VAIZDO KONFERENCIJA</w:t>
      </w:r>
    </w:p>
    <w:p w:rsidR="005A71D9" w:rsidRPr="00E47362" w:rsidRDefault="005A71D9" w:rsidP="005A71D9">
      <w:pPr>
        <w:jc w:val="center"/>
        <w:rPr>
          <w:rFonts w:eastAsia="Calibri"/>
          <w:b/>
          <w:lang w:val="lt-LT"/>
        </w:rPr>
      </w:pPr>
    </w:p>
    <w:p w:rsidR="00530736" w:rsidRDefault="00530736" w:rsidP="00530736">
      <w:pPr>
        <w:pStyle w:val="Default"/>
      </w:pPr>
    </w:p>
    <w:p w:rsidR="00AE4846" w:rsidRPr="009A52A2"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bdr w:val="none" w:sz="0" w:space="0" w:color="auto"/>
          <w:lang w:val="lt-LT"/>
        </w:rPr>
      </w:pPr>
      <w:r w:rsidRPr="005A71D9">
        <w:rPr>
          <w:b/>
          <w:color w:val="202124"/>
          <w:bdr w:val="none" w:sz="0" w:space="0" w:color="auto"/>
          <w:lang w:val="lt-LT" w:eastAsia="lt-LT"/>
        </w:rPr>
        <w:t>1</w:t>
      </w:r>
      <w:r w:rsidRPr="009A52A2">
        <w:rPr>
          <w:b/>
          <w:color w:val="202124"/>
          <w:bdr w:val="none" w:sz="0" w:space="0" w:color="auto"/>
          <w:lang w:val="lt-LT" w:eastAsia="lt-LT"/>
        </w:rPr>
        <w:t xml:space="preserve">. </w:t>
      </w:r>
      <w:r w:rsidR="008E3D5A" w:rsidRPr="009A52A2">
        <w:rPr>
          <w:rFonts w:eastAsia="Times New Roman"/>
          <w:b/>
          <w:color w:val="202124"/>
          <w:bdr w:val="none" w:sz="0" w:space="0" w:color="auto"/>
          <w:lang w:val="lt-LT" w:eastAsia="lt-LT"/>
        </w:rPr>
        <w:t>Tarptautinių susitikimų rezultatų pristatymas</w:t>
      </w:r>
    </w:p>
    <w:p w:rsidR="008618CC" w:rsidRPr="009A52A2"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iCs/>
          <w:lang w:val="lt-LT"/>
        </w:rPr>
      </w:pPr>
      <w:r w:rsidRPr="009A52A2">
        <w:rPr>
          <w:b/>
          <w:u w:val="single"/>
          <w:bdr w:val="none" w:sz="0" w:space="0" w:color="auto"/>
          <w:lang w:val="lt-LT"/>
        </w:rPr>
        <w:t>Klausimo esmė.</w:t>
      </w:r>
      <w:r w:rsidRPr="009A52A2">
        <w:rPr>
          <w:bdr w:val="none" w:sz="0" w:space="0" w:color="auto"/>
          <w:lang w:val="lt-LT"/>
        </w:rPr>
        <w:t xml:space="preserve"> </w:t>
      </w:r>
      <w:r w:rsidR="008618CC" w:rsidRPr="009A52A2">
        <w:rPr>
          <w:iCs/>
          <w:lang w:val="lt-LT"/>
        </w:rPr>
        <w:t xml:space="preserve">Euro grupės pirmininkas informuos apie savo dalyvavimą </w:t>
      </w:r>
      <w:r w:rsidR="00664A68" w:rsidRPr="009A52A2">
        <w:rPr>
          <w:iCs/>
          <w:lang w:val="lt-LT"/>
        </w:rPr>
        <w:t xml:space="preserve">š. m. balandžio 5-9 d. vykusiuose </w:t>
      </w:r>
      <w:r w:rsidR="008618CC" w:rsidRPr="009A52A2">
        <w:rPr>
          <w:iCs/>
          <w:lang w:val="lt-LT"/>
        </w:rPr>
        <w:t>P</w:t>
      </w:r>
      <w:r w:rsidR="00B22A5E" w:rsidRPr="009A52A2">
        <w:rPr>
          <w:iCs/>
          <w:lang w:val="lt-LT"/>
        </w:rPr>
        <w:t>asaulio banko ir</w:t>
      </w:r>
      <w:r w:rsidR="008618CC" w:rsidRPr="009A52A2">
        <w:rPr>
          <w:iCs/>
          <w:lang w:val="lt-LT"/>
        </w:rPr>
        <w:t xml:space="preserve"> Tarptautinio valiutos fondo pavasario s</w:t>
      </w:r>
      <w:r w:rsidR="00664A68" w:rsidRPr="009A52A2">
        <w:rPr>
          <w:iCs/>
          <w:lang w:val="lt-LT"/>
        </w:rPr>
        <w:t>usitikimuose bei diskusijas</w:t>
      </w:r>
      <w:r w:rsidR="008618CC" w:rsidRPr="009A52A2">
        <w:rPr>
          <w:iCs/>
          <w:lang w:val="lt-LT"/>
        </w:rPr>
        <w:t xml:space="preserve"> apie globalius ekonomikos iššūkius.</w:t>
      </w:r>
      <w:r w:rsidR="00664A68" w:rsidRPr="009A52A2">
        <w:rPr>
          <w:iCs/>
          <w:lang w:val="lt-LT"/>
        </w:rPr>
        <w:t xml:space="preserve"> </w:t>
      </w:r>
    </w:p>
    <w:p w:rsidR="00664A68" w:rsidRPr="009A52A2" w:rsidRDefault="00664A68"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A52A2">
        <w:rPr>
          <w:iCs/>
          <w:lang w:val="lt-LT"/>
        </w:rPr>
        <w:t xml:space="preserve">Balandžio 8 d. vyko TVF Tarptautinio pinigų ir finansų komiteto (angl. </w:t>
      </w:r>
      <w:r w:rsidRPr="009A52A2">
        <w:rPr>
          <w:i/>
          <w:iCs/>
          <w:lang w:val="lt-LT"/>
        </w:rPr>
        <w:t xml:space="preserve">International Monetary and Financial Committee, </w:t>
      </w:r>
      <w:r w:rsidRPr="009A52A2">
        <w:rPr>
          <w:iCs/>
          <w:lang w:val="lt-LT"/>
        </w:rPr>
        <w:t>IMFC), kurio komunikate išreiškiamas įsipareigojimas palaikyti ek</w:t>
      </w:r>
      <w:r w:rsidRPr="009A52A2">
        <w:rPr>
          <w:iCs/>
          <w:lang w:val="lt-LT"/>
        </w:rPr>
        <w:t>o</w:t>
      </w:r>
      <w:r w:rsidRPr="009A52A2">
        <w:rPr>
          <w:iCs/>
          <w:lang w:val="lt-LT"/>
        </w:rPr>
        <w:t>nomikos pagrindus atitinančius valiutų kursus, atkreipiamas dėmesys į valiutos kurso lankstumo naudą, pasižadama atsižvelgti į užsienio valiutų rinkos situaciją. Tai pat atkreipiamas dėmesys į pernelyg didelio ir netvarkingo valiutų kursų svyravimo neigiamus padarinius ekonominiam ir finansiniam stabilumui. Pažymima, kad bus susilaikoma nuo konkuravimo valiutų kursais ar d</w:t>
      </w:r>
      <w:r w:rsidRPr="009A52A2">
        <w:rPr>
          <w:iCs/>
          <w:lang w:val="lt-LT"/>
        </w:rPr>
        <w:t>e</w:t>
      </w:r>
      <w:r w:rsidRPr="009A52A2">
        <w:rPr>
          <w:iCs/>
          <w:lang w:val="lt-LT"/>
        </w:rPr>
        <w:t>valvavimu.</w:t>
      </w:r>
    </w:p>
    <w:p w:rsidR="00651ACB" w:rsidRDefault="00651ACB"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D73DC0" w:rsidRPr="00664A68">
        <w:rPr>
          <w:lang w:val="lt-LT"/>
        </w:rPr>
        <w:t>Išklausyti informaciją.</w:t>
      </w:r>
    </w:p>
    <w:p w:rsidR="008C41CD"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5A71D9"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2. </w:t>
      </w:r>
      <w:r w:rsidR="008E3D5A">
        <w:rPr>
          <w:b/>
          <w:color w:val="202124"/>
          <w:bdr w:val="none" w:sz="0" w:space="0" w:color="auto"/>
          <w:lang w:val="lt-LT"/>
        </w:rPr>
        <w:t>Tematinė diskusija dėl nemokumo sistemų</w:t>
      </w:r>
    </w:p>
    <w:p w:rsidR="001D0192" w:rsidRPr="001D0192"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1D0192" w:rsidRPr="001D0192">
        <w:rPr>
          <w:bdr w:val="none" w:sz="0" w:space="0" w:color="auto"/>
          <w:lang w:val="lt-LT"/>
        </w:rPr>
        <w:t>Nemokumo sistemos labai svarbios ekonomikos atsparumui ir augimui, o C</w:t>
      </w:r>
      <w:r w:rsidR="001D0192" w:rsidRPr="001D0192">
        <w:rPr>
          <w:bdr w:val="none" w:sz="0" w:space="0" w:color="auto"/>
          <w:lang w:val="lt-LT"/>
        </w:rPr>
        <w:t>O</w:t>
      </w:r>
      <w:r w:rsidR="001D0192" w:rsidRPr="001D0192">
        <w:rPr>
          <w:bdr w:val="none" w:sz="0" w:space="0" w:color="auto"/>
          <w:lang w:val="lt-LT"/>
        </w:rPr>
        <w:t>VID-19 krizės akivaizdoje jų svarba tapo dar didesnė, nes baigus galioti įvairioms paramos įm</w:t>
      </w:r>
      <w:r w:rsidR="001D0192" w:rsidRPr="001D0192">
        <w:rPr>
          <w:bdr w:val="none" w:sz="0" w:space="0" w:color="auto"/>
          <w:lang w:val="lt-LT"/>
        </w:rPr>
        <w:t>o</w:t>
      </w:r>
      <w:r w:rsidR="001D0192" w:rsidRPr="001D0192">
        <w:rPr>
          <w:bdr w:val="none" w:sz="0" w:space="0" w:color="auto"/>
          <w:lang w:val="lt-LT"/>
        </w:rPr>
        <w:t>nėms priemonėms ti</w:t>
      </w:r>
      <w:r w:rsidR="001D0192">
        <w:rPr>
          <w:bdr w:val="none" w:sz="0" w:space="0" w:color="auto"/>
          <w:lang w:val="lt-LT"/>
        </w:rPr>
        <w:t xml:space="preserve">kėtinas nemokumo atvejų šuolis. </w:t>
      </w:r>
      <w:r w:rsidR="001D0192" w:rsidRPr="001D0192">
        <w:rPr>
          <w:bdr w:val="none" w:sz="0" w:space="0" w:color="auto"/>
          <w:lang w:val="lt-LT"/>
        </w:rPr>
        <w:t>ES lygmenyje viena pagrindinių problemų – dideli skirtumai tarp VN nemokumo sistemų. Šie skirtumai, kai kuriais atvejais ir dėl neefektyvių nemokumo sistemų, sukelia ES kapitalo rinkos fragmentaciją ir kelia įmonių finansavimo kaštus.</w:t>
      </w:r>
    </w:p>
    <w:p w:rsidR="008E3D5A" w:rsidRPr="00970FB0" w:rsidRDefault="001D0192"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1D0192">
        <w:rPr>
          <w:bdr w:val="none" w:sz="0" w:space="0" w:color="auto"/>
          <w:lang w:val="lt-LT"/>
        </w:rPr>
        <w:t>ES 2019 m. pr</w:t>
      </w:r>
      <w:r w:rsidR="00441440">
        <w:rPr>
          <w:bdr w:val="none" w:sz="0" w:space="0" w:color="auto"/>
          <w:lang w:val="lt-LT"/>
        </w:rPr>
        <w:t>iėmė Restruktūrizavimo ir nemoku</w:t>
      </w:r>
      <w:r w:rsidRPr="001D0192">
        <w:rPr>
          <w:bdr w:val="none" w:sz="0" w:space="0" w:color="auto"/>
          <w:lang w:val="lt-LT"/>
        </w:rPr>
        <w:t>mo direktyvą, kuri įpareigoja VN turėti tam ti</w:t>
      </w:r>
      <w:r w:rsidRPr="001D0192">
        <w:rPr>
          <w:bdr w:val="none" w:sz="0" w:space="0" w:color="auto"/>
          <w:lang w:val="lt-LT"/>
        </w:rPr>
        <w:t>k</w:t>
      </w:r>
      <w:r w:rsidRPr="001D0192">
        <w:rPr>
          <w:bdr w:val="none" w:sz="0" w:space="0" w:color="auto"/>
          <w:lang w:val="lt-LT"/>
        </w:rPr>
        <w:t>rus elementus siekiant išvengti perspektyvių/gyvybingų įmonių nemokumo. Kartu EK ir toliau tęsia darbą ties nemokumo sistemų konvergencij</w:t>
      </w:r>
      <w:r>
        <w:rPr>
          <w:bdr w:val="none" w:sz="0" w:space="0" w:color="auto"/>
          <w:lang w:val="lt-LT"/>
        </w:rPr>
        <w:t>a ir vertės atgavimo stebėjimu. Keletas šalių narių (</w:t>
      </w:r>
      <w:r w:rsidRPr="001D0192">
        <w:rPr>
          <w:bdr w:val="none" w:sz="0" w:space="0" w:color="auto"/>
          <w:lang w:val="lt-LT"/>
        </w:rPr>
        <w:t>NL, EE, FI, SE, MT, AT ir IT</w:t>
      </w:r>
      <w:r>
        <w:rPr>
          <w:bdr w:val="none" w:sz="0" w:space="0" w:color="auto"/>
          <w:lang w:val="lt-LT"/>
        </w:rPr>
        <w:t>)</w:t>
      </w:r>
      <w:r w:rsidRPr="001D0192">
        <w:rPr>
          <w:bdr w:val="none" w:sz="0" w:space="0" w:color="auto"/>
          <w:lang w:val="lt-LT"/>
        </w:rPr>
        <w:t xml:space="preserve"> yra išplatinusios dokumentą, kuriame nepritariama nemokumo sistemų konvergencijai. Rašte akcentuojamas nemokumo sistemų kompleksiškumas ir politinis jautrumas bei skatinama skirti pakankamai laiko įvertinti galimas priemones nemokumo sistemų </w:t>
      </w:r>
      <w:r w:rsidRPr="001D0192">
        <w:rPr>
          <w:bdr w:val="none" w:sz="0" w:space="0" w:color="auto"/>
          <w:lang w:val="lt-LT"/>
        </w:rPr>
        <w:lastRenderedPageBreak/>
        <w:t>konvergencijai, kartu atsižvelgiant į valstybių neseniai įgyvendintus nemokumo sistemų pakeit</w:t>
      </w:r>
      <w:r w:rsidRPr="001D0192">
        <w:rPr>
          <w:bdr w:val="none" w:sz="0" w:space="0" w:color="auto"/>
          <w:lang w:val="lt-LT"/>
        </w:rPr>
        <w:t>i</w:t>
      </w:r>
      <w:r w:rsidRPr="001D0192">
        <w:rPr>
          <w:bdr w:val="none" w:sz="0" w:space="0" w:color="auto"/>
          <w:lang w:val="lt-LT"/>
        </w:rPr>
        <w:t>mus.</w:t>
      </w:r>
    </w:p>
    <w:p w:rsidR="00D9296E" w:rsidRDefault="00D9296E" w:rsidP="00664A68">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
          <w:u w:val="single"/>
          <w:bdr w:val="none" w:sz="0" w:space="0" w:color="auto"/>
          <w:lang w:val="lt-LT"/>
        </w:rPr>
      </w:pPr>
    </w:p>
    <w:p w:rsidR="001D0192" w:rsidRPr="001D0192"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dr w:val="none" w:sz="0" w:space="0" w:color="auto"/>
          <w:lang w:val="lt-LT"/>
        </w:rPr>
      </w:pPr>
      <w:r w:rsidRPr="005A71D9">
        <w:rPr>
          <w:b/>
          <w:u w:val="single"/>
          <w:bdr w:val="none" w:sz="0" w:space="0" w:color="auto"/>
          <w:lang w:val="lt-LT"/>
        </w:rPr>
        <w:t>Lietuvos pozicija.</w:t>
      </w:r>
      <w:r w:rsidRPr="005A71D9">
        <w:rPr>
          <w:bdr w:val="none" w:sz="0" w:space="0" w:color="auto"/>
          <w:lang w:val="lt-LT"/>
        </w:rPr>
        <w:t xml:space="preserve"> </w:t>
      </w:r>
      <w:r w:rsidR="001D0192" w:rsidRPr="001D0192">
        <w:rPr>
          <w:bdr w:val="none" w:sz="0" w:space="0" w:color="auto"/>
          <w:lang w:val="lt-LT"/>
        </w:rPr>
        <w:t xml:space="preserve">Nemokumo sistemų tema dabar ypač aktuali. Pritariame nemokumo sistemų harmonizavimui pasitelkiant įvairaus pobūdžio priemones. Sutinkame, kad vienas iš pagrindinių sprendimo būdų galėtų būti pasitelkiant teisėkūros priemones, tačiau, atsižvelgiant į tai, kad toks harmonizavimas reikalauja įvertinimo ir užtruks, manome, kad trumpuoju laikotarpiu taip pat būtų tikslingos </w:t>
      </w:r>
      <w:proofErr w:type="spellStart"/>
      <w:r w:rsidR="001D0192" w:rsidRPr="001D0192">
        <w:rPr>
          <w:bdr w:val="none" w:sz="0" w:space="0" w:color="auto"/>
          <w:lang w:val="lt-LT"/>
        </w:rPr>
        <w:t>neteisėkūrinės</w:t>
      </w:r>
      <w:proofErr w:type="spellEnd"/>
      <w:r w:rsidR="001D0192" w:rsidRPr="001D0192">
        <w:rPr>
          <w:bdr w:val="none" w:sz="0" w:space="0" w:color="auto"/>
          <w:lang w:val="lt-LT"/>
        </w:rPr>
        <w:t xml:space="preserve"> iniciatyvos </w:t>
      </w:r>
      <w:r w:rsidR="00934773">
        <w:rPr>
          <w:bdr w:val="none" w:sz="0" w:space="0" w:color="auto"/>
          <w:lang w:val="lt-LT"/>
        </w:rPr>
        <w:t xml:space="preserve">(pavyzdžiui lyginamoji analizė, angl. </w:t>
      </w:r>
      <w:proofErr w:type="spellStart"/>
      <w:r w:rsidR="00934773" w:rsidRPr="006471C4">
        <w:rPr>
          <w:i/>
          <w:bdr w:val="none" w:sz="0" w:space="0" w:color="auto"/>
          <w:lang w:val="lt-LT"/>
        </w:rPr>
        <w:t>benchmarking</w:t>
      </w:r>
      <w:r w:rsidR="00934773">
        <w:rPr>
          <w:bdr w:val="none" w:sz="0" w:space="0" w:color="auto"/>
          <w:lang w:val="lt-LT"/>
        </w:rPr>
        <w:t>)</w:t>
      </w:r>
      <w:r w:rsidR="001D0192" w:rsidRPr="001D0192">
        <w:rPr>
          <w:bdr w:val="none" w:sz="0" w:space="0" w:color="auto"/>
          <w:lang w:val="lt-LT"/>
        </w:rPr>
        <w:t>ir</w:t>
      </w:r>
      <w:proofErr w:type="spellEnd"/>
      <w:r w:rsidR="001D0192" w:rsidRPr="001D0192">
        <w:rPr>
          <w:bdr w:val="none" w:sz="0" w:space="0" w:color="auto"/>
          <w:lang w:val="lt-LT"/>
        </w:rPr>
        <w:t>/arba rekomendacijos</w:t>
      </w:r>
      <w:r w:rsidR="00A01382">
        <w:rPr>
          <w:bdr w:val="none" w:sz="0" w:space="0" w:color="auto"/>
          <w:lang w:val="lt-LT"/>
        </w:rPr>
        <w:t>,</w:t>
      </w:r>
      <w:r w:rsidR="001D0192" w:rsidRPr="001D0192">
        <w:rPr>
          <w:bdr w:val="none" w:sz="0" w:space="0" w:color="auto"/>
          <w:lang w:val="lt-LT"/>
        </w:rPr>
        <w:t xml:space="preserve"> skirtos paskatinti nemokumo sistemų </w:t>
      </w:r>
      <w:r w:rsidR="00934773">
        <w:rPr>
          <w:bdr w:val="none" w:sz="0" w:space="0" w:color="auto"/>
          <w:lang w:val="lt-LT"/>
        </w:rPr>
        <w:t>reformas</w:t>
      </w:r>
      <w:r w:rsidR="001D0192" w:rsidRPr="001D0192">
        <w:rPr>
          <w:bdr w:val="none" w:sz="0" w:space="0" w:color="auto"/>
          <w:lang w:val="lt-LT"/>
        </w:rPr>
        <w:t>.</w:t>
      </w:r>
    </w:p>
    <w:p w:rsidR="005A71D9" w:rsidRPr="0096658E" w:rsidRDefault="001D0192" w:rsidP="00664A68">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rFonts w:eastAsia="Times New Roman"/>
          <w:lang w:val="lt-LT" w:eastAsia="fr-BE"/>
        </w:rPr>
      </w:pPr>
      <w:r w:rsidRPr="001D0192">
        <w:rPr>
          <w:bdr w:val="none" w:sz="0" w:space="0" w:color="auto"/>
          <w:lang w:val="lt-LT"/>
        </w:rPr>
        <w:t>Pažymėtina, kad Lietuvoje neseniai įgyvendinta nemoku</w:t>
      </w:r>
      <w:r w:rsidR="00427247">
        <w:rPr>
          <w:bdr w:val="none" w:sz="0" w:space="0" w:color="auto"/>
          <w:lang w:val="lt-LT"/>
        </w:rPr>
        <w:t>mo reforma, kuri sudarė galimybe</w:t>
      </w:r>
      <w:r w:rsidRPr="001D0192">
        <w:rPr>
          <w:bdr w:val="none" w:sz="0" w:space="0" w:color="auto"/>
          <w:lang w:val="lt-LT"/>
        </w:rPr>
        <w:t>s efe</w:t>
      </w:r>
      <w:r w:rsidRPr="001D0192">
        <w:rPr>
          <w:bdr w:val="none" w:sz="0" w:space="0" w:color="auto"/>
          <w:lang w:val="lt-LT"/>
        </w:rPr>
        <w:t>k</w:t>
      </w:r>
      <w:r w:rsidRPr="001D0192">
        <w:rPr>
          <w:bdr w:val="none" w:sz="0" w:space="0" w:color="auto"/>
          <w:lang w:val="lt-LT"/>
        </w:rPr>
        <w:t>tyvioms ne</w:t>
      </w:r>
      <w:r w:rsidR="00427247">
        <w:rPr>
          <w:bdr w:val="none" w:sz="0" w:space="0" w:color="auto"/>
          <w:lang w:val="lt-LT"/>
        </w:rPr>
        <w:t>mokumo procedūroms ir padidino galimybe</w:t>
      </w:r>
      <w:r w:rsidRPr="001D0192">
        <w:rPr>
          <w:bdr w:val="none" w:sz="0" w:space="0" w:color="auto"/>
          <w:lang w:val="lt-LT"/>
        </w:rPr>
        <w:t xml:space="preserve">s gyvybingoms </w:t>
      </w:r>
      <w:r w:rsidR="00427247">
        <w:rPr>
          <w:bdr w:val="none" w:sz="0" w:space="0" w:color="auto"/>
          <w:lang w:val="lt-LT"/>
        </w:rPr>
        <w:t>įmonėms išsaugoti savo verslą, o tai</w:t>
      </w:r>
      <w:r w:rsidRPr="001D0192">
        <w:rPr>
          <w:bdr w:val="none" w:sz="0" w:space="0" w:color="auto"/>
          <w:lang w:val="lt-LT"/>
        </w:rPr>
        <w:t xml:space="preserve"> kaip tik atliepia COVID-19 krizės iššūkius.</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rPr>
          <w:bdr w:val="none" w:sz="0" w:space="0" w:color="auto"/>
          <w:lang w:val="lt-LT"/>
        </w:rPr>
      </w:pPr>
    </w:p>
    <w:p w:rsidR="00651ACB"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5A71D9">
        <w:rPr>
          <w:b/>
          <w:color w:val="202124"/>
          <w:bdr w:val="none" w:sz="0" w:space="0" w:color="auto"/>
          <w:lang w:val="lt-LT"/>
        </w:rPr>
        <w:t xml:space="preserve">3. </w:t>
      </w:r>
      <w:r w:rsidR="008E3D5A">
        <w:rPr>
          <w:b/>
          <w:color w:val="202124"/>
          <w:bdr w:val="none" w:sz="0" w:space="0" w:color="auto"/>
          <w:lang w:val="lt-LT"/>
        </w:rPr>
        <w:t>Skaitmeninis euras</w:t>
      </w:r>
    </w:p>
    <w:p w:rsidR="001B199F" w:rsidRPr="001B199F" w:rsidRDefault="005A71D9"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1B199F" w:rsidRPr="001B199F">
        <w:rPr>
          <w:bdr w:val="none" w:sz="0" w:space="0" w:color="auto"/>
          <w:lang w:val="lt-LT"/>
        </w:rPr>
        <w:t>Ministrai, remdamiesi Europos centrinio banko ataskaita, kurioje trumpai apraš</w:t>
      </w:r>
      <w:r w:rsidR="001B199F" w:rsidRPr="001B199F">
        <w:rPr>
          <w:bdr w:val="none" w:sz="0" w:space="0" w:color="auto"/>
          <w:lang w:val="lt-LT"/>
        </w:rPr>
        <w:t>y</w:t>
      </w:r>
      <w:r w:rsidR="001B199F" w:rsidRPr="001B199F">
        <w:rPr>
          <w:bdr w:val="none" w:sz="0" w:space="0" w:color="auto"/>
          <w:lang w:val="lt-LT"/>
        </w:rPr>
        <w:t>ti vykusios viešosios konsultacijos dėl skaitmeninio euro rezultatai, įvertins atliekamą darbą, sus</w:t>
      </w:r>
      <w:r w:rsidR="001B199F" w:rsidRPr="001B199F">
        <w:rPr>
          <w:bdr w:val="none" w:sz="0" w:space="0" w:color="auto"/>
          <w:lang w:val="lt-LT"/>
        </w:rPr>
        <w:t>i</w:t>
      </w:r>
      <w:r w:rsidR="001B199F" w:rsidRPr="001B199F">
        <w:rPr>
          <w:bdr w:val="none" w:sz="0" w:space="0" w:color="auto"/>
          <w:lang w:val="lt-LT"/>
        </w:rPr>
        <w:t>jusį su galimu skaitmeninio euro įvedimu.</w:t>
      </w:r>
    </w:p>
    <w:p w:rsidR="001B199F" w:rsidRDefault="001B199F"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1B199F">
        <w:rPr>
          <w:bdr w:val="none" w:sz="0" w:space="0" w:color="auto"/>
          <w:lang w:val="lt-LT"/>
        </w:rPr>
        <w:t>Skaitmeninis euras yra vienas Euro grupės darbo programos prioritetų ir yra skirtas papildyti, o ne pakeisti įprastą valiutą. Tikslas – aprūpinti pinigais kitokia forma, įgalinančia teikti pigesnes p</w:t>
      </w:r>
      <w:r w:rsidRPr="001B199F">
        <w:rPr>
          <w:bdr w:val="none" w:sz="0" w:space="0" w:color="auto"/>
          <w:lang w:val="lt-LT"/>
        </w:rPr>
        <w:t>a</w:t>
      </w:r>
      <w:r w:rsidRPr="001B199F">
        <w:rPr>
          <w:bdr w:val="none" w:sz="0" w:space="0" w:color="auto"/>
          <w:lang w:val="lt-LT"/>
        </w:rPr>
        <w:t>slaugas</w:t>
      </w:r>
      <w:r w:rsidR="00BF5A28">
        <w:rPr>
          <w:bdr w:val="none" w:sz="0" w:space="0" w:color="auto"/>
          <w:lang w:val="lt-LT"/>
        </w:rPr>
        <w:t>, pvz., tarptautinių mokėjimų srityje</w:t>
      </w:r>
      <w:r w:rsidRPr="001B199F">
        <w:rPr>
          <w:bdr w:val="none" w:sz="0" w:space="0" w:color="auto"/>
          <w:lang w:val="lt-LT"/>
        </w:rPr>
        <w:t>. Tinkamai sukurtas skaitmeninis euras gali atnešti d</w:t>
      </w:r>
      <w:r w:rsidRPr="001B199F">
        <w:rPr>
          <w:bdr w:val="none" w:sz="0" w:space="0" w:color="auto"/>
          <w:lang w:val="lt-LT"/>
        </w:rPr>
        <w:t>i</w:t>
      </w:r>
      <w:r w:rsidRPr="001B199F">
        <w:rPr>
          <w:bdr w:val="none" w:sz="0" w:space="0" w:color="auto"/>
          <w:lang w:val="lt-LT"/>
        </w:rPr>
        <w:t>del</w:t>
      </w:r>
      <w:r>
        <w:rPr>
          <w:bdr w:val="none" w:sz="0" w:space="0" w:color="auto"/>
          <w:lang w:val="lt-LT"/>
        </w:rPr>
        <w:t xml:space="preserve">ę naudą piliečiams, verslui, valstybėms narėms </w:t>
      </w:r>
      <w:r w:rsidRPr="001B199F">
        <w:rPr>
          <w:bdr w:val="none" w:sz="0" w:space="0" w:color="auto"/>
          <w:lang w:val="lt-LT"/>
        </w:rPr>
        <w:t>ir visam ekonominės ir pinigų sąjungos veik</w:t>
      </w:r>
      <w:r w:rsidRPr="001B199F">
        <w:rPr>
          <w:bdr w:val="none" w:sz="0" w:space="0" w:color="auto"/>
          <w:lang w:val="lt-LT"/>
        </w:rPr>
        <w:t>i</w:t>
      </w:r>
      <w:r w:rsidRPr="001B199F">
        <w:rPr>
          <w:bdr w:val="none" w:sz="0" w:space="0" w:color="auto"/>
          <w:lang w:val="lt-LT"/>
        </w:rPr>
        <w:t xml:space="preserve">mui. Sparčių trečiųjų šalių </w:t>
      </w:r>
      <w:r w:rsidR="00BF5A28">
        <w:rPr>
          <w:bdr w:val="none" w:sz="0" w:space="0" w:color="auto"/>
          <w:lang w:val="lt-LT"/>
        </w:rPr>
        <w:t xml:space="preserve">centrinių bankų ir </w:t>
      </w:r>
      <w:r w:rsidRPr="001B199F">
        <w:rPr>
          <w:bdr w:val="none" w:sz="0" w:space="0" w:color="auto"/>
          <w:lang w:val="lt-LT"/>
        </w:rPr>
        <w:t>privataus sektoriaus inovacijų ir vykstančių iniciat</w:t>
      </w:r>
      <w:r w:rsidRPr="001B199F">
        <w:rPr>
          <w:bdr w:val="none" w:sz="0" w:space="0" w:color="auto"/>
          <w:lang w:val="lt-LT"/>
        </w:rPr>
        <w:t>y</w:t>
      </w:r>
      <w:r w:rsidRPr="001B199F">
        <w:rPr>
          <w:bdr w:val="none" w:sz="0" w:space="0" w:color="auto"/>
          <w:lang w:val="lt-LT"/>
        </w:rPr>
        <w:t>vų kontekste galimas skaitmeninio euro išleidimas taip pat yra svarbus tarptautiniam euro vai</w:t>
      </w:r>
      <w:r w:rsidRPr="001B199F">
        <w:rPr>
          <w:bdr w:val="none" w:sz="0" w:space="0" w:color="auto"/>
          <w:lang w:val="lt-LT"/>
        </w:rPr>
        <w:t>d</w:t>
      </w:r>
      <w:r w:rsidRPr="001B199F">
        <w:rPr>
          <w:bdr w:val="none" w:sz="0" w:space="0" w:color="auto"/>
          <w:lang w:val="lt-LT"/>
        </w:rPr>
        <w:t>meniui stiprinti ir Europos strateginei autonomijai apsaugoti.</w:t>
      </w:r>
    </w:p>
    <w:p w:rsidR="005A71D9" w:rsidRPr="005A71D9" w:rsidRDefault="005A71D9"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r w:rsidRPr="005A71D9">
        <w:rPr>
          <w:rFonts w:hAnsi="Arial Unicode MS" w:cs="Arial Unicode MS"/>
          <w:color w:val="000000"/>
          <w:u w:color="000000"/>
          <w:bdr w:val="none" w:sz="0" w:space="0" w:color="auto"/>
          <w:lang w:val="lt-LT"/>
        </w:rPr>
        <w:t xml:space="preserve"> </w:t>
      </w:r>
    </w:p>
    <w:p w:rsidR="005A71D9" w:rsidRPr="001D0192"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lang w:val="lt-LT"/>
        </w:rPr>
      </w:pPr>
      <w:r w:rsidRPr="005A71D9">
        <w:rPr>
          <w:b/>
          <w:u w:val="single"/>
          <w:bdr w:val="none" w:sz="0" w:space="0" w:color="auto"/>
          <w:lang w:val="lt-LT"/>
        </w:rPr>
        <w:t>Lietuvos pozicija.</w:t>
      </w:r>
      <w:r w:rsidRPr="005A71D9">
        <w:rPr>
          <w:b/>
          <w:bdr w:val="none" w:sz="0" w:space="0" w:color="auto"/>
          <w:lang w:val="lt-LT"/>
        </w:rPr>
        <w:t xml:space="preserve"> </w:t>
      </w:r>
      <w:r w:rsidR="001B199F" w:rsidRPr="001B199F">
        <w:rPr>
          <w:bdr w:val="none" w:sz="0" w:space="0" w:color="auto"/>
          <w:lang w:val="lt-LT"/>
        </w:rPr>
        <w:t>Pritariame tolimesnėms diskusijoms dėl skaitmeninio euro išleidimo atsižve</w:t>
      </w:r>
      <w:r w:rsidR="001B199F" w:rsidRPr="001B199F">
        <w:rPr>
          <w:bdr w:val="none" w:sz="0" w:space="0" w:color="auto"/>
          <w:lang w:val="lt-LT"/>
        </w:rPr>
        <w:t>l</w:t>
      </w:r>
      <w:r w:rsidR="001B199F" w:rsidRPr="001B199F">
        <w:rPr>
          <w:bdr w:val="none" w:sz="0" w:space="0" w:color="auto"/>
          <w:lang w:val="lt-LT"/>
        </w:rPr>
        <w:t xml:space="preserve">giant į poveikį finansiniam stabilumui. Pasisakome už tai, kad sprendimas dėl skaitmeninio euro dizaino turėtų būti atidžiai </w:t>
      </w:r>
      <w:r w:rsidR="00CF6326">
        <w:rPr>
          <w:bdr w:val="none" w:sz="0" w:space="0" w:color="auto"/>
          <w:lang w:val="lt-LT"/>
        </w:rPr>
        <w:t>išanalizuotas</w:t>
      </w:r>
      <w:r w:rsidR="00161D1D">
        <w:rPr>
          <w:bdr w:val="none" w:sz="0" w:space="0" w:color="auto"/>
          <w:lang w:val="lt-LT"/>
        </w:rPr>
        <w:t>,</w:t>
      </w:r>
      <w:r w:rsidR="001B199F" w:rsidRPr="001B199F">
        <w:rPr>
          <w:bdr w:val="none" w:sz="0" w:space="0" w:color="auto"/>
          <w:lang w:val="lt-LT"/>
        </w:rPr>
        <w:t xml:space="preserve"> kad būtų užtikrintas finansinis stabilumas, finansų sist</w:t>
      </w:r>
      <w:r w:rsidR="001B199F" w:rsidRPr="001B199F">
        <w:rPr>
          <w:bdr w:val="none" w:sz="0" w:space="0" w:color="auto"/>
          <w:lang w:val="lt-LT"/>
        </w:rPr>
        <w:t>e</w:t>
      </w:r>
      <w:r w:rsidR="001B199F" w:rsidRPr="001B199F">
        <w:rPr>
          <w:bdr w:val="none" w:sz="0" w:space="0" w:color="auto"/>
          <w:lang w:val="lt-LT"/>
        </w:rPr>
        <w:t>mos vientisumas ir monetarinės politikos tikslai.</w:t>
      </w:r>
      <w:r w:rsidR="00561886">
        <w:rPr>
          <w:bdr w:val="none" w:sz="0" w:space="0" w:color="auto"/>
          <w:lang w:val="lt-LT"/>
        </w:rPr>
        <w:t xml:space="preserve"> Nors ties skaitmeninio euro projektu dirba ECB, dė</w:t>
      </w:r>
      <w:r w:rsidR="00734DFA">
        <w:rPr>
          <w:bdr w:val="none" w:sz="0" w:space="0" w:color="auto"/>
          <w:lang w:val="lt-LT"/>
        </w:rPr>
        <w:t>l politinės klausimo dimensijos</w:t>
      </w:r>
      <w:r w:rsidR="00561886">
        <w:rPr>
          <w:bdr w:val="none" w:sz="0" w:space="0" w:color="auto"/>
          <w:lang w:val="lt-LT"/>
        </w:rPr>
        <w:t xml:space="preserve"> būtinas glaudus Euro grupės įtraukimas į procesą. </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color w:val="000000"/>
          <w:u w:color="000000"/>
          <w:bdr w:val="none" w:sz="0" w:space="0" w:color="auto"/>
          <w:lang w:val="lt-LT"/>
        </w:rPr>
        <w:t xml:space="preserve"> </w:t>
      </w:r>
    </w:p>
    <w:p w:rsidR="005A71D9"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4. </w:t>
      </w:r>
      <w:r w:rsidR="008E3D5A">
        <w:rPr>
          <w:b/>
          <w:color w:val="202124"/>
          <w:bdr w:val="none" w:sz="0" w:space="0" w:color="auto"/>
          <w:lang w:val="lt-LT"/>
        </w:rPr>
        <w:t>Euro grupės skaidrumo iniciatyvos peržiūra</w:t>
      </w:r>
    </w:p>
    <w:p w:rsidR="00013CD2" w:rsidRPr="00013CD2"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013CD2" w:rsidRPr="00013CD2">
        <w:rPr>
          <w:bdr w:val="none" w:sz="0" w:space="0" w:color="auto"/>
          <w:lang w:val="lt-LT"/>
        </w:rPr>
        <w:t>Ministrai apžvelgs dabartinę Euro grupės (toliau – EG) skaidrumo praktiką. Pa</w:t>
      </w:r>
      <w:r w:rsidR="00013CD2" w:rsidRPr="00013CD2">
        <w:rPr>
          <w:bdr w:val="none" w:sz="0" w:space="0" w:color="auto"/>
          <w:lang w:val="lt-LT"/>
        </w:rPr>
        <w:t>s</w:t>
      </w:r>
      <w:r w:rsidR="00013CD2" w:rsidRPr="00013CD2">
        <w:rPr>
          <w:bdr w:val="none" w:sz="0" w:space="0" w:color="auto"/>
          <w:lang w:val="lt-LT"/>
        </w:rPr>
        <w:t>taraisiais metais EG padarė didelę pažangą didindama savo darbo skaidrumą ir stiprindama viešąją komunikaciją. Neformalų EG pobūdį reglamentuoja Sutartis dėl Europos Sąjungos (toliau – ES) veikimo ir jos 14-asis protokolas. EG darbo metodai yra konfidencialūs siekiant apsaugoti euro zonos ir valstybių narių ekonominius ir finansinius interesus. Nors ES skaidrumo taisyklės neta</w:t>
      </w:r>
      <w:r w:rsidR="00013CD2" w:rsidRPr="00013CD2">
        <w:rPr>
          <w:bdr w:val="none" w:sz="0" w:space="0" w:color="auto"/>
          <w:lang w:val="lt-LT"/>
        </w:rPr>
        <w:t>i</w:t>
      </w:r>
      <w:r w:rsidR="00013CD2" w:rsidRPr="00013CD2">
        <w:rPr>
          <w:bdr w:val="none" w:sz="0" w:space="0" w:color="auto"/>
          <w:lang w:val="lt-LT"/>
        </w:rPr>
        <w:t xml:space="preserve">komos EG, jos yra taikomos ES institucijoms, kurios kaupia dokumentus, susijusius su EG ir jos parengiamųjų organų veikla. EG, reaguodama į euro zonos skolų krizės metu atsiradusią kritiką dėl skaidrumo trūkumo, ėmėsi iniciatyvų pagerinti skaidrumą ir komunikaciją tuo pačiu apsaugant konfidencialią informaciją. </w:t>
      </w:r>
    </w:p>
    <w:p w:rsidR="005A71D9" w:rsidRPr="005A71D9" w:rsidRDefault="00013CD2"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P</w:t>
      </w:r>
      <w:r w:rsidRPr="00013CD2">
        <w:rPr>
          <w:bdr w:val="none" w:sz="0" w:space="0" w:color="auto"/>
          <w:lang w:val="lt-LT"/>
        </w:rPr>
        <w:t>o daugelio patobulinimų EG skaidrumo ir komunikacijos praktika yra suvienodinta su ES inst</w:t>
      </w:r>
      <w:r w:rsidRPr="00013CD2">
        <w:rPr>
          <w:bdr w:val="none" w:sz="0" w:space="0" w:color="auto"/>
          <w:lang w:val="lt-LT"/>
        </w:rPr>
        <w:t>i</w:t>
      </w:r>
      <w:r w:rsidRPr="00013CD2">
        <w:rPr>
          <w:bdr w:val="none" w:sz="0" w:space="0" w:color="auto"/>
          <w:lang w:val="lt-LT"/>
        </w:rPr>
        <w:t>tucijų (pvz.: ES Tarybos ar Europos Vadovų Tarybos) praktika. Be to, paskutiniame tyrime o</w:t>
      </w:r>
      <w:r w:rsidRPr="00013CD2">
        <w:rPr>
          <w:bdr w:val="none" w:sz="0" w:space="0" w:color="auto"/>
          <w:lang w:val="lt-LT"/>
        </w:rPr>
        <w:t>m</w:t>
      </w:r>
      <w:r w:rsidRPr="00013CD2">
        <w:rPr>
          <w:bdr w:val="none" w:sz="0" w:space="0" w:color="auto"/>
          <w:lang w:val="lt-LT"/>
        </w:rPr>
        <w:t>budsmenas taip pat pateikė patenkinamą (</w:t>
      </w:r>
      <w:proofErr w:type="spellStart"/>
      <w:r w:rsidRPr="00013CD2">
        <w:rPr>
          <w:i/>
          <w:bdr w:val="none" w:sz="0" w:space="0" w:color="auto"/>
          <w:lang w:val="lt-LT"/>
        </w:rPr>
        <w:t>satisfactory</w:t>
      </w:r>
      <w:proofErr w:type="spellEnd"/>
      <w:r w:rsidRPr="00013CD2">
        <w:rPr>
          <w:bdr w:val="none" w:sz="0" w:space="0" w:color="auto"/>
          <w:lang w:val="lt-LT"/>
        </w:rPr>
        <w:t>) išvadą, kad ES institucijos, tvarkančios EG ir jos parengiamųjų organų dokumentus, laikosi ES teisinių skaidrumo reikalav</w:t>
      </w:r>
      <w:r>
        <w:rPr>
          <w:bdr w:val="none" w:sz="0" w:space="0" w:color="auto"/>
          <w:lang w:val="lt-LT"/>
        </w:rPr>
        <w:t xml:space="preserve">imų. </w:t>
      </w:r>
      <w:r w:rsidRPr="00013CD2">
        <w:rPr>
          <w:bdr w:val="none" w:sz="0" w:space="0" w:color="auto"/>
          <w:lang w:val="lt-LT"/>
        </w:rPr>
        <w:t>Siūloma dar</w:t>
      </w:r>
      <w:r w:rsidRPr="00013CD2">
        <w:rPr>
          <w:bdr w:val="none" w:sz="0" w:space="0" w:color="auto"/>
          <w:lang w:val="lt-LT"/>
        </w:rPr>
        <w:t>y</w:t>
      </w:r>
      <w:r w:rsidRPr="00013CD2">
        <w:rPr>
          <w:bdr w:val="none" w:sz="0" w:space="0" w:color="auto"/>
          <w:lang w:val="lt-LT"/>
        </w:rPr>
        <w:t xml:space="preserve">ti išvadą, kad šiuo metu jokie tolesni ar papildomi veiksmai dėl EG skaidrumo užtikrinimo nėra reikalingi ir, vadovaujantis EG įsipareigojimu reguliariai peržiūrėti savo skaidrumo praktiką, </w:t>
      </w:r>
      <w:r>
        <w:rPr>
          <w:bdr w:val="none" w:sz="0" w:space="0" w:color="auto"/>
          <w:lang w:val="lt-LT"/>
        </w:rPr>
        <w:t>reg</w:t>
      </w:r>
      <w:r>
        <w:rPr>
          <w:bdr w:val="none" w:sz="0" w:space="0" w:color="auto"/>
          <w:lang w:val="lt-LT"/>
        </w:rPr>
        <w:t>u</w:t>
      </w:r>
      <w:r>
        <w:rPr>
          <w:bdr w:val="none" w:sz="0" w:space="0" w:color="auto"/>
          <w:lang w:val="lt-LT"/>
        </w:rPr>
        <w:t>liariai atlikti tokias apžvalgas.</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rPr>
          <w:rFonts w:eastAsia="Calibri"/>
          <w:b/>
          <w:bdr w:val="none" w:sz="0" w:space="0" w:color="auto"/>
          <w:lang w:val="lt-LT"/>
        </w:rPr>
      </w:pPr>
    </w:p>
    <w:p w:rsid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b/>
          <w:color w:val="000000"/>
          <w:u w:val="single" w:color="000000"/>
          <w:bdr w:val="none" w:sz="0" w:space="0" w:color="auto"/>
          <w:lang w:val="lt-LT"/>
        </w:rPr>
        <w:t>Lietuvos pozicija.</w:t>
      </w:r>
      <w:r w:rsidRPr="005A71D9">
        <w:rPr>
          <w:color w:val="000000"/>
          <w:u w:color="000000"/>
          <w:bdr w:val="none" w:sz="0" w:space="0" w:color="auto"/>
          <w:lang w:val="lt-LT"/>
        </w:rPr>
        <w:t xml:space="preserve"> </w:t>
      </w:r>
      <w:r w:rsidR="00013CD2" w:rsidRPr="00013CD2">
        <w:rPr>
          <w:color w:val="000000"/>
          <w:u w:color="000000"/>
          <w:bdr w:val="none" w:sz="0" w:space="0" w:color="auto"/>
          <w:lang w:val="lt-LT"/>
        </w:rPr>
        <w:t>Palankiai vertiname iki šiol įgyvendintas iniciatyvas dėl EG darbo skaidrumo didinimo ir išvadą, kad šiuo metu taikomas skaidrumo režimas yra pakankamas. Svarstant su skaidrumo didinimu susijusius klausimus, būtina užtikrinti konfidencialios informacijos apsaugą ir sklandų EG darbą.</w:t>
      </w:r>
    </w:p>
    <w:p w:rsidR="008C41CD"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8C41CD" w:rsidRPr="00856CFA"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856CFA">
        <w:rPr>
          <w:b/>
          <w:color w:val="000000"/>
          <w:u w:color="000000"/>
          <w:bdr w:val="none" w:sz="0" w:space="0" w:color="auto"/>
          <w:lang w:val="lt-LT"/>
        </w:rPr>
        <w:t xml:space="preserve">5. </w:t>
      </w:r>
      <w:r w:rsidR="00856CFA" w:rsidRPr="00856CFA">
        <w:rPr>
          <w:b/>
          <w:color w:val="000000"/>
          <w:u w:color="000000"/>
          <w:bdr w:val="none" w:sz="0" w:space="0" w:color="auto"/>
          <w:lang w:val="lt-LT"/>
        </w:rPr>
        <w:t>Aukšto lygio darbo grupės dėl EDIS ataskaita: Bankų Sąjungos užbaigimo procesas</w:t>
      </w:r>
    </w:p>
    <w:p w:rsidR="001B199F" w:rsidRPr="001B199F" w:rsidRDefault="00651ACB"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651ACB">
        <w:rPr>
          <w:b/>
          <w:color w:val="000000"/>
          <w:u w:val="single"/>
          <w:bdr w:val="none" w:sz="0" w:space="0" w:color="auto"/>
          <w:lang w:val="lt-LT"/>
        </w:rPr>
        <w:t>Klausimo esmė</w:t>
      </w:r>
      <w:r>
        <w:rPr>
          <w:color w:val="000000"/>
          <w:u w:color="000000"/>
          <w:bdr w:val="none" w:sz="0" w:space="0" w:color="auto"/>
          <w:lang w:val="lt-LT"/>
        </w:rPr>
        <w:t xml:space="preserve">: </w:t>
      </w:r>
      <w:r w:rsidR="005515EF">
        <w:rPr>
          <w:color w:val="000000"/>
          <w:u w:color="000000"/>
          <w:bdr w:val="none" w:sz="0" w:space="0" w:color="auto"/>
          <w:lang w:val="lt-LT"/>
        </w:rPr>
        <w:t xml:space="preserve">Išplėstinės sudėties Euro grupėje </w:t>
      </w:r>
      <w:r w:rsidR="001B199F" w:rsidRPr="001B199F">
        <w:rPr>
          <w:color w:val="000000"/>
          <w:u w:color="000000"/>
          <w:bdr w:val="none" w:sz="0" w:space="0" w:color="auto"/>
          <w:lang w:val="lt-LT"/>
        </w:rPr>
        <w:t>Aukšto lygio darbo grupės pirmininkas info</w:t>
      </w:r>
      <w:r w:rsidR="001B199F" w:rsidRPr="001B199F">
        <w:rPr>
          <w:color w:val="000000"/>
          <w:u w:color="000000"/>
          <w:bdr w:val="none" w:sz="0" w:space="0" w:color="auto"/>
          <w:lang w:val="lt-LT"/>
        </w:rPr>
        <w:t>r</w:t>
      </w:r>
      <w:r w:rsidR="001B199F" w:rsidRPr="001B199F">
        <w:rPr>
          <w:color w:val="000000"/>
          <w:u w:color="000000"/>
          <w:bdr w:val="none" w:sz="0" w:space="0" w:color="auto"/>
          <w:lang w:val="lt-LT"/>
        </w:rPr>
        <w:t>muos ministrus apie pažangą, padarytą bendru sutarimu rengiant laipsnišką ir terminuotą darbo planą dėl visų elementų, reikalingų užbaigti B</w:t>
      </w:r>
      <w:r w:rsidR="00007F46">
        <w:rPr>
          <w:color w:val="000000"/>
          <w:u w:color="000000"/>
          <w:bdr w:val="none" w:sz="0" w:space="0" w:color="auto"/>
          <w:lang w:val="lt-LT"/>
        </w:rPr>
        <w:t xml:space="preserve">ankų sąjungą, kaip buvo sutarta </w:t>
      </w:r>
      <w:r w:rsidR="00E84E3C">
        <w:rPr>
          <w:color w:val="000000"/>
          <w:u w:color="000000"/>
          <w:bdr w:val="none" w:sz="0" w:space="0" w:color="auto"/>
          <w:lang w:val="lt-LT"/>
        </w:rPr>
        <w:t xml:space="preserve">Euro </w:t>
      </w:r>
      <w:r w:rsidR="00007F46">
        <w:rPr>
          <w:color w:val="000000"/>
          <w:u w:color="000000"/>
          <w:bdr w:val="none" w:sz="0" w:space="0" w:color="auto"/>
          <w:lang w:val="lt-LT"/>
        </w:rPr>
        <w:t xml:space="preserve">zonos </w:t>
      </w:r>
      <w:r w:rsidR="00E84E3C">
        <w:rPr>
          <w:color w:val="000000"/>
          <w:u w:color="000000"/>
          <w:bdr w:val="none" w:sz="0" w:space="0" w:color="auto"/>
          <w:lang w:val="lt-LT"/>
        </w:rPr>
        <w:t>viršūnių susitikime 2020 m.</w:t>
      </w:r>
      <w:r w:rsidR="001B199F" w:rsidRPr="001B199F">
        <w:rPr>
          <w:color w:val="000000"/>
          <w:u w:color="000000"/>
          <w:bdr w:val="none" w:sz="0" w:space="0" w:color="auto"/>
          <w:lang w:val="lt-LT"/>
        </w:rPr>
        <w:t xml:space="preserve"> gruodį. </w:t>
      </w:r>
    </w:p>
    <w:p w:rsidR="001B199F" w:rsidRPr="001B199F" w:rsidRDefault="001B199F"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1B199F">
        <w:rPr>
          <w:color w:val="000000"/>
          <w:u w:color="000000"/>
          <w:bdr w:val="none" w:sz="0" w:space="0" w:color="auto"/>
          <w:lang w:val="lt-LT"/>
        </w:rPr>
        <w:t>Darbai turėtų būti planuojami 4 kryptimis laikantis holistinio požiūrio:</w:t>
      </w:r>
    </w:p>
    <w:p w:rsidR="001B199F" w:rsidRPr="001B199F" w:rsidRDefault="001B199F" w:rsidP="00E84E3C">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color w:val="000000"/>
          <w:u w:color="000000"/>
          <w:bdr w:val="none" w:sz="0" w:space="0" w:color="auto"/>
          <w:lang w:val="lt-LT"/>
        </w:rPr>
      </w:pPr>
      <w:r w:rsidRPr="001B199F">
        <w:rPr>
          <w:color w:val="000000"/>
          <w:u w:color="000000"/>
          <w:bdr w:val="none" w:sz="0" w:space="0" w:color="auto"/>
          <w:lang w:val="lt-LT"/>
        </w:rPr>
        <w:t>-</w:t>
      </w:r>
      <w:r w:rsidRPr="001B199F">
        <w:rPr>
          <w:color w:val="000000"/>
          <w:u w:color="000000"/>
          <w:bdr w:val="none" w:sz="0" w:space="0" w:color="auto"/>
          <w:lang w:val="lt-LT"/>
        </w:rPr>
        <w:tab/>
        <w:t>krizių valdymo priemonės;</w:t>
      </w:r>
    </w:p>
    <w:p w:rsidR="001B199F" w:rsidRPr="001B199F" w:rsidRDefault="001B199F" w:rsidP="00E84E3C">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color w:val="000000"/>
          <w:u w:color="000000"/>
          <w:bdr w:val="none" w:sz="0" w:space="0" w:color="auto"/>
          <w:lang w:val="lt-LT"/>
        </w:rPr>
      </w:pPr>
      <w:r w:rsidRPr="001B199F">
        <w:rPr>
          <w:color w:val="000000"/>
          <w:u w:color="000000"/>
          <w:bdr w:val="none" w:sz="0" w:space="0" w:color="auto"/>
          <w:lang w:val="lt-LT"/>
        </w:rPr>
        <w:t>-</w:t>
      </w:r>
      <w:r w:rsidRPr="001B199F">
        <w:rPr>
          <w:color w:val="000000"/>
          <w:u w:color="000000"/>
          <w:bdr w:val="none" w:sz="0" w:space="0" w:color="auto"/>
          <w:lang w:val="lt-LT"/>
        </w:rPr>
        <w:tab/>
        <w:t xml:space="preserve">ES bankų sektoriaus integracija ir </w:t>
      </w:r>
      <w:r w:rsidRPr="00E84E3C">
        <w:rPr>
          <w:i/>
          <w:color w:val="000000"/>
          <w:u w:color="000000"/>
          <w:bdr w:val="none" w:sz="0" w:space="0" w:color="auto"/>
          <w:lang w:val="lt-LT"/>
        </w:rPr>
        <w:t>home-host</w:t>
      </w:r>
      <w:r w:rsidRPr="001B199F">
        <w:rPr>
          <w:color w:val="000000"/>
          <w:u w:color="000000"/>
          <w:bdr w:val="none" w:sz="0" w:space="0" w:color="auto"/>
          <w:lang w:val="lt-LT"/>
        </w:rPr>
        <w:t xml:space="preserve"> (buveinės ir priimančiųjų valstybių narių interesų) balanso klausimas;</w:t>
      </w:r>
    </w:p>
    <w:p w:rsidR="001B199F" w:rsidRPr="001B199F" w:rsidRDefault="001B199F" w:rsidP="00E84E3C">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color w:val="000000"/>
          <w:u w:color="000000"/>
          <w:bdr w:val="none" w:sz="0" w:space="0" w:color="auto"/>
          <w:lang w:val="lt-LT"/>
        </w:rPr>
      </w:pPr>
      <w:r w:rsidRPr="001B199F">
        <w:rPr>
          <w:color w:val="000000"/>
          <w:u w:color="000000"/>
          <w:bdr w:val="none" w:sz="0" w:space="0" w:color="auto"/>
          <w:lang w:val="lt-LT"/>
        </w:rPr>
        <w:t>-</w:t>
      </w:r>
      <w:r w:rsidRPr="001B199F">
        <w:rPr>
          <w:color w:val="000000"/>
          <w:u w:color="000000"/>
          <w:bdr w:val="none" w:sz="0" w:space="0" w:color="auto"/>
          <w:lang w:val="lt-LT"/>
        </w:rPr>
        <w:tab/>
        <w:t>Valstybės skolų pozicijų reguliavimas (RTSE);</w:t>
      </w:r>
    </w:p>
    <w:p w:rsidR="001B199F" w:rsidRDefault="001B199F" w:rsidP="00E84E3C">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color w:val="000000"/>
          <w:u w:color="000000"/>
          <w:bdr w:val="none" w:sz="0" w:space="0" w:color="auto"/>
          <w:lang w:val="lt-LT"/>
        </w:rPr>
      </w:pPr>
      <w:r w:rsidRPr="001B199F">
        <w:rPr>
          <w:color w:val="000000"/>
          <w:u w:color="000000"/>
          <w:bdr w:val="none" w:sz="0" w:space="0" w:color="auto"/>
          <w:lang w:val="lt-LT"/>
        </w:rPr>
        <w:t>-</w:t>
      </w:r>
      <w:r w:rsidRPr="001B199F">
        <w:rPr>
          <w:color w:val="000000"/>
          <w:u w:color="000000"/>
          <w:bdr w:val="none" w:sz="0" w:space="0" w:color="auto"/>
          <w:lang w:val="lt-LT"/>
        </w:rPr>
        <w:tab/>
        <w:t xml:space="preserve">Europos indėlių </w:t>
      </w:r>
      <w:r w:rsidR="00BF5A28">
        <w:rPr>
          <w:color w:val="000000"/>
          <w:u w:color="000000"/>
          <w:bdr w:val="none" w:sz="0" w:space="0" w:color="auto"/>
          <w:lang w:val="lt-LT"/>
        </w:rPr>
        <w:t>draudimo</w:t>
      </w:r>
      <w:r w:rsidR="00BF5A28" w:rsidRPr="001B199F">
        <w:rPr>
          <w:color w:val="000000"/>
          <w:u w:color="000000"/>
          <w:bdr w:val="none" w:sz="0" w:space="0" w:color="auto"/>
          <w:lang w:val="lt-LT"/>
        </w:rPr>
        <w:t xml:space="preserve"> </w:t>
      </w:r>
      <w:r w:rsidRPr="001B199F">
        <w:rPr>
          <w:color w:val="000000"/>
          <w:u w:color="000000"/>
          <w:bdr w:val="none" w:sz="0" w:space="0" w:color="auto"/>
          <w:lang w:val="lt-LT"/>
        </w:rPr>
        <w:t xml:space="preserve">sistemos (EDIS) dizaino klausimai. </w:t>
      </w:r>
    </w:p>
    <w:p w:rsidR="00007F46" w:rsidRPr="001B199F" w:rsidRDefault="00007F46" w:rsidP="00E84E3C">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color w:val="000000"/>
          <w:u w:color="000000"/>
          <w:bdr w:val="none" w:sz="0" w:space="0" w:color="auto"/>
          <w:lang w:val="lt-LT"/>
        </w:rPr>
      </w:pPr>
    </w:p>
    <w:p w:rsidR="005A71D9" w:rsidRPr="00E84E3C" w:rsidRDefault="001B199F"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E84E3C">
        <w:rPr>
          <w:b/>
          <w:color w:val="000000"/>
          <w:u w:val="single"/>
          <w:bdr w:val="none" w:sz="0" w:space="0" w:color="auto"/>
          <w:lang w:val="lt-LT"/>
        </w:rPr>
        <w:t>Lietuvos pozicija.</w:t>
      </w:r>
      <w:r w:rsidRPr="001B199F">
        <w:rPr>
          <w:color w:val="000000"/>
          <w:u w:color="000000"/>
          <w:bdr w:val="none" w:sz="0" w:space="0" w:color="auto"/>
          <w:lang w:val="lt-LT"/>
        </w:rPr>
        <w:t xml:space="preserve"> Palaikome siekį pilnai įgyvendinti Bankų sąjungą ir trečiojo jos ramsčio - </w:t>
      </w:r>
      <w:r w:rsidR="00BF5A28">
        <w:rPr>
          <w:color w:val="000000"/>
          <w:u w:color="000000"/>
          <w:bdr w:val="none" w:sz="0" w:space="0" w:color="auto"/>
          <w:lang w:val="lt-LT"/>
        </w:rPr>
        <w:t>EDIS</w:t>
      </w:r>
      <w:r w:rsidRPr="001B199F">
        <w:rPr>
          <w:color w:val="000000"/>
          <w:u w:color="000000"/>
          <w:bdr w:val="none" w:sz="0" w:space="0" w:color="auto"/>
          <w:lang w:val="lt-LT"/>
        </w:rPr>
        <w:t xml:space="preserve"> - sukūrimą. Palaikome harmonizuotą požiūrį</w:t>
      </w:r>
      <w:r w:rsidR="00BF5A28">
        <w:rPr>
          <w:color w:val="000000"/>
          <w:u w:color="000000"/>
          <w:bdr w:val="none" w:sz="0" w:space="0" w:color="auto"/>
          <w:lang w:val="lt-LT"/>
        </w:rPr>
        <w:t xml:space="preserve"> siekiant EDIS</w:t>
      </w:r>
      <w:r w:rsidRPr="001B199F">
        <w:rPr>
          <w:color w:val="000000"/>
          <w:u w:color="000000"/>
          <w:bdr w:val="none" w:sz="0" w:space="0" w:color="auto"/>
          <w:lang w:val="lt-LT"/>
        </w:rPr>
        <w:t>, tačiau naujai kuriama sistema neturėtų sudaryti blogesnių sąlygų, nei dabar esančios indėlių draudimo sistemos valstybėse nar</w:t>
      </w:r>
      <w:r w:rsidRPr="001B199F">
        <w:rPr>
          <w:color w:val="000000"/>
          <w:u w:color="000000"/>
          <w:bdr w:val="none" w:sz="0" w:space="0" w:color="auto"/>
          <w:lang w:val="lt-LT"/>
        </w:rPr>
        <w:t>ė</w:t>
      </w:r>
      <w:r w:rsidRPr="001B199F">
        <w:rPr>
          <w:color w:val="000000"/>
          <w:u w:color="000000"/>
          <w:bdr w:val="none" w:sz="0" w:space="0" w:color="auto"/>
          <w:lang w:val="lt-LT"/>
        </w:rPr>
        <w:t>se. Taip pat svarbu, kad užbaigiant Bankų sąjungą būtų išlaikytas buveinės ir priimančiųjų (</w:t>
      </w:r>
      <w:r w:rsidRPr="00E84E3C">
        <w:rPr>
          <w:i/>
          <w:color w:val="000000"/>
          <w:u w:color="000000"/>
          <w:bdr w:val="none" w:sz="0" w:space="0" w:color="auto"/>
          <w:lang w:val="lt-LT"/>
        </w:rPr>
        <w:t>home-host</w:t>
      </w:r>
      <w:r w:rsidRPr="001B199F">
        <w:rPr>
          <w:color w:val="000000"/>
          <w:u w:color="000000"/>
          <w:bdr w:val="none" w:sz="0" w:space="0" w:color="auto"/>
          <w:lang w:val="lt-LT"/>
        </w:rPr>
        <w:t>) valstybių narių interesų balansas, siekiant užtikrinti finansinį stabilumą tiek priimančiose valstybėse narėse, tiek ir visoje Europos Sąjungoje.</w:t>
      </w:r>
    </w:p>
    <w:sectPr w:rsidR="005A71D9" w:rsidRPr="00E84E3C"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5C" w:rsidRDefault="00F0025C">
      <w:r>
        <w:separator/>
      </w:r>
    </w:p>
  </w:endnote>
  <w:endnote w:type="continuationSeparator" w:id="0">
    <w:p w:rsidR="00F0025C" w:rsidRDefault="00F0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D20000" w:rsidRDefault="00D20000">
        <w:pPr>
          <w:pStyle w:val="Porat"/>
          <w:jc w:val="right"/>
        </w:pPr>
        <w:r>
          <w:fldChar w:fldCharType="begin"/>
        </w:r>
        <w:r>
          <w:instrText>PAGE   \* MERGEFORMAT</w:instrText>
        </w:r>
        <w:r>
          <w:fldChar w:fldCharType="separate"/>
        </w:r>
        <w:r w:rsidR="00F017FA" w:rsidRPr="00F017FA">
          <w:rPr>
            <w:noProof/>
            <w:lang w:val="lt-LT"/>
          </w:rPr>
          <w:t>4</w:t>
        </w:r>
        <w:r>
          <w:fldChar w:fldCharType="end"/>
        </w:r>
      </w:p>
    </w:sdtContent>
  </w:sdt>
  <w:p w:rsidR="00D20000" w:rsidRDefault="00D20000">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5C" w:rsidRDefault="00F0025C">
      <w:r>
        <w:separator/>
      </w:r>
    </w:p>
  </w:footnote>
  <w:footnote w:type="continuationSeparator" w:id="0">
    <w:p w:rsidR="00F0025C" w:rsidRDefault="00F0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00" w:rsidRDefault="00D20000"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00" w:rsidRPr="0032625D" w:rsidRDefault="00D20000"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D20000" w:rsidRPr="002677AA" w:rsidRDefault="00D20000" w:rsidP="00B03FB8">
    <w:pPr>
      <w:pStyle w:val="BodyA"/>
      <w:tabs>
        <w:tab w:val="center" w:pos="4153"/>
        <w:tab w:val="right" w:pos="8306"/>
      </w:tabs>
      <w:jc w:val="right"/>
      <w:rPr>
        <w:rFonts w:hAnsi="Times New Roman" w:cs="Times New Roman"/>
        <w:i/>
        <w:iCs/>
      </w:rPr>
    </w:pPr>
    <w:r>
      <w:rPr>
        <w:rFonts w:hAnsi="Times New Roman" w:cs="Times New Roman"/>
        <w:i/>
        <w:iCs/>
      </w:rPr>
      <w:t>2021-04-12</w:t>
    </w:r>
  </w:p>
  <w:p w:rsidR="00D20000" w:rsidRDefault="00D20000"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8">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9">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2">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3">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4">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7">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7"/>
  </w:num>
  <w:num w:numId="2">
    <w:abstractNumId w:val="10"/>
  </w:num>
  <w:num w:numId="3">
    <w:abstractNumId w:val="11"/>
  </w:num>
  <w:num w:numId="4">
    <w:abstractNumId w:val="13"/>
  </w:num>
  <w:num w:numId="5">
    <w:abstractNumId w:val="16"/>
  </w:num>
  <w:num w:numId="6">
    <w:abstractNumId w:val="17"/>
  </w:num>
  <w:num w:numId="7">
    <w:abstractNumId w:val="5"/>
  </w:num>
  <w:num w:numId="8">
    <w:abstractNumId w:val="1"/>
  </w:num>
  <w:num w:numId="9">
    <w:abstractNumId w:val="2"/>
  </w:num>
  <w:num w:numId="10">
    <w:abstractNumId w:val="12"/>
  </w:num>
  <w:num w:numId="11">
    <w:abstractNumId w:val="9"/>
  </w:num>
  <w:num w:numId="12">
    <w:abstractNumId w:val="19"/>
  </w:num>
  <w:num w:numId="13">
    <w:abstractNumId w:val="8"/>
  </w:num>
  <w:num w:numId="14">
    <w:abstractNumId w:val="14"/>
  </w:num>
  <w:num w:numId="15">
    <w:abstractNumId w:val="18"/>
  </w:num>
  <w:num w:numId="16">
    <w:abstractNumId w:val="0"/>
  </w:num>
  <w:num w:numId="17">
    <w:abstractNumId w:val="4"/>
  </w:num>
  <w:num w:numId="18">
    <w:abstractNumId w:val="6"/>
  </w:num>
  <w:num w:numId="19">
    <w:abstractNumId w:val="3"/>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7F46"/>
    <w:rsid w:val="00013CD2"/>
    <w:rsid w:val="000355E8"/>
    <w:rsid w:val="000372A7"/>
    <w:rsid w:val="00042697"/>
    <w:rsid w:val="000573E9"/>
    <w:rsid w:val="0007211E"/>
    <w:rsid w:val="00072EDE"/>
    <w:rsid w:val="000742B3"/>
    <w:rsid w:val="00085F32"/>
    <w:rsid w:val="00091F65"/>
    <w:rsid w:val="000B653F"/>
    <w:rsid w:val="000D6DCF"/>
    <w:rsid w:val="00103D35"/>
    <w:rsid w:val="00105437"/>
    <w:rsid w:val="00117121"/>
    <w:rsid w:val="001546C1"/>
    <w:rsid w:val="00155D7C"/>
    <w:rsid w:val="0015792A"/>
    <w:rsid w:val="00160063"/>
    <w:rsid w:val="00161D1D"/>
    <w:rsid w:val="00162D47"/>
    <w:rsid w:val="00177F7C"/>
    <w:rsid w:val="0018542E"/>
    <w:rsid w:val="001911B9"/>
    <w:rsid w:val="00195B59"/>
    <w:rsid w:val="00195F60"/>
    <w:rsid w:val="001B199F"/>
    <w:rsid w:val="001B387D"/>
    <w:rsid w:val="001C48BB"/>
    <w:rsid w:val="001D0192"/>
    <w:rsid w:val="001D4843"/>
    <w:rsid w:val="001D54D3"/>
    <w:rsid w:val="00206969"/>
    <w:rsid w:val="00225CBA"/>
    <w:rsid w:val="00230167"/>
    <w:rsid w:val="00231801"/>
    <w:rsid w:val="00252CC5"/>
    <w:rsid w:val="00265A54"/>
    <w:rsid w:val="002677AA"/>
    <w:rsid w:val="0027305F"/>
    <w:rsid w:val="00274F66"/>
    <w:rsid w:val="00296AC0"/>
    <w:rsid w:val="002A7046"/>
    <w:rsid w:val="002B4A83"/>
    <w:rsid w:val="002C15B7"/>
    <w:rsid w:val="002C1B25"/>
    <w:rsid w:val="002F39D0"/>
    <w:rsid w:val="00312DD1"/>
    <w:rsid w:val="0031328A"/>
    <w:rsid w:val="00314CC7"/>
    <w:rsid w:val="0032625D"/>
    <w:rsid w:val="00326924"/>
    <w:rsid w:val="00330DCD"/>
    <w:rsid w:val="003339B9"/>
    <w:rsid w:val="00333A70"/>
    <w:rsid w:val="00335ED8"/>
    <w:rsid w:val="00336353"/>
    <w:rsid w:val="0035318E"/>
    <w:rsid w:val="00357286"/>
    <w:rsid w:val="00371E7A"/>
    <w:rsid w:val="00392437"/>
    <w:rsid w:val="0039254C"/>
    <w:rsid w:val="00395A7A"/>
    <w:rsid w:val="003A3602"/>
    <w:rsid w:val="003B37F3"/>
    <w:rsid w:val="003B616C"/>
    <w:rsid w:val="003C6810"/>
    <w:rsid w:val="003E2F37"/>
    <w:rsid w:val="003F3A8E"/>
    <w:rsid w:val="003F58E0"/>
    <w:rsid w:val="004053CB"/>
    <w:rsid w:val="00406FB1"/>
    <w:rsid w:val="004226F1"/>
    <w:rsid w:val="00427247"/>
    <w:rsid w:val="004339F6"/>
    <w:rsid w:val="00441440"/>
    <w:rsid w:val="004450FB"/>
    <w:rsid w:val="0044636B"/>
    <w:rsid w:val="00452B2A"/>
    <w:rsid w:val="00466E3A"/>
    <w:rsid w:val="00487239"/>
    <w:rsid w:val="004900E0"/>
    <w:rsid w:val="0049509B"/>
    <w:rsid w:val="00495B70"/>
    <w:rsid w:val="004A0199"/>
    <w:rsid w:val="004A21F3"/>
    <w:rsid w:val="004A3298"/>
    <w:rsid w:val="004B217F"/>
    <w:rsid w:val="004B3A64"/>
    <w:rsid w:val="004C1051"/>
    <w:rsid w:val="004C2FDC"/>
    <w:rsid w:val="004C5342"/>
    <w:rsid w:val="004F4076"/>
    <w:rsid w:val="00500E5C"/>
    <w:rsid w:val="00501CE5"/>
    <w:rsid w:val="005107B8"/>
    <w:rsid w:val="0051792A"/>
    <w:rsid w:val="00526A83"/>
    <w:rsid w:val="00530736"/>
    <w:rsid w:val="005515EF"/>
    <w:rsid w:val="00555975"/>
    <w:rsid w:val="00557D5B"/>
    <w:rsid w:val="00561886"/>
    <w:rsid w:val="005721A0"/>
    <w:rsid w:val="0058519B"/>
    <w:rsid w:val="00585312"/>
    <w:rsid w:val="00587B54"/>
    <w:rsid w:val="00592806"/>
    <w:rsid w:val="0059354C"/>
    <w:rsid w:val="005A71D9"/>
    <w:rsid w:val="005D2460"/>
    <w:rsid w:val="005D3625"/>
    <w:rsid w:val="005E025B"/>
    <w:rsid w:val="005E2479"/>
    <w:rsid w:val="005E52A5"/>
    <w:rsid w:val="005F2600"/>
    <w:rsid w:val="005F59B2"/>
    <w:rsid w:val="00604E4D"/>
    <w:rsid w:val="00614DBA"/>
    <w:rsid w:val="0062431D"/>
    <w:rsid w:val="00633882"/>
    <w:rsid w:val="006404C7"/>
    <w:rsid w:val="0064515B"/>
    <w:rsid w:val="0064611F"/>
    <w:rsid w:val="00646F02"/>
    <w:rsid w:val="006471C4"/>
    <w:rsid w:val="0064735F"/>
    <w:rsid w:val="00651ACB"/>
    <w:rsid w:val="00664A68"/>
    <w:rsid w:val="00675DEA"/>
    <w:rsid w:val="00682188"/>
    <w:rsid w:val="00690882"/>
    <w:rsid w:val="0069629B"/>
    <w:rsid w:val="006A44FA"/>
    <w:rsid w:val="006D395F"/>
    <w:rsid w:val="006E6FE9"/>
    <w:rsid w:val="007043A1"/>
    <w:rsid w:val="00704C38"/>
    <w:rsid w:val="00710ADC"/>
    <w:rsid w:val="00724748"/>
    <w:rsid w:val="00734DFA"/>
    <w:rsid w:val="00752F42"/>
    <w:rsid w:val="00772A9F"/>
    <w:rsid w:val="00790FF5"/>
    <w:rsid w:val="00795E46"/>
    <w:rsid w:val="007A0061"/>
    <w:rsid w:val="007A2008"/>
    <w:rsid w:val="007B0CBF"/>
    <w:rsid w:val="007B6B80"/>
    <w:rsid w:val="007B6FDE"/>
    <w:rsid w:val="007C752A"/>
    <w:rsid w:val="007D2553"/>
    <w:rsid w:val="007D2C2B"/>
    <w:rsid w:val="007D7FCE"/>
    <w:rsid w:val="007F27FA"/>
    <w:rsid w:val="00811E87"/>
    <w:rsid w:val="0081679C"/>
    <w:rsid w:val="00816959"/>
    <w:rsid w:val="0082066C"/>
    <w:rsid w:val="008251D0"/>
    <w:rsid w:val="00827730"/>
    <w:rsid w:val="00830485"/>
    <w:rsid w:val="00836630"/>
    <w:rsid w:val="00843EAA"/>
    <w:rsid w:val="0085129B"/>
    <w:rsid w:val="0085316D"/>
    <w:rsid w:val="00856CFA"/>
    <w:rsid w:val="008618CC"/>
    <w:rsid w:val="00862572"/>
    <w:rsid w:val="00864AF3"/>
    <w:rsid w:val="00872C2A"/>
    <w:rsid w:val="00895BBA"/>
    <w:rsid w:val="00897D86"/>
    <w:rsid w:val="008B2D75"/>
    <w:rsid w:val="008B6A7B"/>
    <w:rsid w:val="008C07C3"/>
    <w:rsid w:val="008C2331"/>
    <w:rsid w:val="008C3531"/>
    <w:rsid w:val="008C41CD"/>
    <w:rsid w:val="008E3D5A"/>
    <w:rsid w:val="008E4ECC"/>
    <w:rsid w:val="008E5A20"/>
    <w:rsid w:val="008F3873"/>
    <w:rsid w:val="008F726D"/>
    <w:rsid w:val="00902CF9"/>
    <w:rsid w:val="00907CB4"/>
    <w:rsid w:val="0091393B"/>
    <w:rsid w:val="00925EB4"/>
    <w:rsid w:val="009329D1"/>
    <w:rsid w:val="00934773"/>
    <w:rsid w:val="009469ED"/>
    <w:rsid w:val="009518B5"/>
    <w:rsid w:val="00956D02"/>
    <w:rsid w:val="00957A35"/>
    <w:rsid w:val="0096658E"/>
    <w:rsid w:val="00970FB0"/>
    <w:rsid w:val="0098163A"/>
    <w:rsid w:val="00987B6A"/>
    <w:rsid w:val="00992EA2"/>
    <w:rsid w:val="00997764"/>
    <w:rsid w:val="009A0A41"/>
    <w:rsid w:val="009A1AD9"/>
    <w:rsid w:val="009A52A2"/>
    <w:rsid w:val="009A66CC"/>
    <w:rsid w:val="009A7FD0"/>
    <w:rsid w:val="009B0378"/>
    <w:rsid w:val="009B2048"/>
    <w:rsid w:val="009C14C5"/>
    <w:rsid w:val="009C6662"/>
    <w:rsid w:val="009D446E"/>
    <w:rsid w:val="009E6C26"/>
    <w:rsid w:val="009F1D77"/>
    <w:rsid w:val="00A01382"/>
    <w:rsid w:val="00A0588B"/>
    <w:rsid w:val="00A06580"/>
    <w:rsid w:val="00A15DF7"/>
    <w:rsid w:val="00A33567"/>
    <w:rsid w:val="00A44441"/>
    <w:rsid w:val="00A45218"/>
    <w:rsid w:val="00A46E6E"/>
    <w:rsid w:val="00A600FE"/>
    <w:rsid w:val="00A61189"/>
    <w:rsid w:val="00A63AD0"/>
    <w:rsid w:val="00A84354"/>
    <w:rsid w:val="00AA492E"/>
    <w:rsid w:val="00AD70B1"/>
    <w:rsid w:val="00AD7E3A"/>
    <w:rsid w:val="00AE4846"/>
    <w:rsid w:val="00AF16A9"/>
    <w:rsid w:val="00AF1B36"/>
    <w:rsid w:val="00AF7A2A"/>
    <w:rsid w:val="00B03FB8"/>
    <w:rsid w:val="00B0541A"/>
    <w:rsid w:val="00B22A5E"/>
    <w:rsid w:val="00B260BC"/>
    <w:rsid w:val="00B51EE3"/>
    <w:rsid w:val="00B54308"/>
    <w:rsid w:val="00B6006E"/>
    <w:rsid w:val="00B67F14"/>
    <w:rsid w:val="00B70894"/>
    <w:rsid w:val="00B736E4"/>
    <w:rsid w:val="00B841E3"/>
    <w:rsid w:val="00B869E8"/>
    <w:rsid w:val="00B94E3A"/>
    <w:rsid w:val="00BA186A"/>
    <w:rsid w:val="00BB73F2"/>
    <w:rsid w:val="00BD2968"/>
    <w:rsid w:val="00BD4688"/>
    <w:rsid w:val="00BE299C"/>
    <w:rsid w:val="00BF1071"/>
    <w:rsid w:val="00BF4A3E"/>
    <w:rsid w:val="00BF5A28"/>
    <w:rsid w:val="00BF701E"/>
    <w:rsid w:val="00C05559"/>
    <w:rsid w:val="00C132DF"/>
    <w:rsid w:val="00C201F5"/>
    <w:rsid w:val="00C22532"/>
    <w:rsid w:val="00C23CD5"/>
    <w:rsid w:val="00C24B3F"/>
    <w:rsid w:val="00C31389"/>
    <w:rsid w:val="00C33F60"/>
    <w:rsid w:val="00C52BEC"/>
    <w:rsid w:val="00C56B43"/>
    <w:rsid w:val="00C61052"/>
    <w:rsid w:val="00C648AF"/>
    <w:rsid w:val="00C842BA"/>
    <w:rsid w:val="00C94C3C"/>
    <w:rsid w:val="00CA1F7E"/>
    <w:rsid w:val="00CC48F1"/>
    <w:rsid w:val="00CC7175"/>
    <w:rsid w:val="00CD6507"/>
    <w:rsid w:val="00CE71D0"/>
    <w:rsid w:val="00CF2346"/>
    <w:rsid w:val="00CF6326"/>
    <w:rsid w:val="00D06073"/>
    <w:rsid w:val="00D07E6A"/>
    <w:rsid w:val="00D20000"/>
    <w:rsid w:val="00D30124"/>
    <w:rsid w:val="00D315D6"/>
    <w:rsid w:val="00D33BCF"/>
    <w:rsid w:val="00D34348"/>
    <w:rsid w:val="00D465B8"/>
    <w:rsid w:val="00D57067"/>
    <w:rsid w:val="00D65D3A"/>
    <w:rsid w:val="00D73DC0"/>
    <w:rsid w:val="00D767B6"/>
    <w:rsid w:val="00D8006B"/>
    <w:rsid w:val="00D80DED"/>
    <w:rsid w:val="00D9296E"/>
    <w:rsid w:val="00DB4E6F"/>
    <w:rsid w:val="00DC1F4E"/>
    <w:rsid w:val="00DC6502"/>
    <w:rsid w:val="00DD2F9F"/>
    <w:rsid w:val="00DE4D5E"/>
    <w:rsid w:val="00DF2CDB"/>
    <w:rsid w:val="00E0474B"/>
    <w:rsid w:val="00E1240D"/>
    <w:rsid w:val="00E17C1D"/>
    <w:rsid w:val="00E24F35"/>
    <w:rsid w:val="00E47362"/>
    <w:rsid w:val="00E50056"/>
    <w:rsid w:val="00E612E0"/>
    <w:rsid w:val="00E70A31"/>
    <w:rsid w:val="00E84E3C"/>
    <w:rsid w:val="00EA3DB2"/>
    <w:rsid w:val="00EB5F90"/>
    <w:rsid w:val="00ED2869"/>
    <w:rsid w:val="00ED523A"/>
    <w:rsid w:val="00EE0782"/>
    <w:rsid w:val="00EE0A8F"/>
    <w:rsid w:val="00EE1216"/>
    <w:rsid w:val="00EF0DF3"/>
    <w:rsid w:val="00EF3536"/>
    <w:rsid w:val="00EF39C4"/>
    <w:rsid w:val="00F0025C"/>
    <w:rsid w:val="00F017FA"/>
    <w:rsid w:val="00F1429B"/>
    <w:rsid w:val="00F1580F"/>
    <w:rsid w:val="00F225D5"/>
    <w:rsid w:val="00F631C4"/>
    <w:rsid w:val="00F6555B"/>
    <w:rsid w:val="00F95313"/>
    <w:rsid w:val="00F97DFD"/>
    <w:rsid w:val="00FB5FC9"/>
    <w:rsid w:val="00FC00D9"/>
    <w:rsid w:val="00FC3B44"/>
    <w:rsid w:val="00FC6C35"/>
    <w:rsid w:val="00FD20F3"/>
    <w:rsid w:val="00FD34ED"/>
    <w:rsid w:val="00FD757A"/>
    <w:rsid w:val="00FE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24F35"/>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24F35"/>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2825-7147-4549-914B-5A16703D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12942</Words>
  <Characters>7377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6</cp:revision>
  <dcterms:created xsi:type="dcterms:W3CDTF">2021-04-12T10:51:00Z</dcterms:created>
  <dcterms:modified xsi:type="dcterms:W3CDTF">2021-04-12T13:22:00Z</dcterms:modified>
</cp:coreProperties>
</file>