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CellMar>
          <w:left w:w="0" w:type="dxa"/>
          <w:right w:w="0" w:type="dxa"/>
        </w:tblCellMar>
        <w:tblLook w:val="0000" w:firstRow="0" w:lastRow="0" w:firstColumn="0" w:lastColumn="0" w:noHBand="0" w:noVBand="0"/>
      </w:tblPr>
      <w:tblGrid>
        <w:gridCol w:w="9356"/>
      </w:tblGrid>
      <w:tr w:rsidR="0007446C" w14:paraId="13C24196" w14:textId="77777777" w:rsidTr="00525DF9">
        <w:trPr>
          <w:cantSplit/>
          <w:trHeight w:val="3261"/>
        </w:trPr>
        <w:tc>
          <w:tcPr>
            <w:tcW w:w="9356" w:type="dxa"/>
            <w:shd w:val="clear" w:color="auto" w:fill="auto"/>
          </w:tcPr>
          <w:p w14:paraId="13B2E5FB" w14:textId="77777777" w:rsidR="0007446C" w:rsidRDefault="00E6585C" w:rsidP="001145FE">
            <w:pPr>
              <w:tabs>
                <w:tab w:val="left" w:pos="3969"/>
              </w:tabs>
              <w:spacing w:line="276" w:lineRule="auto"/>
              <w:jc w:val="center"/>
              <w:rPr>
                <w:b/>
                <w:caps/>
                <w:sz w:val="30"/>
              </w:rPr>
            </w:pPr>
            <w:r w:rsidRPr="00DA497E">
              <w:rPr>
                <w:noProof/>
                <w:sz w:val="24"/>
                <w:szCs w:val="24"/>
                <w:lang w:eastAsia="lt-LT"/>
              </w:rPr>
              <w:drawing>
                <wp:inline distT="0" distB="0" distL="0" distR="0" wp14:anchorId="779C3B3C" wp14:editId="3F996E33">
                  <wp:extent cx="563880" cy="556260"/>
                  <wp:effectExtent l="0" t="0" r="7620" b="0"/>
                  <wp:docPr id="1" name="Paveikslėlis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512D99A3" w14:textId="77777777" w:rsidR="0007446C" w:rsidRDefault="0007446C" w:rsidP="001145FE">
            <w:pPr>
              <w:spacing w:line="276" w:lineRule="auto"/>
              <w:jc w:val="center"/>
              <w:rPr>
                <w:b/>
                <w:caps/>
              </w:rPr>
            </w:pPr>
          </w:p>
          <w:p w14:paraId="5D6BD8AE" w14:textId="77777777" w:rsidR="009F3058" w:rsidRDefault="0007446C" w:rsidP="001145FE">
            <w:pPr>
              <w:spacing w:line="276" w:lineRule="auto"/>
              <w:jc w:val="center"/>
              <w:rPr>
                <w:b/>
                <w:caps/>
                <w:sz w:val="24"/>
                <w:szCs w:val="24"/>
              </w:rPr>
            </w:pPr>
            <w:r w:rsidRPr="00441D96">
              <w:rPr>
                <w:b/>
                <w:caps/>
                <w:sz w:val="24"/>
                <w:szCs w:val="24"/>
              </w:rPr>
              <w:t>LIETUVOS RESPUBLI</w:t>
            </w:r>
            <w:r w:rsidR="00850AD6">
              <w:rPr>
                <w:b/>
                <w:caps/>
                <w:sz w:val="24"/>
                <w:szCs w:val="24"/>
              </w:rPr>
              <w:t>KOS UŽSIENIO REIKALŲ MINISTERIJ</w:t>
            </w:r>
            <w:r w:rsidR="009F5A28">
              <w:rPr>
                <w:b/>
                <w:caps/>
                <w:sz w:val="24"/>
                <w:szCs w:val="24"/>
              </w:rPr>
              <w:t>A</w:t>
            </w:r>
            <w:r w:rsidR="00850AD6">
              <w:rPr>
                <w:b/>
                <w:caps/>
                <w:sz w:val="24"/>
                <w:szCs w:val="24"/>
              </w:rPr>
              <w:t xml:space="preserve"> </w:t>
            </w:r>
          </w:p>
          <w:p w14:paraId="0D647C95" w14:textId="77777777" w:rsidR="0007446C" w:rsidRDefault="0007446C" w:rsidP="001145FE">
            <w:pPr>
              <w:spacing w:line="276" w:lineRule="auto"/>
              <w:jc w:val="center"/>
              <w:rPr>
                <w:b/>
              </w:rPr>
            </w:pPr>
          </w:p>
          <w:p w14:paraId="630C0CC9" w14:textId="5F73BD87" w:rsidR="000E6321" w:rsidRDefault="000E6321" w:rsidP="000E6321">
            <w:pPr>
              <w:pStyle w:val="Footer"/>
              <w:jc w:val="center"/>
              <w:rPr>
                <w:sz w:val="18"/>
                <w:szCs w:val="18"/>
              </w:rPr>
            </w:pPr>
            <w:r>
              <w:rPr>
                <w:sz w:val="18"/>
                <w:szCs w:val="18"/>
              </w:rPr>
              <w:t xml:space="preserve">Biudžetinė įstaiga, J. Tumo-Vaižganto g. 2, </w:t>
            </w:r>
            <w:r>
              <w:rPr>
                <w:sz w:val="18"/>
                <w:szCs w:val="18"/>
                <w:lang w:val="fr-FR"/>
              </w:rPr>
              <w:t xml:space="preserve">01108 </w:t>
            </w:r>
            <w:r>
              <w:rPr>
                <w:sz w:val="18"/>
                <w:szCs w:val="18"/>
              </w:rPr>
              <w:t xml:space="preserve">Vilnius, tel.: (8 5) </w:t>
            </w:r>
            <w:r w:rsidR="006942FC">
              <w:rPr>
                <w:sz w:val="18"/>
                <w:szCs w:val="18"/>
              </w:rPr>
              <w:t xml:space="preserve"> </w:t>
            </w:r>
            <w:r>
              <w:rPr>
                <w:sz w:val="18"/>
                <w:szCs w:val="18"/>
              </w:rPr>
              <w:t xml:space="preserve">236 2444, (8 5) </w:t>
            </w:r>
            <w:r w:rsidR="006942FC">
              <w:rPr>
                <w:sz w:val="18"/>
                <w:szCs w:val="18"/>
              </w:rPr>
              <w:t xml:space="preserve"> </w:t>
            </w:r>
            <w:r>
              <w:rPr>
                <w:sz w:val="18"/>
                <w:szCs w:val="18"/>
              </w:rPr>
              <w:t>236 2400</w:t>
            </w:r>
          </w:p>
          <w:p w14:paraId="60535EBF" w14:textId="763AD329" w:rsidR="000E6321" w:rsidRDefault="000E6321" w:rsidP="000E6321">
            <w:pPr>
              <w:pStyle w:val="Footer"/>
              <w:jc w:val="center"/>
              <w:rPr>
                <w:sz w:val="18"/>
                <w:szCs w:val="18"/>
              </w:rPr>
            </w:pPr>
            <w:r>
              <w:rPr>
                <w:sz w:val="18"/>
                <w:szCs w:val="18"/>
              </w:rPr>
              <w:t>faks</w:t>
            </w:r>
            <w:r w:rsidR="006942FC">
              <w:rPr>
                <w:sz w:val="18"/>
                <w:szCs w:val="18"/>
              </w:rPr>
              <w:t>as</w:t>
            </w:r>
            <w:r>
              <w:rPr>
                <w:sz w:val="18"/>
                <w:szCs w:val="18"/>
              </w:rPr>
              <w:t xml:space="preserve"> (8 5) </w:t>
            </w:r>
            <w:r w:rsidR="006942FC">
              <w:rPr>
                <w:sz w:val="18"/>
                <w:szCs w:val="18"/>
              </w:rPr>
              <w:t xml:space="preserve"> </w:t>
            </w:r>
            <w:r>
              <w:rPr>
                <w:sz w:val="18"/>
                <w:szCs w:val="18"/>
                <w:lang w:val="fr-FR"/>
              </w:rPr>
              <w:t>236 2626</w:t>
            </w:r>
            <w:r>
              <w:rPr>
                <w:sz w:val="18"/>
                <w:szCs w:val="18"/>
              </w:rPr>
              <w:t xml:space="preserve">, el. p. </w:t>
            </w:r>
            <w:hyperlink r:id="rId9" w:history="1">
              <w:r>
                <w:rPr>
                  <w:rStyle w:val="Hyperlink"/>
                  <w:sz w:val="18"/>
                  <w:szCs w:val="18"/>
                </w:rPr>
                <w:t>urm@urm.lt</w:t>
              </w:r>
            </w:hyperlink>
            <w:r>
              <w:rPr>
                <w:sz w:val="18"/>
                <w:szCs w:val="18"/>
              </w:rPr>
              <w:t xml:space="preserve">, </w:t>
            </w:r>
            <w:hyperlink r:id="rId10" w:history="1">
              <w:r>
                <w:rPr>
                  <w:rStyle w:val="Hyperlink"/>
                  <w:sz w:val="18"/>
                  <w:szCs w:val="18"/>
                </w:rPr>
                <w:t>http://www.urm.lt</w:t>
              </w:r>
            </w:hyperlink>
          </w:p>
          <w:p w14:paraId="7966BC85" w14:textId="77777777" w:rsidR="00441D96" w:rsidRPr="007C4944" w:rsidRDefault="000E6321" w:rsidP="000E6321">
            <w:pPr>
              <w:pStyle w:val="Footer"/>
              <w:jc w:val="center"/>
              <w:rPr>
                <w:sz w:val="19"/>
              </w:rPr>
            </w:pPr>
            <w:r>
              <w:rPr>
                <w:sz w:val="18"/>
                <w:szCs w:val="18"/>
              </w:rPr>
              <w:t>Duomenys kaupiami ir saugomi Juridinių asmenų registre, kodas 188613242</w:t>
            </w:r>
          </w:p>
          <w:tbl>
            <w:tblPr>
              <w:tblStyle w:val="TableGrid"/>
              <w:tblW w:w="0" w:type="auto"/>
              <w:tblBorders>
                <w:left w:val="none" w:sz="0" w:space="0" w:color="auto"/>
                <w:bottom w:val="none" w:sz="0" w:space="0" w:color="auto"/>
                <w:right w:val="none" w:sz="0" w:space="0" w:color="auto"/>
              </w:tblBorders>
              <w:tblLayout w:type="fixed"/>
              <w:tblLook w:val="04A0" w:firstRow="1" w:lastRow="0" w:firstColumn="1" w:lastColumn="0" w:noHBand="0" w:noVBand="1"/>
            </w:tblPr>
            <w:tblGrid>
              <w:gridCol w:w="9341"/>
            </w:tblGrid>
            <w:tr w:rsidR="00441D96" w14:paraId="5FF306F5" w14:textId="77777777" w:rsidTr="00285539">
              <w:trPr>
                <w:trHeight w:val="70"/>
              </w:trPr>
              <w:tc>
                <w:tcPr>
                  <w:tcW w:w="9341" w:type="dxa"/>
                </w:tcPr>
                <w:p w14:paraId="755B332C" w14:textId="77777777" w:rsidR="00441D96" w:rsidRDefault="00441D96" w:rsidP="001145FE">
                  <w:pPr>
                    <w:pStyle w:val="Footer"/>
                    <w:spacing w:line="276" w:lineRule="auto"/>
                    <w:jc w:val="center"/>
                  </w:pPr>
                </w:p>
                <w:p w14:paraId="46C71EBD" w14:textId="77777777" w:rsidR="00C32408" w:rsidRDefault="00C32408" w:rsidP="001145FE">
                  <w:pPr>
                    <w:pStyle w:val="Footer"/>
                    <w:spacing w:line="276" w:lineRule="auto"/>
                    <w:jc w:val="center"/>
                  </w:pPr>
                </w:p>
              </w:tc>
            </w:tr>
          </w:tbl>
          <w:tbl>
            <w:tblPr>
              <w:tblW w:w="10115" w:type="dxa"/>
              <w:tblLayout w:type="fixed"/>
              <w:tblCellMar>
                <w:left w:w="0" w:type="dxa"/>
                <w:right w:w="28" w:type="dxa"/>
              </w:tblCellMar>
              <w:tblLook w:val="0000" w:firstRow="0" w:lastRow="0" w:firstColumn="0" w:lastColumn="0" w:noHBand="0" w:noVBand="0"/>
            </w:tblPr>
            <w:tblGrid>
              <w:gridCol w:w="4820"/>
              <w:gridCol w:w="490"/>
              <w:gridCol w:w="1530"/>
              <w:gridCol w:w="3275"/>
            </w:tblGrid>
            <w:tr w:rsidR="00525DF9" w:rsidRPr="00525DF9" w14:paraId="74115BF6" w14:textId="77777777" w:rsidTr="002A63E1">
              <w:trPr>
                <w:cantSplit/>
                <w:trHeight w:val="71"/>
              </w:trPr>
              <w:tc>
                <w:tcPr>
                  <w:tcW w:w="4820" w:type="dxa"/>
                  <w:vMerge w:val="restart"/>
                </w:tcPr>
                <w:p w14:paraId="095EDE17" w14:textId="77777777" w:rsidR="00796D5D" w:rsidRPr="00525DF9" w:rsidRDefault="00977A66" w:rsidP="00C32408">
                  <w:pPr>
                    <w:tabs>
                      <w:tab w:val="left" w:pos="1985"/>
                      <w:tab w:val="left" w:pos="2977"/>
                    </w:tabs>
                    <w:spacing w:line="276" w:lineRule="auto"/>
                    <w:jc w:val="both"/>
                    <w:rPr>
                      <w:sz w:val="24"/>
                    </w:rPr>
                  </w:pPr>
                  <w:bookmarkStart w:id="0" w:name="r01"/>
                  <w:r>
                    <w:rPr>
                      <w:sz w:val="24"/>
                      <w:szCs w:val="24"/>
                    </w:rPr>
                    <w:t>Lietuvos</w:t>
                  </w:r>
                  <w:r w:rsidR="00260568" w:rsidRPr="00EC5420">
                    <w:rPr>
                      <w:sz w:val="24"/>
                      <w:szCs w:val="24"/>
                    </w:rPr>
                    <w:t xml:space="preserve"> Respublikos </w:t>
                  </w:r>
                  <w:r w:rsidR="00C32408">
                    <w:rPr>
                      <w:sz w:val="24"/>
                      <w:szCs w:val="24"/>
                    </w:rPr>
                    <w:t>finansų</w:t>
                  </w:r>
                  <w:r w:rsidR="00260568" w:rsidRPr="00EC5420">
                    <w:rPr>
                      <w:sz w:val="24"/>
                      <w:szCs w:val="24"/>
                    </w:rPr>
                    <w:t xml:space="preserve"> ministerijai</w:t>
                  </w:r>
                </w:p>
              </w:tc>
              <w:tc>
                <w:tcPr>
                  <w:tcW w:w="490" w:type="dxa"/>
                </w:tcPr>
                <w:p w14:paraId="177AE037" w14:textId="77777777" w:rsidR="00525DF9" w:rsidRDefault="00525DF9" w:rsidP="00525DF9">
                  <w:pPr>
                    <w:tabs>
                      <w:tab w:val="left" w:pos="1985"/>
                      <w:tab w:val="left" w:pos="2977"/>
                    </w:tabs>
                    <w:spacing w:line="276" w:lineRule="auto"/>
                    <w:jc w:val="both"/>
                    <w:rPr>
                      <w:sz w:val="24"/>
                    </w:rPr>
                  </w:pPr>
                </w:p>
                <w:p w14:paraId="5FF858DF" w14:textId="77777777" w:rsidR="00D92A10" w:rsidRPr="00525DF9" w:rsidRDefault="00D92A10" w:rsidP="00525DF9">
                  <w:pPr>
                    <w:tabs>
                      <w:tab w:val="left" w:pos="1985"/>
                      <w:tab w:val="left" w:pos="2977"/>
                    </w:tabs>
                    <w:spacing w:line="276" w:lineRule="auto"/>
                    <w:jc w:val="both"/>
                    <w:rPr>
                      <w:sz w:val="24"/>
                    </w:rPr>
                  </w:pPr>
                </w:p>
              </w:tc>
              <w:tc>
                <w:tcPr>
                  <w:tcW w:w="1530" w:type="dxa"/>
                </w:tcPr>
                <w:p w14:paraId="55765A5F" w14:textId="77777777" w:rsidR="00977A66" w:rsidRDefault="00977A66">
                  <w:pPr>
                    <w:tabs>
                      <w:tab w:val="left" w:pos="1985"/>
                      <w:tab w:val="left" w:pos="2977"/>
                    </w:tabs>
                    <w:spacing w:line="276" w:lineRule="auto"/>
                    <w:jc w:val="both"/>
                    <w:rPr>
                      <w:sz w:val="24"/>
                    </w:rPr>
                  </w:pPr>
                  <w:r w:rsidRPr="00525DF9">
                    <w:rPr>
                      <w:sz w:val="24"/>
                    </w:rPr>
                    <w:t>202</w:t>
                  </w:r>
                  <w:r w:rsidR="00C32408">
                    <w:rPr>
                      <w:sz w:val="24"/>
                    </w:rPr>
                    <w:t>1</w:t>
                  </w:r>
                  <w:r w:rsidRPr="00525DF9">
                    <w:rPr>
                      <w:sz w:val="24"/>
                    </w:rPr>
                    <w:t>-</w:t>
                  </w:r>
                  <w:r w:rsidR="00C32408">
                    <w:rPr>
                      <w:sz w:val="24"/>
                    </w:rPr>
                    <w:t>04</w:t>
                  </w:r>
                  <w:r w:rsidRPr="00525DF9">
                    <w:rPr>
                      <w:sz w:val="24"/>
                    </w:rPr>
                    <w:t xml:space="preserve">-            </w:t>
                  </w:r>
                </w:p>
                <w:p w14:paraId="3875D5EA" w14:textId="77777777" w:rsidR="00525DF9" w:rsidRPr="00525DF9" w:rsidRDefault="00977A66" w:rsidP="00C32408">
                  <w:pPr>
                    <w:tabs>
                      <w:tab w:val="left" w:pos="1985"/>
                      <w:tab w:val="left" w:pos="2977"/>
                    </w:tabs>
                    <w:spacing w:line="276" w:lineRule="auto"/>
                    <w:jc w:val="both"/>
                    <w:rPr>
                      <w:sz w:val="24"/>
                    </w:rPr>
                  </w:pPr>
                  <w:r>
                    <w:rPr>
                      <w:sz w:val="24"/>
                    </w:rPr>
                    <w:t>Į 202</w:t>
                  </w:r>
                  <w:r w:rsidR="00C32408">
                    <w:rPr>
                      <w:sz w:val="24"/>
                    </w:rPr>
                    <w:t>1</w:t>
                  </w:r>
                  <w:r>
                    <w:rPr>
                      <w:sz w:val="24"/>
                    </w:rPr>
                    <w:t>-</w:t>
                  </w:r>
                  <w:r w:rsidR="00C32408">
                    <w:rPr>
                      <w:sz w:val="24"/>
                    </w:rPr>
                    <w:t>04</w:t>
                  </w:r>
                  <w:r>
                    <w:rPr>
                      <w:sz w:val="24"/>
                    </w:rPr>
                    <w:t>-</w:t>
                  </w:r>
                  <w:r w:rsidR="00C32408">
                    <w:rPr>
                      <w:sz w:val="24"/>
                    </w:rPr>
                    <w:t>16</w:t>
                  </w:r>
                  <w:r>
                    <w:rPr>
                      <w:sz w:val="24"/>
                    </w:rPr>
                    <w:t xml:space="preserve"> </w:t>
                  </w:r>
                </w:p>
              </w:tc>
              <w:tc>
                <w:tcPr>
                  <w:tcW w:w="3275" w:type="dxa"/>
                </w:tcPr>
                <w:p w14:paraId="1B9C3EF6" w14:textId="77777777" w:rsidR="00C32408" w:rsidRDefault="00525DF9" w:rsidP="00977A66">
                  <w:pPr>
                    <w:tabs>
                      <w:tab w:val="left" w:pos="1985"/>
                      <w:tab w:val="left" w:pos="2977"/>
                    </w:tabs>
                    <w:spacing w:line="276" w:lineRule="auto"/>
                    <w:jc w:val="both"/>
                    <w:rPr>
                      <w:sz w:val="24"/>
                    </w:rPr>
                  </w:pPr>
                  <w:r w:rsidRPr="00525DF9">
                    <w:rPr>
                      <w:sz w:val="24"/>
                    </w:rPr>
                    <w:t>Nr.</w:t>
                  </w:r>
                  <w:r w:rsidR="00280F7F">
                    <w:rPr>
                      <w:sz w:val="24"/>
                    </w:rPr>
                    <w:t xml:space="preserve"> </w:t>
                  </w:r>
                </w:p>
                <w:p w14:paraId="5FBC2EC2" w14:textId="49C3B40B" w:rsidR="00A03CB7" w:rsidRDefault="00C32408" w:rsidP="00977A66">
                  <w:pPr>
                    <w:tabs>
                      <w:tab w:val="left" w:pos="1985"/>
                      <w:tab w:val="left" w:pos="2977"/>
                    </w:tabs>
                    <w:spacing w:line="276" w:lineRule="auto"/>
                    <w:jc w:val="both"/>
                    <w:rPr>
                      <w:sz w:val="24"/>
                    </w:rPr>
                  </w:pPr>
                  <w:r>
                    <w:rPr>
                      <w:sz w:val="24"/>
                    </w:rPr>
                    <w:t>Nr.</w:t>
                  </w:r>
                  <w:r w:rsidR="006942FC">
                    <w:rPr>
                      <w:sz w:val="24"/>
                    </w:rPr>
                    <w:t xml:space="preserve"> </w:t>
                  </w:r>
                  <w:r>
                    <w:rPr>
                      <w:sz w:val="24"/>
                    </w:rPr>
                    <w:t>(15.50Mr-03)-6K</w:t>
                  </w:r>
                  <w:r w:rsidR="00A03CB7">
                    <w:rPr>
                      <w:sz w:val="24"/>
                    </w:rPr>
                    <w:t>-</w:t>
                  </w:r>
                </w:p>
                <w:p w14:paraId="54282BBF" w14:textId="73DEF66A" w:rsidR="00977A66" w:rsidRDefault="00C32408" w:rsidP="00977A66">
                  <w:pPr>
                    <w:tabs>
                      <w:tab w:val="left" w:pos="1985"/>
                      <w:tab w:val="left" w:pos="2977"/>
                    </w:tabs>
                    <w:spacing w:line="276" w:lineRule="auto"/>
                    <w:jc w:val="both"/>
                    <w:rPr>
                      <w:sz w:val="24"/>
                    </w:rPr>
                  </w:pPr>
                  <w:r>
                    <w:rPr>
                      <w:sz w:val="24"/>
                    </w:rPr>
                    <w:t>2102519</w:t>
                  </w:r>
                </w:p>
                <w:p w14:paraId="24232A10" w14:textId="77777777" w:rsidR="00977A66" w:rsidRPr="00525DF9" w:rsidRDefault="00977A66" w:rsidP="00977A66">
                  <w:pPr>
                    <w:tabs>
                      <w:tab w:val="left" w:pos="1985"/>
                      <w:tab w:val="left" w:pos="2977"/>
                    </w:tabs>
                    <w:spacing w:line="276" w:lineRule="auto"/>
                    <w:jc w:val="both"/>
                    <w:rPr>
                      <w:sz w:val="24"/>
                    </w:rPr>
                  </w:pPr>
                  <w:r>
                    <w:rPr>
                      <w:sz w:val="24"/>
                    </w:rPr>
                    <w:t xml:space="preserve"> </w:t>
                  </w:r>
                </w:p>
              </w:tc>
            </w:tr>
            <w:tr w:rsidR="00525DF9" w:rsidRPr="00525DF9" w14:paraId="75A87AF2" w14:textId="77777777" w:rsidTr="002A63E1">
              <w:trPr>
                <w:cantSplit/>
                <w:trHeight w:val="68"/>
              </w:trPr>
              <w:tc>
                <w:tcPr>
                  <w:tcW w:w="4820" w:type="dxa"/>
                  <w:vMerge/>
                </w:tcPr>
                <w:p w14:paraId="5901D664" w14:textId="77777777" w:rsidR="00525DF9" w:rsidRPr="00525DF9" w:rsidRDefault="00525DF9" w:rsidP="00525DF9">
                  <w:pPr>
                    <w:tabs>
                      <w:tab w:val="left" w:pos="1985"/>
                      <w:tab w:val="left" w:pos="2977"/>
                    </w:tabs>
                    <w:spacing w:line="276" w:lineRule="auto"/>
                    <w:jc w:val="both"/>
                    <w:rPr>
                      <w:sz w:val="24"/>
                    </w:rPr>
                  </w:pPr>
                </w:p>
              </w:tc>
              <w:tc>
                <w:tcPr>
                  <w:tcW w:w="490" w:type="dxa"/>
                </w:tcPr>
                <w:p w14:paraId="368A9511" w14:textId="77777777" w:rsidR="00525DF9" w:rsidRPr="00525DF9" w:rsidRDefault="00525DF9" w:rsidP="00525DF9">
                  <w:pPr>
                    <w:tabs>
                      <w:tab w:val="left" w:pos="1985"/>
                      <w:tab w:val="left" w:pos="2977"/>
                    </w:tabs>
                    <w:spacing w:line="276" w:lineRule="auto"/>
                    <w:jc w:val="both"/>
                    <w:rPr>
                      <w:sz w:val="24"/>
                    </w:rPr>
                  </w:pPr>
                </w:p>
              </w:tc>
              <w:tc>
                <w:tcPr>
                  <w:tcW w:w="1530" w:type="dxa"/>
                </w:tcPr>
                <w:p w14:paraId="7D8585BD" w14:textId="77777777" w:rsidR="00525DF9" w:rsidRPr="00525DF9" w:rsidRDefault="00525DF9" w:rsidP="00525DF9">
                  <w:pPr>
                    <w:tabs>
                      <w:tab w:val="left" w:pos="1985"/>
                      <w:tab w:val="left" w:pos="2977"/>
                    </w:tabs>
                    <w:spacing w:line="276" w:lineRule="auto"/>
                    <w:jc w:val="both"/>
                    <w:rPr>
                      <w:sz w:val="24"/>
                    </w:rPr>
                  </w:pPr>
                </w:p>
              </w:tc>
              <w:tc>
                <w:tcPr>
                  <w:tcW w:w="3275" w:type="dxa"/>
                </w:tcPr>
                <w:p w14:paraId="06689854" w14:textId="77777777" w:rsidR="00525DF9" w:rsidRPr="00525DF9" w:rsidRDefault="00525DF9" w:rsidP="00525DF9">
                  <w:pPr>
                    <w:tabs>
                      <w:tab w:val="left" w:pos="1985"/>
                      <w:tab w:val="left" w:pos="2977"/>
                    </w:tabs>
                    <w:spacing w:line="276" w:lineRule="auto"/>
                    <w:jc w:val="both"/>
                    <w:rPr>
                      <w:sz w:val="24"/>
                    </w:rPr>
                  </w:pPr>
                  <w:r w:rsidRPr="00525DF9">
                    <w:rPr>
                      <w:sz w:val="24"/>
                    </w:rPr>
                    <w:t xml:space="preserve"> </w:t>
                  </w:r>
                </w:p>
              </w:tc>
            </w:tr>
          </w:tbl>
          <w:p w14:paraId="5B818B1A" w14:textId="77777777" w:rsidR="004B1DD5" w:rsidRPr="004B1DD5" w:rsidRDefault="004B1DD5" w:rsidP="00525DF9">
            <w:pPr>
              <w:tabs>
                <w:tab w:val="left" w:pos="1985"/>
                <w:tab w:val="left" w:pos="2977"/>
              </w:tabs>
              <w:spacing w:line="276" w:lineRule="auto"/>
              <w:jc w:val="both"/>
              <w:rPr>
                <w:sz w:val="30"/>
              </w:rPr>
            </w:pPr>
          </w:p>
        </w:tc>
      </w:tr>
    </w:tbl>
    <w:bookmarkEnd w:id="0"/>
    <w:p w14:paraId="1E5AC281" w14:textId="77777777" w:rsidR="00977A66" w:rsidRDefault="00260568" w:rsidP="00525DF9">
      <w:pPr>
        <w:tabs>
          <w:tab w:val="left" w:pos="1985"/>
          <w:tab w:val="left" w:pos="2977"/>
        </w:tabs>
        <w:spacing w:line="276" w:lineRule="auto"/>
        <w:jc w:val="both"/>
        <w:rPr>
          <w:b/>
          <w:bCs/>
          <w:caps/>
          <w:sz w:val="24"/>
          <w:szCs w:val="24"/>
          <w:shd w:val="clear" w:color="auto" w:fill="FFFFFF"/>
          <w:lang w:eastAsia="lt-LT"/>
        </w:rPr>
      </w:pPr>
      <w:r w:rsidRPr="00260568">
        <w:rPr>
          <w:b/>
          <w:bCs/>
          <w:sz w:val="24"/>
          <w:szCs w:val="24"/>
          <w:lang w:eastAsia="lt-LT"/>
        </w:rPr>
        <w:t xml:space="preserve">DĖL </w:t>
      </w:r>
      <w:r w:rsidRPr="00260568">
        <w:rPr>
          <w:b/>
          <w:bCs/>
          <w:sz w:val="24"/>
          <w:szCs w:val="24"/>
          <w:shd w:val="clear" w:color="auto" w:fill="FFFFFF"/>
          <w:lang w:eastAsia="lt-LT"/>
        </w:rPr>
        <w:t xml:space="preserve">LIETUVOS RESPUBLIKOS VYRIAUSYBĖS </w:t>
      </w:r>
      <w:r w:rsidR="00C32408">
        <w:rPr>
          <w:b/>
          <w:bCs/>
          <w:sz w:val="24"/>
          <w:szCs w:val="24"/>
          <w:shd w:val="clear" w:color="auto" w:fill="FFFFFF"/>
          <w:lang w:eastAsia="lt-LT"/>
        </w:rPr>
        <w:t xml:space="preserve">2018 M. VASARIO 7 D. </w:t>
      </w:r>
      <w:r w:rsidRPr="00260568">
        <w:rPr>
          <w:b/>
          <w:bCs/>
          <w:sz w:val="24"/>
          <w:szCs w:val="24"/>
          <w:shd w:val="clear" w:color="auto" w:fill="FFFFFF"/>
          <w:lang w:eastAsia="lt-LT"/>
        </w:rPr>
        <w:t>NUTARIM</w:t>
      </w:r>
      <w:r w:rsidR="00C32408">
        <w:rPr>
          <w:b/>
          <w:bCs/>
          <w:sz w:val="24"/>
          <w:szCs w:val="24"/>
          <w:shd w:val="clear" w:color="auto" w:fill="FFFFFF"/>
          <w:lang w:eastAsia="lt-LT"/>
        </w:rPr>
        <w:t xml:space="preserve">O NR. 126 PAKEITIMO </w:t>
      </w:r>
      <w:r w:rsidR="00977A66">
        <w:rPr>
          <w:b/>
          <w:bCs/>
          <w:sz w:val="24"/>
          <w:szCs w:val="24"/>
          <w:shd w:val="clear" w:color="auto" w:fill="FFFFFF"/>
          <w:lang w:eastAsia="lt-LT"/>
        </w:rPr>
        <w:t>PROJEKT</w:t>
      </w:r>
      <w:r w:rsidR="00C32408">
        <w:rPr>
          <w:b/>
          <w:bCs/>
          <w:sz w:val="24"/>
          <w:szCs w:val="24"/>
          <w:shd w:val="clear" w:color="auto" w:fill="FFFFFF"/>
          <w:lang w:eastAsia="lt-LT"/>
        </w:rPr>
        <w:t>O</w:t>
      </w:r>
    </w:p>
    <w:p w14:paraId="1AE48C62" w14:textId="6A761DFC" w:rsidR="009943CF" w:rsidRDefault="009943CF" w:rsidP="000C7B35">
      <w:pPr>
        <w:spacing w:line="276" w:lineRule="auto"/>
        <w:ind w:firstLine="720"/>
        <w:jc w:val="both"/>
        <w:rPr>
          <w:sz w:val="24"/>
          <w:szCs w:val="24"/>
          <w:lang w:eastAsia="lt-LT"/>
        </w:rPr>
      </w:pPr>
    </w:p>
    <w:p w14:paraId="506935AC" w14:textId="77777777" w:rsidR="00CF7B09" w:rsidRDefault="00CF7B09" w:rsidP="000C7B35">
      <w:pPr>
        <w:spacing w:line="276" w:lineRule="auto"/>
        <w:ind w:firstLine="720"/>
        <w:jc w:val="both"/>
        <w:rPr>
          <w:sz w:val="24"/>
          <w:szCs w:val="24"/>
          <w:lang w:eastAsia="lt-LT"/>
        </w:rPr>
      </w:pPr>
    </w:p>
    <w:p w14:paraId="4CEA43F2" w14:textId="13035AB1" w:rsidR="00CC0E22" w:rsidRPr="002A63E1" w:rsidRDefault="00977A66" w:rsidP="002A63E1">
      <w:pPr>
        <w:spacing w:line="360" w:lineRule="auto"/>
        <w:ind w:firstLine="720"/>
        <w:jc w:val="both"/>
        <w:rPr>
          <w:sz w:val="24"/>
          <w:szCs w:val="24"/>
          <w:lang w:eastAsia="lt-LT"/>
        </w:rPr>
      </w:pPr>
      <w:r w:rsidRPr="002A63E1">
        <w:rPr>
          <w:sz w:val="24"/>
          <w:szCs w:val="24"/>
          <w:lang w:eastAsia="lt-LT"/>
        </w:rPr>
        <w:t>Lietuvos Respublikos u</w:t>
      </w:r>
      <w:r w:rsidR="00260568" w:rsidRPr="002A63E1">
        <w:rPr>
          <w:sz w:val="24"/>
          <w:szCs w:val="24"/>
          <w:lang w:eastAsia="lt-LT"/>
        </w:rPr>
        <w:t>žsienio reikalų ministerija</w:t>
      </w:r>
      <w:r w:rsidR="001C2DA7" w:rsidRPr="002A63E1">
        <w:rPr>
          <w:sz w:val="24"/>
          <w:szCs w:val="24"/>
          <w:lang w:eastAsia="lt-LT"/>
        </w:rPr>
        <w:t>,</w:t>
      </w:r>
      <w:r w:rsidR="00260568" w:rsidRPr="002A63E1">
        <w:rPr>
          <w:sz w:val="24"/>
          <w:szCs w:val="24"/>
          <w:lang w:eastAsia="lt-LT"/>
        </w:rPr>
        <w:t xml:space="preserve"> pagal kompetenciją </w:t>
      </w:r>
      <w:r w:rsidR="00BD3B55" w:rsidRPr="002A63E1">
        <w:rPr>
          <w:sz w:val="24"/>
          <w:szCs w:val="24"/>
          <w:lang w:eastAsia="lt-LT"/>
        </w:rPr>
        <w:t>įvertin</w:t>
      </w:r>
      <w:r w:rsidR="001C2DA7" w:rsidRPr="002A63E1">
        <w:rPr>
          <w:sz w:val="24"/>
          <w:szCs w:val="24"/>
          <w:lang w:eastAsia="lt-LT"/>
        </w:rPr>
        <w:t xml:space="preserve">usi </w:t>
      </w:r>
      <w:r w:rsidR="00260568" w:rsidRPr="002A63E1">
        <w:rPr>
          <w:sz w:val="24"/>
          <w:szCs w:val="24"/>
          <w:lang w:eastAsia="lt-LT"/>
        </w:rPr>
        <w:t>pateikt</w:t>
      </w:r>
      <w:r w:rsidR="00C32408" w:rsidRPr="002A63E1">
        <w:rPr>
          <w:sz w:val="24"/>
          <w:szCs w:val="24"/>
          <w:lang w:eastAsia="lt-LT"/>
        </w:rPr>
        <w:t xml:space="preserve">ą </w:t>
      </w:r>
      <w:r w:rsidR="00260568" w:rsidRPr="002A63E1">
        <w:rPr>
          <w:sz w:val="24"/>
          <w:szCs w:val="24"/>
          <w:lang w:eastAsia="lt-LT"/>
        </w:rPr>
        <w:t xml:space="preserve"> </w:t>
      </w:r>
      <w:r w:rsidR="003B4842" w:rsidRPr="002A63E1">
        <w:rPr>
          <w:sz w:val="24"/>
          <w:szCs w:val="24"/>
          <w:lang w:eastAsia="lt-LT"/>
        </w:rPr>
        <w:t xml:space="preserve">skubos tvarka </w:t>
      </w:r>
      <w:r w:rsidR="00260568" w:rsidRPr="002A63E1">
        <w:rPr>
          <w:sz w:val="24"/>
          <w:szCs w:val="24"/>
          <w:lang w:eastAsia="lt-LT"/>
        </w:rPr>
        <w:t xml:space="preserve">derinti </w:t>
      </w:r>
      <w:r w:rsidR="00C32408" w:rsidRPr="002A63E1">
        <w:rPr>
          <w:sz w:val="24"/>
          <w:szCs w:val="24"/>
          <w:lang w:eastAsia="lt-LT"/>
        </w:rPr>
        <w:t xml:space="preserve">Lietuvos Respublikos Vyriausybės 2018 m. vasario 7 d. nutarimo Nr. 126 „Dėl buhalterinės apskaitos tvarkymo ir personalo administravimo funkcijų atlikimo centralizuotai“ pakeitimo </w:t>
      </w:r>
      <w:r w:rsidR="004808E1" w:rsidRPr="002A63E1">
        <w:rPr>
          <w:sz w:val="24"/>
          <w:szCs w:val="24"/>
          <w:lang w:eastAsia="lt-LT"/>
        </w:rPr>
        <w:t>projektą</w:t>
      </w:r>
      <w:r w:rsidR="00552021" w:rsidRPr="002A63E1">
        <w:rPr>
          <w:sz w:val="24"/>
          <w:szCs w:val="24"/>
          <w:lang w:eastAsia="lt-LT"/>
        </w:rPr>
        <w:t>,</w:t>
      </w:r>
      <w:r w:rsidR="004808E1" w:rsidRPr="002A63E1">
        <w:rPr>
          <w:sz w:val="24"/>
          <w:szCs w:val="24"/>
          <w:lang w:eastAsia="lt-LT"/>
        </w:rPr>
        <w:t xml:space="preserve"> </w:t>
      </w:r>
      <w:r w:rsidR="00F61ABB" w:rsidRPr="002A63E1">
        <w:rPr>
          <w:sz w:val="24"/>
          <w:szCs w:val="24"/>
          <w:lang w:eastAsia="lt-LT"/>
        </w:rPr>
        <w:t xml:space="preserve">teikia šias </w:t>
      </w:r>
      <w:r w:rsidR="00260568" w:rsidRPr="002A63E1">
        <w:rPr>
          <w:sz w:val="24"/>
          <w:szCs w:val="24"/>
          <w:lang w:eastAsia="lt-LT"/>
        </w:rPr>
        <w:t>pastab</w:t>
      </w:r>
      <w:r w:rsidR="00F61ABB" w:rsidRPr="002A63E1">
        <w:rPr>
          <w:sz w:val="24"/>
          <w:szCs w:val="24"/>
          <w:lang w:eastAsia="lt-LT"/>
        </w:rPr>
        <w:t>as</w:t>
      </w:r>
      <w:r w:rsidR="00260568" w:rsidRPr="002A63E1">
        <w:rPr>
          <w:sz w:val="24"/>
          <w:szCs w:val="24"/>
          <w:lang w:eastAsia="lt-LT"/>
        </w:rPr>
        <w:t xml:space="preserve"> ir pasiūlym</w:t>
      </w:r>
      <w:r w:rsidR="00F61ABB" w:rsidRPr="002A63E1">
        <w:rPr>
          <w:sz w:val="24"/>
          <w:szCs w:val="24"/>
          <w:lang w:eastAsia="lt-LT"/>
        </w:rPr>
        <w:t>us</w:t>
      </w:r>
      <w:r w:rsidR="004808E1" w:rsidRPr="002A63E1">
        <w:rPr>
          <w:sz w:val="24"/>
          <w:szCs w:val="24"/>
          <w:lang w:eastAsia="lt-LT"/>
        </w:rPr>
        <w:t>.</w:t>
      </w:r>
    </w:p>
    <w:p w14:paraId="4CC5DE00" w14:textId="78FE362B" w:rsidR="002A63E1" w:rsidRPr="002A63E1" w:rsidRDefault="002A63E1" w:rsidP="002A63E1">
      <w:pPr>
        <w:pStyle w:val="NormalWeb"/>
        <w:spacing w:line="360" w:lineRule="auto"/>
        <w:jc w:val="both"/>
      </w:pPr>
      <w:r>
        <w:tab/>
      </w:r>
      <w:r w:rsidRPr="002A63E1">
        <w:t>Užsienio reikalų ministerija yra atsakinga už Lietuvos diplomatinės tarnybos institucijų diplomatinio saugumo gairių įgyvendinimo koordinavimą, todėl, įvertinusi savo turimą jautrią informaciją, būtinąsias saugumo ir grėsmių prevencijos priemones, specialiuosius saugumo reikalavimus, buhalterinės apskaitos tvarkymo ir personalo administravimo diplomatinėse atstovybėse specifiką ir sutikdama su pagrįstais Finansų ministerijos argumentais, kuriais remiantis siūloma dalies biudžetinių įstaigų buhalterinės apskaitos tvarkymo ir personalo administravimo funkcijų centralizavimą atidėti dėl kuriamos bendros informacinės valstybės įstaigų buhalterinės apskaitos tvarkymo ir personalo administravimo sistemos, taip pat dėl gerosios patirties, kurią dar reikia sukaupti, palyginimo</w:t>
      </w:r>
      <w:r>
        <w:t xml:space="preserve"> ir</w:t>
      </w:r>
      <w:r w:rsidRPr="002A63E1">
        <w:t xml:space="preserve"> procesų optimizavimo poreikio,</w:t>
      </w:r>
      <w:r>
        <w:t xml:space="preserve"> bei </w:t>
      </w:r>
      <w:r w:rsidRPr="002A63E1">
        <w:t>atsižvelgdama į deklaruotą galimybę kokybiškas centralizuotas buhalterinės apskaitos tvarkymo ir personalo administravimo paslaugas įstaigoms gauti tik pradėjus veikti dabar kuriamai bendrajai informacinei sistemai, siūlo:</w:t>
      </w:r>
    </w:p>
    <w:p w14:paraId="75E4AA41" w14:textId="67265891" w:rsidR="002A598A" w:rsidRPr="002A63E1" w:rsidRDefault="00694982" w:rsidP="002A63E1">
      <w:pPr>
        <w:spacing w:line="360" w:lineRule="auto"/>
        <w:ind w:firstLine="720"/>
        <w:jc w:val="both"/>
        <w:rPr>
          <w:sz w:val="24"/>
          <w:szCs w:val="24"/>
          <w:lang w:eastAsia="lt-LT"/>
        </w:rPr>
      </w:pPr>
      <w:r w:rsidRPr="002A63E1">
        <w:rPr>
          <w:sz w:val="24"/>
          <w:szCs w:val="24"/>
          <w:lang w:eastAsia="lt-LT"/>
        </w:rPr>
        <w:t xml:space="preserve">1. </w:t>
      </w:r>
      <w:r w:rsidR="002A598A" w:rsidRPr="002A63E1">
        <w:rPr>
          <w:sz w:val="24"/>
          <w:szCs w:val="24"/>
          <w:lang w:eastAsia="lt-LT"/>
        </w:rPr>
        <w:t xml:space="preserve">Užsienio reikalų ministerijos </w:t>
      </w:r>
      <w:r w:rsidR="00273234" w:rsidRPr="002A63E1">
        <w:rPr>
          <w:sz w:val="24"/>
          <w:szCs w:val="24"/>
          <w:lang w:eastAsia="lt-LT"/>
        </w:rPr>
        <w:t xml:space="preserve">buhalterinės apskaitos tvarkymo funkcijų centralizavimą </w:t>
      </w:r>
      <w:r w:rsidR="002A598A" w:rsidRPr="002A63E1">
        <w:rPr>
          <w:sz w:val="24"/>
          <w:szCs w:val="24"/>
          <w:lang w:eastAsia="lt-LT"/>
        </w:rPr>
        <w:t xml:space="preserve">nukelti </w:t>
      </w:r>
      <w:r w:rsidR="00273234" w:rsidRPr="002A63E1">
        <w:rPr>
          <w:sz w:val="24"/>
          <w:szCs w:val="24"/>
          <w:lang w:eastAsia="lt-LT"/>
        </w:rPr>
        <w:t>į 2024 m. gegužės 2 d</w:t>
      </w:r>
      <w:r w:rsidR="00826B1A" w:rsidRPr="002A63E1">
        <w:rPr>
          <w:sz w:val="24"/>
          <w:szCs w:val="24"/>
          <w:lang w:eastAsia="lt-LT"/>
        </w:rPr>
        <w:t>ieną</w:t>
      </w:r>
      <w:r w:rsidR="00273234" w:rsidRPr="002A63E1">
        <w:rPr>
          <w:sz w:val="24"/>
          <w:szCs w:val="24"/>
          <w:lang w:eastAsia="lt-LT"/>
        </w:rPr>
        <w:t>.</w:t>
      </w:r>
      <w:r w:rsidR="002A598A" w:rsidRPr="002A63E1">
        <w:rPr>
          <w:sz w:val="24"/>
          <w:szCs w:val="24"/>
          <w:lang w:eastAsia="lt-LT"/>
        </w:rPr>
        <w:t xml:space="preserve"> </w:t>
      </w:r>
      <w:r w:rsidR="00826B1A" w:rsidRPr="002A63E1">
        <w:rPr>
          <w:sz w:val="24"/>
          <w:szCs w:val="24"/>
          <w:lang w:eastAsia="lt-LT"/>
        </w:rPr>
        <w:t xml:space="preserve">Tam </w:t>
      </w:r>
      <w:r w:rsidR="002A598A" w:rsidRPr="002A63E1">
        <w:rPr>
          <w:sz w:val="24"/>
          <w:szCs w:val="24"/>
          <w:lang w:eastAsia="lt-LT"/>
        </w:rPr>
        <w:t>tikslu</w:t>
      </w:r>
      <w:r w:rsidR="00826B1A" w:rsidRPr="002A63E1">
        <w:rPr>
          <w:sz w:val="24"/>
          <w:szCs w:val="24"/>
          <w:lang w:eastAsia="lt-LT"/>
        </w:rPr>
        <w:t>i</w:t>
      </w:r>
      <w:r w:rsidR="002A598A" w:rsidRPr="002A63E1">
        <w:rPr>
          <w:sz w:val="24"/>
          <w:szCs w:val="24"/>
          <w:lang w:eastAsia="lt-LT"/>
        </w:rPr>
        <w:t xml:space="preserve"> </w:t>
      </w:r>
      <w:r w:rsidR="00826B1A" w:rsidRPr="002A63E1">
        <w:rPr>
          <w:sz w:val="24"/>
          <w:szCs w:val="24"/>
          <w:lang w:eastAsia="lt-LT"/>
        </w:rPr>
        <w:t xml:space="preserve">reikėtų </w:t>
      </w:r>
      <w:r w:rsidR="00330BCB" w:rsidRPr="002A63E1">
        <w:rPr>
          <w:sz w:val="24"/>
          <w:szCs w:val="24"/>
          <w:lang w:eastAsia="lt-LT"/>
        </w:rPr>
        <w:t xml:space="preserve">perkelti Užsienio reikalų ministeriją iš </w:t>
      </w:r>
      <w:r w:rsidR="002A598A" w:rsidRPr="002A63E1">
        <w:rPr>
          <w:sz w:val="24"/>
          <w:szCs w:val="24"/>
          <w:lang w:eastAsia="lt-LT"/>
        </w:rPr>
        <w:t>Ministerijų, atitinkamo ministro valdymo</w:t>
      </w:r>
      <w:r w:rsidR="00330BCB" w:rsidRPr="002A63E1">
        <w:rPr>
          <w:sz w:val="24"/>
          <w:szCs w:val="24"/>
          <w:lang w:eastAsia="lt-LT"/>
        </w:rPr>
        <w:t xml:space="preserve"> </w:t>
      </w:r>
      <w:r w:rsidR="002A598A" w:rsidRPr="002A63E1">
        <w:rPr>
          <w:sz w:val="24"/>
          <w:szCs w:val="24"/>
          <w:lang w:eastAsia="lt-LT"/>
        </w:rPr>
        <w:t>sritims priskirtų įstaigų prie ministerijos, kitų ministerijoms atskaitingų biudžetinių įstaigų, kurių</w:t>
      </w:r>
      <w:r w:rsidR="00330BCB" w:rsidRPr="002A63E1">
        <w:rPr>
          <w:sz w:val="24"/>
          <w:szCs w:val="24"/>
          <w:lang w:eastAsia="lt-LT"/>
        </w:rPr>
        <w:t xml:space="preserve"> </w:t>
      </w:r>
      <w:r w:rsidR="002A598A" w:rsidRPr="002A63E1">
        <w:rPr>
          <w:sz w:val="24"/>
          <w:szCs w:val="24"/>
          <w:lang w:eastAsia="lt-LT"/>
        </w:rPr>
        <w:t>buhalterinės apskaitos tvarkymo funkcijos atliekamos centralizuotai, sąraš</w:t>
      </w:r>
      <w:r w:rsidR="00330BCB" w:rsidRPr="002A63E1">
        <w:rPr>
          <w:sz w:val="24"/>
          <w:szCs w:val="24"/>
          <w:lang w:eastAsia="lt-LT"/>
        </w:rPr>
        <w:t xml:space="preserve">o IV skyriaus antrojo skirsnio (funkcijos konsoliduojamos nuo </w:t>
      </w:r>
      <w:r w:rsidR="00330BCB" w:rsidRPr="002A63E1">
        <w:rPr>
          <w:sz w:val="24"/>
          <w:szCs w:val="24"/>
          <w:lang w:eastAsia="lt-LT"/>
        </w:rPr>
        <w:lastRenderedPageBreak/>
        <w:t>2023 m. gegužės 2 d.) į minėto</w:t>
      </w:r>
      <w:r w:rsidR="00897B51" w:rsidRPr="002A63E1">
        <w:rPr>
          <w:sz w:val="24"/>
          <w:szCs w:val="24"/>
          <w:lang w:eastAsia="lt-LT"/>
        </w:rPr>
        <w:t>jo</w:t>
      </w:r>
      <w:r w:rsidR="00330BCB" w:rsidRPr="002A63E1">
        <w:rPr>
          <w:sz w:val="24"/>
          <w:szCs w:val="24"/>
          <w:lang w:eastAsia="lt-LT"/>
        </w:rPr>
        <w:t xml:space="preserve"> sąrašo VI skyrių, jį papildant trečiuoju skirsniu (funkcijos konsoliduojamos nuo 2024 m. gegužės 2 d.)</w:t>
      </w:r>
      <w:r w:rsidR="00897B51" w:rsidRPr="002A63E1">
        <w:rPr>
          <w:sz w:val="24"/>
          <w:szCs w:val="24"/>
          <w:lang w:eastAsia="lt-LT"/>
        </w:rPr>
        <w:t>;</w:t>
      </w:r>
    </w:p>
    <w:p w14:paraId="75936268" w14:textId="05CABE7E" w:rsidR="00552021" w:rsidRPr="002A63E1" w:rsidRDefault="00694982" w:rsidP="002A63E1">
      <w:pPr>
        <w:spacing w:line="360" w:lineRule="auto"/>
        <w:ind w:firstLine="720"/>
        <w:jc w:val="both"/>
        <w:rPr>
          <w:sz w:val="24"/>
          <w:szCs w:val="24"/>
          <w:lang w:eastAsia="lt-LT"/>
        </w:rPr>
      </w:pPr>
      <w:r w:rsidRPr="002A63E1">
        <w:rPr>
          <w:sz w:val="24"/>
          <w:szCs w:val="24"/>
          <w:lang w:eastAsia="lt-LT"/>
        </w:rPr>
        <w:t xml:space="preserve">2. </w:t>
      </w:r>
      <w:r w:rsidR="00897B51" w:rsidRPr="002A63E1">
        <w:rPr>
          <w:sz w:val="24"/>
          <w:szCs w:val="24"/>
          <w:lang w:eastAsia="lt-LT"/>
        </w:rPr>
        <w:t xml:space="preserve">pavedimą </w:t>
      </w:r>
      <w:r w:rsidR="00273234" w:rsidRPr="002A63E1">
        <w:rPr>
          <w:sz w:val="24"/>
          <w:szCs w:val="24"/>
          <w:lang w:eastAsia="lt-LT"/>
        </w:rPr>
        <w:t xml:space="preserve">Finansų ministerijai kartu su Užsienio reikalų ministerija atlikti Užsienio reikalų ministerijos personalo administravimo funkcijų, kurias centralizuotai atliktų Nacionalinis bendrųjų funkcijų centras, turinio ir jų atlikimo centralizuotai galimumo vertinimą </w:t>
      </w:r>
      <w:r w:rsidR="000673B0" w:rsidRPr="002A63E1">
        <w:rPr>
          <w:sz w:val="24"/>
          <w:szCs w:val="24"/>
          <w:lang w:eastAsia="lt-LT"/>
        </w:rPr>
        <w:t xml:space="preserve">nukelti </w:t>
      </w:r>
      <w:r w:rsidR="00146BFF" w:rsidRPr="002A63E1">
        <w:rPr>
          <w:sz w:val="24"/>
          <w:szCs w:val="24"/>
          <w:lang w:eastAsia="lt-LT"/>
        </w:rPr>
        <w:t>iki</w:t>
      </w:r>
      <w:r w:rsidR="00273234" w:rsidRPr="002A63E1">
        <w:rPr>
          <w:sz w:val="24"/>
          <w:szCs w:val="24"/>
          <w:lang w:eastAsia="lt-LT"/>
        </w:rPr>
        <w:t xml:space="preserve"> 2024 m. balandžio 30 d</w:t>
      </w:r>
      <w:r w:rsidR="00AD3D26" w:rsidRPr="002A63E1">
        <w:rPr>
          <w:sz w:val="24"/>
          <w:szCs w:val="24"/>
          <w:lang w:eastAsia="lt-LT"/>
        </w:rPr>
        <w:t>ienos</w:t>
      </w:r>
      <w:r w:rsidR="00273234" w:rsidRPr="002A63E1">
        <w:rPr>
          <w:sz w:val="24"/>
          <w:szCs w:val="24"/>
          <w:lang w:eastAsia="lt-LT"/>
        </w:rPr>
        <w:t xml:space="preserve">. </w:t>
      </w:r>
      <w:r w:rsidR="00AD3D26" w:rsidRPr="002A63E1">
        <w:rPr>
          <w:sz w:val="24"/>
          <w:szCs w:val="24"/>
          <w:lang w:eastAsia="lt-LT"/>
        </w:rPr>
        <w:t xml:space="preserve">Tam </w:t>
      </w:r>
      <w:r w:rsidR="00273234" w:rsidRPr="002A63E1">
        <w:rPr>
          <w:sz w:val="24"/>
          <w:szCs w:val="24"/>
          <w:lang w:eastAsia="lt-LT"/>
        </w:rPr>
        <w:t>tikslu</w:t>
      </w:r>
      <w:r w:rsidR="00AD3D26" w:rsidRPr="002A63E1">
        <w:rPr>
          <w:sz w:val="24"/>
          <w:szCs w:val="24"/>
          <w:lang w:eastAsia="lt-LT"/>
        </w:rPr>
        <w:t>i</w:t>
      </w:r>
      <w:r w:rsidR="00273234" w:rsidRPr="002A63E1">
        <w:rPr>
          <w:sz w:val="24"/>
          <w:szCs w:val="24"/>
          <w:lang w:eastAsia="lt-LT"/>
        </w:rPr>
        <w:t xml:space="preserve"> </w:t>
      </w:r>
      <w:r w:rsidR="00AD3D26" w:rsidRPr="002A63E1">
        <w:rPr>
          <w:sz w:val="24"/>
          <w:szCs w:val="24"/>
          <w:lang w:eastAsia="lt-LT"/>
        </w:rPr>
        <w:t xml:space="preserve">reikėtų </w:t>
      </w:r>
      <w:r w:rsidR="00552021" w:rsidRPr="002A63E1">
        <w:rPr>
          <w:sz w:val="24"/>
          <w:szCs w:val="24"/>
          <w:lang w:eastAsia="lt-LT"/>
        </w:rPr>
        <w:t>papildyti nutarimo projektą atskiru punktu:</w:t>
      </w:r>
    </w:p>
    <w:p w14:paraId="62354739" w14:textId="3704D056" w:rsidR="006859CA" w:rsidRPr="002A63E1" w:rsidRDefault="00AD3D26" w:rsidP="006859CA">
      <w:pPr>
        <w:spacing w:line="360" w:lineRule="auto"/>
        <w:ind w:firstLine="720"/>
        <w:jc w:val="both"/>
        <w:rPr>
          <w:sz w:val="24"/>
          <w:szCs w:val="24"/>
          <w:lang w:eastAsia="lt-LT"/>
        </w:rPr>
      </w:pPr>
      <w:r w:rsidRPr="002A63E1">
        <w:rPr>
          <w:sz w:val="24"/>
          <w:szCs w:val="24"/>
          <w:lang w:eastAsia="lt-LT"/>
        </w:rPr>
        <w:t>„</w:t>
      </w:r>
      <w:r w:rsidR="006859CA" w:rsidRPr="002A63E1">
        <w:rPr>
          <w:sz w:val="24"/>
          <w:szCs w:val="24"/>
          <w:lang w:eastAsia="lt-LT"/>
        </w:rPr>
        <w:t>pakeisti 2.2.3 papunktį ir jį išdėstyti taip:</w:t>
      </w:r>
    </w:p>
    <w:p w14:paraId="6D1CD6AC" w14:textId="242F00A3" w:rsidR="000673B0" w:rsidRPr="002A63E1" w:rsidRDefault="000673B0" w:rsidP="000673B0">
      <w:pPr>
        <w:spacing w:line="360" w:lineRule="auto"/>
        <w:ind w:firstLine="720"/>
        <w:jc w:val="both"/>
        <w:rPr>
          <w:sz w:val="24"/>
        </w:rPr>
      </w:pPr>
      <w:r w:rsidRPr="002A63E1">
        <w:rPr>
          <w:sz w:val="24"/>
          <w:szCs w:val="24"/>
          <w:lang w:eastAsia="lt-LT"/>
        </w:rPr>
        <w:t>„2.2.3</w:t>
      </w:r>
      <w:r w:rsidR="00250C1B" w:rsidRPr="002A63E1">
        <w:rPr>
          <w:sz w:val="24"/>
          <w:szCs w:val="24"/>
          <w:lang w:eastAsia="lt-LT"/>
        </w:rPr>
        <w:t>.</w:t>
      </w:r>
      <w:r w:rsidRPr="002A63E1">
        <w:rPr>
          <w:sz w:val="24"/>
          <w:szCs w:val="24"/>
          <w:lang w:eastAsia="lt-LT"/>
        </w:rPr>
        <w:t xml:space="preserve"> iki 2024 m. balandžio 30 d. kartu su Užsienio reikalų ministerija atlikti Užsienio reikalų ministerijos personalo administravimo funkcijų, kurias centralizuotai atliktų Centras, turinio ir jų atlikimo centralizuotai galimumo vertinimą“.</w:t>
      </w:r>
      <w:r w:rsidR="00250C1B" w:rsidRPr="002A63E1">
        <w:rPr>
          <w:sz w:val="24"/>
          <w:szCs w:val="24"/>
          <w:lang w:eastAsia="lt-LT"/>
        </w:rPr>
        <w:t>“</w:t>
      </w:r>
    </w:p>
    <w:p w14:paraId="7E6B63E1" w14:textId="6FCBFE08" w:rsidR="0034438C" w:rsidRDefault="007647C4" w:rsidP="0034438C">
      <w:pPr>
        <w:spacing w:line="360" w:lineRule="auto"/>
        <w:ind w:firstLine="720"/>
        <w:jc w:val="both"/>
        <w:rPr>
          <w:sz w:val="24"/>
          <w:szCs w:val="24"/>
        </w:rPr>
      </w:pPr>
      <w:r w:rsidRPr="007647C4">
        <w:rPr>
          <w:sz w:val="24"/>
          <w:szCs w:val="24"/>
        </w:rPr>
        <w:t>Užsienio reikalų ministerija atliko išsamią funkcijų turinio analizę dėl galimo centralizavimo apimčių jos veiklos srityje ir siūlo, prieš priimant tolimesnius sprendimus dėl buhalterinės apskaitos tvarkymo ir personalo administravimo funkcijų centralizavimo, įvertinti ar centralizuojant tik apie penktadalį funkcijų Užsienio reikalų ministerijos veiklos srityje, įmanoma pasiekti naudą, kurios siekiama įgyvendinant šią reformą.</w:t>
      </w:r>
    </w:p>
    <w:p w14:paraId="7FDD7103" w14:textId="77777777" w:rsidR="009B420A" w:rsidRDefault="009B420A" w:rsidP="0034438C">
      <w:pPr>
        <w:spacing w:line="360" w:lineRule="auto"/>
        <w:ind w:firstLine="720"/>
        <w:jc w:val="both"/>
        <w:rPr>
          <w:sz w:val="24"/>
          <w:szCs w:val="24"/>
          <w:lang w:eastAsia="lt-LT"/>
        </w:rPr>
      </w:pPr>
      <w:bookmarkStart w:id="1" w:name="_GoBack"/>
      <w:bookmarkEnd w:id="1"/>
    </w:p>
    <w:p w14:paraId="5B7B9F20" w14:textId="30946CF6" w:rsidR="0034438C" w:rsidRDefault="0034438C" w:rsidP="0034438C">
      <w:pPr>
        <w:spacing w:line="360" w:lineRule="auto"/>
        <w:ind w:firstLine="720"/>
        <w:jc w:val="both"/>
        <w:rPr>
          <w:sz w:val="24"/>
          <w:szCs w:val="24"/>
          <w:lang w:eastAsia="lt-LT"/>
        </w:rPr>
      </w:pPr>
    </w:p>
    <w:p w14:paraId="6E1A0770" w14:textId="3E237A19" w:rsidR="004B35DF" w:rsidRDefault="00260568" w:rsidP="00F7123F">
      <w:pPr>
        <w:spacing w:line="276" w:lineRule="auto"/>
        <w:ind w:right="-142"/>
        <w:rPr>
          <w:sz w:val="24"/>
        </w:rPr>
      </w:pPr>
      <w:r>
        <w:rPr>
          <w:sz w:val="24"/>
        </w:rPr>
        <w:t>Ministerijos kanclerė</w:t>
      </w:r>
      <w:r w:rsidR="00D92A10">
        <w:rPr>
          <w:sz w:val="24"/>
        </w:rPr>
        <w:tab/>
        <w:t xml:space="preserve">  </w:t>
      </w:r>
      <w:r w:rsidR="000D2D80">
        <w:rPr>
          <w:sz w:val="24"/>
        </w:rPr>
        <w:tab/>
      </w:r>
      <w:r w:rsidR="00FA17C6">
        <w:rPr>
          <w:sz w:val="24"/>
        </w:rPr>
        <w:tab/>
      </w:r>
      <w:r w:rsidR="00525DF9">
        <w:rPr>
          <w:sz w:val="24"/>
        </w:rPr>
        <w:tab/>
      </w:r>
      <w:r w:rsidR="00525DF9">
        <w:rPr>
          <w:sz w:val="24"/>
        </w:rPr>
        <w:tab/>
      </w:r>
      <w:r w:rsidR="00525DF9">
        <w:rPr>
          <w:sz w:val="24"/>
        </w:rPr>
        <w:tab/>
      </w:r>
      <w:r w:rsidR="00525DF9">
        <w:rPr>
          <w:sz w:val="24"/>
        </w:rPr>
        <w:tab/>
      </w:r>
      <w:r w:rsidR="00525DF9">
        <w:rPr>
          <w:sz w:val="24"/>
        </w:rPr>
        <w:tab/>
      </w:r>
      <w:r w:rsidR="00D92A10">
        <w:rPr>
          <w:sz w:val="24"/>
        </w:rPr>
        <w:t xml:space="preserve">     </w:t>
      </w:r>
      <w:r w:rsidR="003B4842">
        <w:rPr>
          <w:sz w:val="24"/>
        </w:rPr>
        <w:t>Inga Černiuk</w:t>
      </w:r>
    </w:p>
    <w:p w14:paraId="720FEF30" w14:textId="68580A08" w:rsidR="00BA4F2D" w:rsidRDefault="00BA4F2D" w:rsidP="00F7123F">
      <w:pPr>
        <w:spacing w:line="276" w:lineRule="auto"/>
        <w:ind w:right="-142"/>
        <w:rPr>
          <w:sz w:val="24"/>
        </w:rPr>
      </w:pPr>
    </w:p>
    <w:p w14:paraId="1485D004" w14:textId="6C89EDA3" w:rsidR="00BA4F2D" w:rsidRDefault="00BA4F2D" w:rsidP="00F7123F">
      <w:pPr>
        <w:spacing w:line="276" w:lineRule="auto"/>
        <w:ind w:right="-142"/>
        <w:rPr>
          <w:sz w:val="24"/>
        </w:rPr>
      </w:pPr>
    </w:p>
    <w:p w14:paraId="026E6B4C" w14:textId="6116F76F" w:rsidR="00BA4F2D" w:rsidRDefault="00BA4F2D" w:rsidP="00F7123F">
      <w:pPr>
        <w:spacing w:line="276" w:lineRule="auto"/>
        <w:ind w:right="-142"/>
        <w:rPr>
          <w:sz w:val="24"/>
        </w:rPr>
      </w:pPr>
    </w:p>
    <w:p w14:paraId="491F3957" w14:textId="4DE78B2F" w:rsidR="00BA4F2D" w:rsidRDefault="00BA4F2D" w:rsidP="00F7123F">
      <w:pPr>
        <w:spacing w:line="276" w:lineRule="auto"/>
        <w:ind w:right="-142"/>
        <w:rPr>
          <w:sz w:val="24"/>
        </w:rPr>
      </w:pPr>
    </w:p>
    <w:p w14:paraId="46D355FA" w14:textId="349631BC" w:rsidR="00BA4F2D" w:rsidRDefault="00BA4F2D" w:rsidP="00F7123F">
      <w:pPr>
        <w:spacing w:line="276" w:lineRule="auto"/>
        <w:ind w:right="-142"/>
        <w:rPr>
          <w:sz w:val="24"/>
        </w:rPr>
      </w:pPr>
    </w:p>
    <w:p w14:paraId="00FED1F1" w14:textId="58B2F7FD" w:rsidR="00BA4F2D" w:rsidRDefault="00BA4F2D" w:rsidP="00F7123F">
      <w:pPr>
        <w:spacing w:line="276" w:lineRule="auto"/>
        <w:ind w:right="-142"/>
        <w:rPr>
          <w:sz w:val="24"/>
        </w:rPr>
      </w:pPr>
    </w:p>
    <w:p w14:paraId="64E07E26" w14:textId="13545E76" w:rsidR="00BA4F2D" w:rsidRDefault="00BA4F2D" w:rsidP="00F7123F">
      <w:pPr>
        <w:spacing w:line="276" w:lineRule="auto"/>
        <w:ind w:right="-142"/>
        <w:rPr>
          <w:sz w:val="24"/>
        </w:rPr>
      </w:pPr>
    </w:p>
    <w:p w14:paraId="26B88280" w14:textId="0F7333BB" w:rsidR="00BA4F2D" w:rsidRDefault="00BA4F2D" w:rsidP="00F7123F">
      <w:pPr>
        <w:spacing w:line="276" w:lineRule="auto"/>
        <w:ind w:right="-142"/>
        <w:rPr>
          <w:sz w:val="24"/>
        </w:rPr>
      </w:pPr>
    </w:p>
    <w:p w14:paraId="51944E7F" w14:textId="41943581" w:rsidR="00BA4F2D" w:rsidRDefault="00BA4F2D" w:rsidP="00F7123F">
      <w:pPr>
        <w:spacing w:line="276" w:lineRule="auto"/>
        <w:ind w:right="-142"/>
        <w:rPr>
          <w:sz w:val="24"/>
        </w:rPr>
      </w:pPr>
    </w:p>
    <w:p w14:paraId="6DD567C2" w14:textId="2EFA6BC6" w:rsidR="00BA4F2D" w:rsidRDefault="00BA4F2D" w:rsidP="00F7123F">
      <w:pPr>
        <w:spacing w:line="276" w:lineRule="auto"/>
        <w:ind w:right="-142"/>
        <w:rPr>
          <w:sz w:val="24"/>
        </w:rPr>
      </w:pPr>
    </w:p>
    <w:p w14:paraId="58054CCA" w14:textId="5E5FD49F" w:rsidR="00BA4F2D" w:rsidRDefault="00BA4F2D" w:rsidP="00F7123F">
      <w:pPr>
        <w:spacing w:line="276" w:lineRule="auto"/>
        <w:ind w:right="-142"/>
        <w:rPr>
          <w:sz w:val="24"/>
        </w:rPr>
      </w:pPr>
    </w:p>
    <w:p w14:paraId="1D6CBF8A" w14:textId="6FFCDA8F" w:rsidR="00BA4F2D" w:rsidRDefault="00BA4F2D" w:rsidP="00F7123F">
      <w:pPr>
        <w:spacing w:line="276" w:lineRule="auto"/>
        <w:ind w:right="-142"/>
        <w:rPr>
          <w:sz w:val="24"/>
        </w:rPr>
      </w:pPr>
    </w:p>
    <w:p w14:paraId="5259A073" w14:textId="536D4966" w:rsidR="00BA4F2D" w:rsidRDefault="00BA4F2D" w:rsidP="00F7123F">
      <w:pPr>
        <w:spacing w:line="276" w:lineRule="auto"/>
        <w:ind w:right="-142"/>
        <w:rPr>
          <w:sz w:val="24"/>
        </w:rPr>
      </w:pPr>
    </w:p>
    <w:p w14:paraId="22A59DEE" w14:textId="46A87F10" w:rsidR="00BA4F2D" w:rsidRDefault="00BA4F2D" w:rsidP="00F7123F">
      <w:pPr>
        <w:spacing w:line="276" w:lineRule="auto"/>
        <w:ind w:right="-142"/>
        <w:rPr>
          <w:sz w:val="24"/>
        </w:rPr>
      </w:pPr>
    </w:p>
    <w:p w14:paraId="6F3C3054" w14:textId="73170C69" w:rsidR="00BA4F2D" w:rsidRDefault="00BA4F2D" w:rsidP="00F7123F">
      <w:pPr>
        <w:spacing w:line="276" w:lineRule="auto"/>
        <w:ind w:right="-142"/>
        <w:rPr>
          <w:sz w:val="24"/>
        </w:rPr>
      </w:pPr>
    </w:p>
    <w:p w14:paraId="564408C3" w14:textId="0B10FAFB" w:rsidR="00BA4F2D" w:rsidRDefault="00BA4F2D" w:rsidP="00F7123F">
      <w:pPr>
        <w:spacing w:line="276" w:lineRule="auto"/>
        <w:ind w:right="-142"/>
        <w:rPr>
          <w:sz w:val="24"/>
        </w:rPr>
      </w:pPr>
    </w:p>
    <w:p w14:paraId="2579365E" w14:textId="495B5606" w:rsidR="00BA4F2D" w:rsidRDefault="00BA4F2D" w:rsidP="00F7123F">
      <w:pPr>
        <w:spacing w:line="276" w:lineRule="auto"/>
        <w:ind w:right="-142"/>
        <w:rPr>
          <w:sz w:val="24"/>
        </w:rPr>
      </w:pPr>
    </w:p>
    <w:p w14:paraId="4FFFF759" w14:textId="29C10300" w:rsidR="007647C4" w:rsidRDefault="007647C4" w:rsidP="00F7123F">
      <w:pPr>
        <w:spacing w:line="276" w:lineRule="auto"/>
        <w:ind w:right="-142"/>
        <w:rPr>
          <w:sz w:val="24"/>
        </w:rPr>
      </w:pPr>
    </w:p>
    <w:p w14:paraId="6C9CDF87" w14:textId="593837A6" w:rsidR="007647C4" w:rsidRDefault="007647C4" w:rsidP="00F7123F">
      <w:pPr>
        <w:spacing w:line="276" w:lineRule="auto"/>
        <w:ind w:right="-142"/>
        <w:rPr>
          <w:sz w:val="24"/>
        </w:rPr>
      </w:pPr>
    </w:p>
    <w:p w14:paraId="5CBBD403" w14:textId="2CC168D5" w:rsidR="007647C4" w:rsidRDefault="007647C4" w:rsidP="00F7123F">
      <w:pPr>
        <w:spacing w:line="276" w:lineRule="auto"/>
        <w:ind w:right="-142"/>
        <w:rPr>
          <w:sz w:val="24"/>
        </w:rPr>
      </w:pPr>
    </w:p>
    <w:p w14:paraId="23F551D0" w14:textId="1550563B" w:rsidR="00BA4F2D" w:rsidRDefault="00BA4F2D" w:rsidP="00F7123F">
      <w:pPr>
        <w:spacing w:line="276" w:lineRule="auto"/>
        <w:ind w:right="-142"/>
        <w:rPr>
          <w:sz w:val="24"/>
        </w:rPr>
      </w:pPr>
    </w:p>
    <w:p w14:paraId="73EDB55A" w14:textId="015344CC" w:rsidR="00BA4F2D" w:rsidRDefault="00BA4F2D" w:rsidP="00F7123F">
      <w:pPr>
        <w:spacing w:line="276" w:lineRule="auto"/>
        <w:ind w:right="-142"/>
        <w:rPr>
          <w:sz w:val="24"/>
        </w:rPr>
      </w:pPr>
    </w:p>
    <w:p w14:paraId="7282E667" w14:textId="22CDE246" w:rsidR="00BA4F2D" w:rsidRDefault="00BA4F2D" w:rsidP="00F7123F">
      <w:pPr>
        <w:spacing w:line="276" w:lineRule="auto"/>
        <w:ind w:right="-142"/>
        <w:rPr>
          <w:sz w:val="24"/>
        </w:rPr>
      </w:pPr>
    </w:p>
    <w:p w14:paraId="4F6E692D" w14:textId="76A13CF8" w:rsidR="00BA4F2D" w:rsidRPr="00EC3A60" w:rsidRDefault="00BA4F2D" w:rsidP="00CF7B09">
      <w:pPr>
        <w:rPr>
          <w:rStyle w:val="Hyperlink"/>
          <w:sz w:val="22"/>
          <w:szCs w:val="22"/>
          <w:lang w:val="en-US"/>
        </w:rPr>
      </w:pPr>
      <w:r w:rsidRPr="00CF7B09">
        <w:rPr>
          <w:sz w:val="22"/>
          <w:szCs w:val="22"/>
        </w:rPr>
        <w:t xml:space="preserve">Mindaugas Rukštelė, tel. +370 5 236 2436, el. </w:t>
      </w:r>
      <w:hyperlink r:id="rId11" w:history="1">
        <w:r w:rsidRPr="00CF7B09">
          <w:rPr>
            <w:rStyle w:val="Hyperlink"/>
            <w:sz w:val="22"/>
            <w:szCs w:val="22"/>
          </w:rPr>
          <w:t>p.mindaugas.rukstele@urm.lt</w:t>
        </w:r>
      </w:hyperlink>
    </w:p>
    <w:sectPr w:rsidR="00BA4F2D" w:rsidRPr="00EC3A60" w:rsidSect="00525DF9">
      <w:footerReference w:type="default" r:id="rId12"/>
      <w:type w:val="continuous"/>
      <w:pgSz w:w="11907" w:h="16840" w:code="9"/>
      <w:pgMar w:top="851" w:right="851" w:bottom="568" w:left="1701" w:header="913" w:footer="0"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64549" w14:textId="77777777" w:rsidR="006C3BF8" w:rsidRDefault="006C3BF8">
      <w:r>
        <w:separator/>
      </w:r>
    </w:p>
  </w:endnote>
  <w:endnote w:type="continuationSeparator" w:id="0">
    <w:p w14:paraId="3CADD508" w14:textId="77777777" w:rsidR="006C3BF8" w:rsidRDefault="006C3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F96A73" w14:paraId="6A890358" w14:textId="77777777">
      <w:trPr>
        <w:trHeight w:hRule="exact" w:val="794"/>
      </w:trPr>
      <w:tc>
        <w:tcPr>
          <w:tcW w:w="5184" w:type="dxa"/>
        </w:tcPr>
        <w:p w14:paraId="126C2597" w14:textId="77777777" w:rsidR="00F96A73" w:rsidRDefault="00F96A73">
          <w:pPr>
            <w:pStyle w:val="Footer"/>
          </w:pPr>
        </w:p>
      </w:tc>
      <w:tc>
        <w:tcPr>
          <w:tcW w:w="2592" w:type="dxa"/>
        </w:tcPr>
        <w:p w14:paraId="59EADF8E" w14:textId="77777777" w:rsidR="00F96A73" w:rsidRDefault="00F96A73">
          <w:pPr>
            <w:pStyle w:val="Footer"/>
          </w:pPr>
        </w:p>
      </w:tc>
      <w:tc>
        <w:tcPr>
          <w:tcW w:w="2592" w:type="dxa"/>
        </w:tcPr>
        <w:p w14:paraId="228F324A" w14:textId="77777777" w:rsidR="00F96A73" w:rsidRDefault="00F96A73">
          <w:pPr>
            <w:pStyle w:val="Footer"/>
            <w:tabs>
              <w:tab w:val="left" w:pos="304"/>
              <w:tab w:val="left" w:pos="2005"/>
            </w:tabs>
            <w:jc w:val="center"/>
          </w:pPr>
        </w:p>
      </w:tc>
    </w:tr>
  </w:tbl>
  <w:p w14:paraId="2552253B" w14:textId="77777777" w:rsidR="00F96A73" w:rsidRDefault="00F96A73">
    <w:pPr>
      <w:pStyle w:val="Foote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9A770" w14:textId="77777777" w:rsidR="006C3BF8" w:rsidRDefault="006C3BF8">
      <w:r>
        <w:separator/>
      </w:r>
    </w:p>
  </w:footnote>
  <w:footnote w:type="continuationSeparator" w:id="0">
    <w:p w14:paraId="202626E2" w14:textId="77777777" w:rsidR="006C3BF8" w:rsidRDefault="006C3B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92F5E"/>
    <w:multiLevelType w:val="hybridMultilevel"/>
    <w:tmpl w:val="C338E5D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92875C6"/>
    <w:multiLevelType w:val="hybridMultilevel"/>
    <w:tmpl w:val="8DA0CA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7F15923"/>
    <w:multiLevelType w:val="hybridMultilevel"/>
    <w:tmpl w:val="3DE270A2"/>
    <w:lvl w:ilvl="0" w:tplc="BA20F8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AEB16C6"/>
    <w:multiLevelType w:val="hybridMultilevel"/>
    <w:tmpl w:val="4F062EE2"/>
    <w:lvl w:ilvl="0" w:tplc="EF16B2F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DA4"/>
    <w:rsid w:val="000057F1"/>
    <w:rsid w:val="00007F5D"/>
    <w:rsid w:val="000173B1"/>
    <w:rsid w:val="000251B2"/>
    <w:rsid w:val="0003043F"/>
    <w:rsid w:val="00034420"/>
    <w:rsid w:val="00040419"/>
    <w:rsid w:val="00043805"/>
    <w:rsid w:val="00061264"/>
    <w:rsid w:val="0006288A"/>
    <w:rsid w:val="0006319B"/>
    <w:rsid w:val="00065260"/>
    <w:rsid w:val="000673B0"/>
    <w:rsid w:val="0007114E"/>
    <w:rsid w:val="0007446C"/>
    <w:rsid w:val="00083E2A"/>
    <w:rsid w:val="00092EE2"/>
    <w:rsid w:val="00093DDF"/>
    <w:rsid w:val="00095C69"/>
    <w:rsid w:val="000A3CC2"/>
    <w:rsid w:val="000B3D0D"/>
    <w:rsid w:val="000C7B35"/>
    <w:rsid w:val="000D2D80"/>
    <w:rsid w:val="000E1878"/>
    <w:rsid w:val="000E4ACA"/>
    <w:rsid w:val="000E6321"/>
    <w:rsid w:val="000F399E"/>
    <w:rsid w:val="000F76A2"/>
    <w:rsid w:val="00101456"/>
    <w:rsid w:val="001025F7"/>
    <w:rsid w:val="001044E5"/>
    <w:rsid w:val="00104811"/>
    <w:rsid w:val="00105914"/>
    <w:rsid w:val="001066A2"/>
    <w:rsid w:val="00112DED"/>
    <w:rsid w:val="001145FE"/>
    <w:rsid w:val="00122982"/>
    <w:rsid w:val="00125BB6"/>
    <w:rsid w:val="001262BF"/>
    <w:rsid w:val="00134CB4"/>
    <w:rsid w:val="00134EB3"/>
    <w:rsid w:val="00135514"/>
    <w:rsid w:val="001365B3"/>
    <w:rsid w:val="00146019"/>
    <w:rsid w:val="00146BFF"/>
    <w:rsid w:val="0015378A"/>
    <w:rsid w:val="0015587D"/>
    <w:rsid w:val="00157119"/>
    <w:rsid w:val="00157DBF"/>
    <w:rsid w:val="00162CD9"/>
    <w:rsid w:val="001630E3"/>
    <w:rsid w:val="00181AB6"/>
    <w:rsid w:val="0018203E"/>
    <w:rsid w:val="00191A5D"/>
    <w:rsid w:val="00196470"/>
    <w:rsid w:val="001A17B8"/>
    <w:rsid w:val="001A4FE5"/>
    <w:rsid w:val="001B125A"/>
    <w:rsid w:val="001B2CAE"/>
    <w:rsid w:val="001C1DB9"/>
    <w:rsid w:val="001C25D5"/>
    <w:rsid w:val="001C2DA7"/>
    <w:rsid w:val="001C322B"/>
    <w:rsid w:val="001D0FC9"/>
    <w:rsid w:val="001D4899"/>
    <w:rsid w:val="001E46C9"/>
    <w:rsid w:val="001E591F"/>
    <w:rsid w:val="001F18B8"/>
    <w:rsid w:val="001F454E"/>
    <w:rsid w:val="001F687C"/>
    <w:rsid w:val="002135AD"/>
    <w:rsid w:val="002238DD"/>
    <w:rsid w:val="00232EF1"/>
    <w:rsid w:val="00246DEF"/>
    <w:rsid w:val="00250C1B"/>
    <w:rsid w:val="00260568"/>
    <w:rsid w:val="0026549D"/>
    <w:rsid w:val="00273234"/>
    <w:rsid w:val="00273F1E"/>
    <w:rsid w:val="00274AEF"/>
    <w:rsid w:val="00280F7F"/>
    <w:rsid w:val="00285539"/>
    <w:rsid w:val="00286433"/>
    <w:rsid w:val="002948EA"/>
    <w:rsid w:val="002A1723"/>
    <w:rsid w:val="002A50DA"/>
    <w:rsid w:val="002A598A"/>
    <w:rsid w:val="002A5BD6"/>
    <w:rsid w:val="002A63E1"/>
    <w:rsid w:val="002B2D71"/>
    <w:rsid w:val="002C4F26"/>
    <w:rsid w:val="002E07E7"/>
    <w:rsid w:val="002F1022"/>
    <w:rsid w:val="002F542F"/>
    <w:rsid w:val="00304415"/>
    <w:rsid w:val="003140A1"/>
    <w:rsid w:val="00320D87"/>
    <w:rsid w:val="003218DB"/>
    <w:rsid w:val="00323CBD"/>
    <w:rsid w:val="00326123"/>
    <w:rsid w:val="00330BCB"/>
    <w:rsid w:val="0034007F"/>
    <w:rsid w:val="00342E42"/>
    <w:rsid w:val="0034438C"/>
    <w:rsid w:val="00355F35"/>
    <w:rsid w:val="00363BC9"/>
    <w:rsid w:val="00363D24"/>
    <w:rsid w:val="00365757"/>
    <w:rsid w:val="00367AC4"/>
    <w:rsid w:val="0037651B"/>
    <w:rsid w:val="003808D4"/>
    <w:rsid w:val="00381E8A"/>
    <w:rsid w:val="00383361"/>
    <w:rsid w:val="00390141"/>
    <w:rsid w:val="003905C5"/>
    <w:rsid w:val="00391680"/>
    <w:rsid w:val="003B4842"/>
    <w:rsid w:val="003C426A"/>
    <w:rsid w:val="003C695D"/>
    <w:rsid w:val="003C7128"/>
    <w:rsid w:val="003D1CD4"/>
    <w:rsid w:val="003D55DD"/>
    <w:rsid w:val="003D6EB1"/>
    <w:rsid w:val="003E2808"/>
    <w:rsid w:val="003E4D3A"/>
    <w:rsid w:val="003E521D"/>
    <w:rsid w:val="003E528D"/>
    <w:rsid w:val="003E7C3C"/>
    <w:rsid w:val="003F257A"/>
    <w:rsid w:val="003F6DBF"/>
    <w:rsid w:val="00400E3E"/>
    <w:rsid w:val="004040FC"/>
    <w:rsid w:val="0040764B"/>
    <w:rsid w:val="00413B5D"/>
    <w:rsid w:val="00416446"/>
    <w:rsid w:val="00427679"/>
    <w:rsid w:val="0043048A"/>
    <w:rsid w:val="00436A29"/>
    <w:rsid w:val="00441D96"/>
    <w:rsid w:val="0044236E"/>
    <w:rsid w:val="0045131D"/>
    <w:rsid w:val="00451CDF"/>
    <w:rsid w:val="00456B4A"/>
    <w:rsid w:val="00456F3D"/>
    <w:rsid w:val="00464B11"/>
    <w:rsid w:val="00466194"/>
    <w:rsid w:val="004665D1"/>
    <w:rsid w:val="00477A0D"/>
    <w:rsid w:val="004808E1"/>
    <w:rsid w:val="00481F46"/>
    <w:rsid w:val="004932E3"/>
    <w:rsid w:val="004A1120"/>
    <w:rsid w:val="004B0842"/>
    <w:rsid w:val="004B1DD5"/>
    <w:rsid w:val="004B35DF"/>
    <w:rsid w:val="004B3A76"/>
    <w:rsid w:val="004B4225"/>
    <w:rsid w:val="004C4579"/>
    <w:rsid w:val="004C59C4"/>
    <w:rsid w:val="004C5ABD"/>
    <w:rsid w:val="004D275A"/>
    <w:rsid w:val="004D3FE2"/>
    <w:rsid w:val="004D4068"/>
    <w:rsid w:val="004D663C"/>
    <w:rsid w:val="004E57EF"/>
    <w:rsid w:val="004F3663"/>
    <w:rsid w:val="004F7AA3"/>
    <w:rsid w:val="005234F9"/>
    <w:rsid w:val="00525DF9"/>
    <w:rsid w:val="00531C5E"/>
    <w:rsid w:val="005342BC"/>
    <w:rsid w:val="0053653C"/>
    <w:rsid w:val="005370F3"/>
    <w:rsid w:val="00541506"/>
    <w:rsid w:val="00550588"/>
    <w:rsid w:val="00552021"/>
    <w:rsid w:val="00553C99"/>
    <w:rsid w:val="005602F5"/>
    <w:rsid w:val="005669DB"/>
    <w:rsid w:val="00572F00"/>
    <w:rsid w:val="005A1C04"/>
    <w:rsid w:val="005B7442"/>
    <w:rsid w:val="005C6681"/>
    <w:rsid w:val="005F6600"/>
    <w:rsid w:val="00612A27"/>
    <w:rsid w:val="00625EFF"/>
    <w:rsid w:val="00645D63"/>
    <w:rsid w:val="006525DF"/>
    <w:rsid w:val="00656548"/>
    <w:rsid w:val="0066046C"/>
    <w:rsid w:val="006615E3"/>
    <w:rsid w:val="00666038"/>
    <w:rsid w:val="00666F61"/>
    <w:rsid w:val="00672B1A"/>
    <w:rsid w:val="006737E7"/>
    <w:rsid w:val="00681171"/>
    <w:rsid w:val="006853BD"/>
    <w:rsid w:val="006859CA"/>
    <w:rsid w:val="00687B81"/>
    <w:rsid w:val="006936A8"/>
    <w:rsid w:val="006942FC"/>
    <w:rsid w:val="00694982"/>
    <w:rsid w:val="006958A5"/>
    <w:rsid w:val="006A4E7B"/>
    <w:rsid w:val="006B08D5"/>
    <w:rsid w:val="006B11A5"/>
    <w:rsid w:val="006B7DB8"/>
    <w:rsid w:val="006C3BF8"/>
    <w:rsid w:val="006D0DF4"/>
    <w:rsid w:val="006D0E37"/>
    <w:rsid w:val="006D1D22"/>
    <w:rsid w:val="006D7817"/>
    <w:rsid w:val="006E0175"/>
    <w:rsid w:val="00702772"/>
    <w:rsid w:val="007102F1"/>
    <w:rsid w:val="007253FB"/>
    <w:rsid w:val="007304CD"/>
    <w:rsid w:val="00734B40"/>
    <w:rsid w:val="00740748"/>
    <w:rsid w:val="00744752"/>
    <w:rsid w:val="007647C4"/>
    <w:rsid w:val="00770754"/>
    <w:rsid w:val="007744D5"/>
    <w:rsid w:val="0077576F"/>
    <w:rsid w:val="00781D99"/>
    <w:rsid w:val="00782A59"/>
    <w:rsid w:val="007954B5"/>
    <w:rsid w:val="00796D5D"/>
    <w:rsid w:val="007A5D7A"/>
    <w:rsid w:val="007C322C"/>
    <w:rsid w:val="007C4604"/>
    <w:rsid w:val="007C4944"/>
    <w:rsid w:val="007C4A61"/>
    <w:rsid w:val="007D3E98"/>
    <w:rsid w:val="007D6DD7"/>
    <w:rsid w:val="007D7672"/>
    <w:rsid w:val="007D7C3D"/>
    <w:rsid w:val="0080319A"/>
    <w:rsid w:val="00810680"/>
    <w:rsid w:val="00814F1A"/>
    <w:rsid w:val="00825F6B"/>
    <w:rsid w:val="008269AA"/>
    <w:rsid w:val="00826B1A"/>
    <w:rsid w:val="00832920"/>
    <w:rsid w:val="0083635C"/>
    <w:rsid w:val="00840530"/>
    <w:rsid w:val="00850AD6"/>
    <w:rsid w:val="0087191C"/>
    <w:rsid w:val="00875228"/>
    <w:rsid w:val="00877523"/>
    <w:rsid w:val="008845AF"/>
    <w:rsid w:val="00884694"/>
    <w:rsid w:val="00891DA1"/>
    <w:rsid w:val="00893DE1"/>
    <w:rsid w:val="00897B51"/>
    <w:rsid w:val="008C36E4"/>
    <w:rsid w:val="008C67EC"/>
    <w:rsid w:val="008E4A0E"/>
    <w:rsid w:val="008F0936"/>
    <w:rsid w:val="008F1558"/>
    <w:rsid w:val="008F65B6"/>
    <w:rsid w:val="0090324A"/>
    <w:rsid w:val="00905590"/>
    <w:rsid w:val="009143C6"/>
    <w:rsid w:val="00914B35"/>
    <w:rsid w:val="00917C97"/>
    <w:rsid w:val="00920316"/>
    <w:rsid w:val="009267B4"/>
    <w:rsid w:val="009351AD"/>
    <w:rsid w:val="00941896"/>
    <w:rsid w:val="0095238D"/>
    <w:rsid w:val="00952C37"/>
    <w:rsid w:val="00955ED2"/>
    <w:rsid w:val="009565C4"/>
    <w:rsid w:val="00956F38"/>
    <w:rsid w:val="00971906"/>
    <w:rsid w:val="00971AA9"/>
    <w:rsid w:val="0097356A"/>
    <w:rsid w:val="00977A66"/>
    <w:rsid w:val="0099062C"/>
    <w:rsid w:val="009943CF"/>
    <w:rsid w:val="009A359F"/>
    <w:rsid w:val="009A5248"/>
    <w:rsid w:val="009A7ABF"/>
    <w:rsid w:val="009B420A"/>
    <w:rsid w:val="009B57DC"/>
    <w:rsid w:val="009C27B3"/>
    <w:rsid w:val="009E2EC6"/>
    <w:rsid w:val="009E4518"/>
    <w:rsid w:val="009E49CD"/>
    <w:rsid w:val="009F3058"/>
    <w:rsid w:val="009F4908"/>
    <w:rsid w:val="009F55F2"/>
    <w:rsid w:val="009F5A28"/>
    <w:rsid w:val="00A00817"/>
    <w:rsid w:val="00A03CB7"/>
    <w:rsid w:val="00A04214"/>
    <w:rsid w:val="00A0469C"/>
    <w:rsid w:val="00A06278"/>
    <w:rsid w:val="00A21F36"/>
    <w:rsid w:val="00A25CDD"/>
    <w:rsid w:val="00A37A22"/>
    <w:rsid w:val="00A435DC"/>
    <w:rsid w:val="00A43C84"/>
    <w:rsid w:val="00A45277"/>
    <w:rsid w:val="00A6200A"/>
    <w:rsid w:val="00A75518"/>
    <w:rsid w:val="00A8135C"/>
    <w:rsid w:val="00A842BE"/>
    <w:rsid w:val="00A874EE"/>
    <w:rsid w:val="00A96050"/>
    <w:rsid w:val="00AA7B8C"/>
    <w:rsid w:val="00AB16BD"/>
    <w:rsid w:val="00AB20E8"/>
    <w:rsid w:val="00AB33A0"/>
    <w:rsid w:val="00AB3BA9"/>
    <w:rsid w:val="00AC5A43"/>
    <w:rsid w:val="00AD3D26"/>
    <w:rsid w:val="00AE032F"/>
    <w:rsid w:val="00AE7FAE"/>
    <w:rsid w:val="00AF074B"/>
    <w:rsid w:val="00AF307B"/>
    <w:rsid w:val="00B103F9"/>
    <w:rsid w:val="00B11CD6"/>
    <w:rsid w:val="00B16BE5"/>
    <w:rsid w:val="00B22DB0"/>
    <w:rsid w:val="00B252C3"/>
    <w:rsid w:val="00B43B67"/>
    <w:rsid w:val="00B45578"/>
    <w:rsid w:val="00B567D5"/>
    <w:rsid w:val="00B63A0D"/>
    <w:rsid w:val="00B74241"/>
    <w:rsid w:val="00B931D3"/>
    <w:rsid w:val="00B96986"/>
    <w:rsid w:val="00B977E4"/>
    <w:rsid w:val="00BA1708"/>
    <w:rsid w:val="00BA4F2D"/>
    <w:rsid w:val="00BB1129"/>
    <w:rsid w:val="00BB4F8C"/>
    <w:rsid w:val="00BC78CB"/>
    <w:rsid w:val="00BD1315"/>
    <w:rsid w:val="00BD3B55"/>
    <w:rsid w:val="00BD5375"/>
    <w:rsid w:val="00BE5330"/>
    <w:rsid w:val="00BF2B95"/>
    <w:rsid w:val="00BF482B"/>
    <w:rsid w:val="00BF4F4C"/>
    <w:rsid w:val="00BF7414"/>
    <w:rsid w:val="00C038E0"/>
    <w:rsid w:val="00C136D6"/>
    <w:rsid w:val="00C17409"/>
    <w:rsid w:val="00C32408"/>
    <w:rsid w:val="00C343CE"/>
    <w:rsid w:val="00C356C8"/>
    <w:rsid w:val="00C42697"/>
    <w:rsid w:val="00C42DA4"/>
    <w:rsid w:val="00C43B25"/>
    <w:rsid w:val="00C46355"/>
    <w:rsid w:val="00C4747A"/>
    <w:rsid w:val="00C51560"/>
    <w:rsid w:val="00C549FC"/>
    <w:rsid w:val="00C57E74"/>
    <w:rsid w:val="00C614D9"/>
    <w:rsid w:val="00C624CF"/>
    <w:rsid w:val="00C62605"/>
    <w:rsid w:val="00C6501D"/>
    <w:rsid w:val="00C71498"/>
    <w:rsid w:val="00C738ED"/>
    <w:rsid w:val="00C9372C"/>
    <w:rsid w:val="00CA2F07"/>
    <w:rsid w:val="00CA4970"/>
    <w:rsid w:val="00CA5603"/>
    <w:rsid w:val="00CA611C"/>
    <w:rsid w:val="00CB3CE6"/>
    <w:rsid w:val="00CB6D27"/>
    <w:rsid w:val="00CC0E22"/>
    <w:rsid w:val="00CC493F"/>
    <w:rsid w:val="00CD0C78"/>
    <w:rsid w:val="00CD397F"/>
    <w:rsid w:val="00CD785C"/>
    <w:rsid w:val="00CE168E"/>
    <w:rsid w:val="00CE267D"/>
    <w:rsid w:val="00CF0D84"/>
    <w:rsid w:val="00CF23CB"/>
    <w:rsid w:val="00CF7B09"/>
    <w:rsid w:val="00D01DFF"/>
    <w:rsid w:val="00D0698A"/>
    <w:rsid w:val="00D11B62"/>
    <w:rsid w:val="00D13C95"/>
    <w:rsid w:val="00D25AB5"/>
    <w:rsid w:val="00D25F1C"/>
    <w:rsid w:val="00D4163B"/>
    <w:rsid w:val="00D635EE"/>
    <w:rsid w:val="00D81C82"/>
    <w:rsid w:val="00D84CD0"/>
    <w:rsid w:val="00D92A10"/>
    <w:rsid w:val="00DB1E8B"/>
    <w:rsid w:val="00DB35BE"/>
    <w:rsid w:val="00DD23F9"/>
    <w:rsid w:val="00DD3BB0"/>
    <w:rsid w:val="00DD6795"/>
    <w:rsid w:val="00DE5087"/>
    <w:rsid w:val="00DF3BA7"/>
    <w:rsid w:val="00E04301"/>
    <w:rsid w:val="00E0437D"/>
    <w:rsid w:val="00E2354F"/>
    <w:rsid w:val="00E23E52"/>
    <w:rsid w:val="00E41806"/>
    <w:rsid w:val="00E6585C"/>
    <w:rsid w:val="00E71892"/>
    <w:rsid w:val="00E719BF"/>
    <w:rsid w:val="00E77041"/>
    <w:rsid w:val="00E82313"/>
    <w:rsid w:val="00E83CE7"/>
    <w:rsid w:val="00E9192A"/>
    <w:rsid w:val="00EA48DA"/>
    <w:rsid w:val="00EA5B86"/>
    <w:rsid w:val="00EB0289"/>
    <w:rsid w:val="00EB2549"/>
    <w:rsid w:val="00EB2A81"/>
    <w:rsid w:val="00EB43E0"/>
    <w:rsid w:val="00EB4D45"/>
    <w:rsid w:val="00EB7E5C"/>
    <w:rsid w:val="00EC2325"/>
    <w:rsid w:val="00EC261E"/>
    <w:rsid w:val="00EC3A60"/>
    <w:rsid w:val="00EC5420"/>
    <w:rsid w:val="00ED278C"/>
    <w:rsid w:val="00EE778C"/>
    <w:rsid w:val="00F137E2"/>
    <w:rsid w:val="00F13CC5"/>
    <w:rsid w:val="00F24285"/>
    <w:rsid w:val="00F44382"/>
    <w:rsid w:val="00F57769"/>
    <w:rsid w:val="00F61ABB"/>
    <w:rsid w:val="00F62421"/>
    <w:rsid w:val="00F633CF"/>
    <w:rsid w:val="00F65082"/>
    <w:rsid w:val="00F70AEA"/>
    <w:rsid w:val="00F7123F"/>
    <w:rsid w:val="00F82849"/>
    <w:rsid w:val="00F8383A"/>
    <w:rsid w:val="00F90B4C"/>
    <w:rsid w:val="00F94A4A"/>
    <w:rsid w:val="00F96A73"/>
    <w:rsid w:val="00F96CDE"/>
    <w:rsid w:val="00FA17C6"/>
    <w:rsid w:val="00FA75C1"/>
    <w:rsid w:val="00FB09DE"/>
    <w:rsid w:val="00FB75DD"/>
    <w:rsid w:val="00FC53C0"/>
    <w:rsid w:val="00FD68EE"/>
    <w:rsid w:val="00FE105D"/>
    <w:rsid w:val="00FE5CDB"/>
    <w:rsid w:val="00FE7706"/>
    <w:rsid w:val="00FF4F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060378"/>
  <w15:docId w15:val="{3565D331-2B69-4AA4-A557-21DC5487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30"/>
    </w:rPr>
  </w:style>
  <w:style w:type="paragraph" w:styleId="Heading2">
    <w:name w:val="heading 2"/>
    <w:basedOn w:val="Normal"/>
    <w:next w:val="Normal"/>
    <w:qFormat/>
    <w:pPr>
      <w:keepNext/>
      <w:jc w:val="center"/>
      <w:outlineLvl w:val="1"/>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sz w:val="24"/>
    </w:rPr>
  </w:style>
  <w:style w:type="paragraph" w:styleId="Footer">
    <w:name w:val="footer"/>
    <w:basedOn w:val="Normal"/>
    <w:link w:val="FooterChar"/>
    <w:uiPriority w:val="99"/>
    <w:pPr>
      <w:tabs>
        <w:tab w:val="center" w:pos="4153"/>
        <w:tab w:val="right" w:pos="8306"/>
      </w:tabs>
    </w:pPr>
    <w:rPr>
      <w:sz w:val="24"/>
    </w:rPr>
  </w:style>
  <w:style w:type="character" w:styleId="PageNumber">
    <w:name w:val="page number"/>
    <w:basedOn w:val="DefaultParagraphFont"/>
  </w:style>
  <w:style w:type="paragraph" w:styleId="BodyText">
    <w:name w:val="Body Text"/>
    <w:basedOn w:val="Normal"/>
    <w:pPr>
      <w:spacing w:line="360" w:lineRule="auto"/>
      <w:ind w:firstLine="1298"/>
    </w:pPr>
    <w:rPr>
      <w:sz w:val="24"/>
    </w:rPr>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rsid w:val="00061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81171"/>
    <w:rPr>
      <w:rFonts w:ascii="Tahoma" w:hAnsi="Tahoma" w:cs="Tahoma"/>
      <w:sz w:val="16"/>
      <w:szCs w:val="16"/>
    </w:rPr>
  </w:style>
  <w:style w:type="character" w:customStyle="1" w:styleId="HeaderChar">
    <w:name w:val="Header Char"/>
    <w:basedOn w:val="DefaultParagraphFont"/>
    <w:link w:val="Header"/>
    <w:rsid w:val="006615E3"/>
    <w:rPr>
      <w:sz w:val="24"/>
      <w:lang w:eastAsia="en-US"/>
    </w:rPr>
  </w:style>
  <w:style w:type="paragraph" w:styleId="ListParagraph">
    <w:name w:val="List Paragraph"/>
    <w:basedOn w:val="Normal"/>
    <w:uiPriority w:val="34"/>
    <w:qFormat/>
    <w:rsid w:val="00B103F9"/>
    <w:pPr>
      <w:ind w:left="720"/>
      <w:contextualSpacing/>
    </w:pPr>
  </w:style>
  <w:style w:type="character" w:customStyle="1" w:styleId="FooterChar">
    <w:name w:val="Footer Char"/>
    <w:basedOn w:val="DefaultParagraphFont"/>
    <w:link w:val="Footer"/>
    <w:uiPriority w:val="99"/>
    <w:rsid w:val="000E6321"/>
    <w:rPr>
      <w:sz w:val="24"/>
      <w:lang w:eastAsia="en-US"/>
    </w:rPr>
  </w:style>
  <w:style w:type="character" w:customStyle="1" w:styleId="acopre">
    <w:name w:val="acopre"/>
    <w:basedOn w:val="DefaultParagraphFont"/>
    <w:rsid w:val="00C614D9"/>
  </w:style>
  <w:style w:type="character" w:styleId="Emphasis">
    <w:name w:val="Emphasis"/>
    <w:basedOn w:val="DefaultParagraphFont"/>
    <w:uiPriority w:val="20"/>
    <w:qFormat/>
    <w:rsid w:val="00C614D9"/>
    <w:rPr>
      <w:i/>
      <w:iCs/>
    </w:rPr>
  </w:style>
  <w:style w:type="character" w:styleId="CommentReference">
    <w:name w:val="annotation reference"/>
    <w:basedOn w:val="DefaultParagraphFont"/>
    <w:semiHidden/>
    <w:unhideWhenUsed/>
    <w:rsid w:val="006A4E7B"/>
    <w:rPr>
      <w:sz w:val="16"/>
      <w:szCs w:val="16"/>
    </w:rPr>
  </w:style>
  <w:style w:type="paragraph" w:styleId="CommentText">
    <w:name w:val="annotation text"/>
    <w:basedOn w:val="Normal"/>
    <w:link w:val="CommentTextChar"/>
    <w:semiHidden/>
    <w:unhideWhenUsed/>
    <w:rsid w:val="006A4E7B"/>
  </w:style>
  <w:style w:type="character" w:customStyle="1" w:styleId="CommentTextChar">
    <w:name w:val="Comment Text Char"/>
    <w:basedOn w:val="DefaultParagraphFont"/>
    <w:link w:val="CommentText"/>
    <w:semiHidden/>
    <w:rsid w:val="006A4E7B"/>
    <w:rPr>
      <w:lang w:eastAsia="en-US"/>
    </w:rPr>
  </w:style>
  <w:style w:type="paragraph" w:styleId="CommentSubject">
    <w:name w:val="annotation subject"/>
    <w:basedOn w:val="CommentText"/>
    <w:next w:val="CommentText"/>
    <w:link w:val="CommentSubjectChar"/>
    <w:semiHidden/>
    <w:unhideWhenUsed/>
    <w:rsid w:val="006A4E7B"/>
    <w:rPr>
      <w:b/>
      <w:bCs/>
    </w:rPr>
  </w:style>
  <w:style w:type="character" w:customStyle="1" w:styleId="CommentSubjectChar">
    <w:name w:val="Comment Subject Char"/>
    <w:basedOn w:val="CommentTextChar"/>
    <w:link w:val="CommentSubject"/>
    <w:semiHidden/>
    <w:rsid w:val="006A4E7B"/>
    <w:rPr>
      <w:b/>
      <w:bCs/>
      <w:lang w:eastAsia="en-US"/>
    </w:rPr>
  </w:style>
  <w:style w:type="paragraph" w:styleId="NormalWeb">
    <w:name w:val="Normal (Web)"/>
    <w:basedOn w:val="Normal"/>
    <w:uiPriority w:val="99"/>
    <w:semiHidden/>
    <w:unhideWhenUsed/>
    <w:rsid w:val="002A63E1"/>
    <w:rPr>
      <w:rFonts w:eastAsiaTheme="minorHAnsi"/>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51882">
      <w:bodyDiv w:val="1"/>
      <w:marLeft w:val="0"/>
      <w:marRight w:val="0"/>
      <w:marTop w:val="0"/>
      <w:marBottom w:val="0"/>
      <w:divBdr>
        <w:top w:val="none" w:sz="0" w:space="0" w:color="auto"/>
        <w:left w:val="none" w:sz="0" w:space="0" w:color="auto"/>
        <w:bottom w:val="none" w:sz="0" w:space="0" w:color="auto"/>
        <w:right w:val="none" w:sz="0" w:space="0" w:color="auto"/>
      </w:divBdr>
    </w:div>
    <w:div w:id="403986893">
      <w:bodyDiv w:val="1"/>
      <w:marLeft w:val="0"/>
      <w:marRight w:val="0"/>
      <w:marTop w:val="0"/>
      <w:marBottom w:val="0"/>
      <w:divBdr>
        <w:top w:val="none" w:sz="0" w:space="0" w:color="auto"/>
        <w:left w:val="none" w:sz="0" w:space="0" w:color="auto"/>
        <w:bottom w:val="none" w:sz="0" w:space="0" w:color="auto"/>
        <w:right w:val="none" w:sz="0" w:space="0" w:color="auto"/>
      </w:divBdr>
    </w:div>
    <w:div w:id="428159175">
      <w:bodyDiv w:val="1"/>
      <w:marLeft w:val="0"/>
      <w:marRight w:val="0"/>
      <w:marTop w:val="0"/>
      <w:marBottom w:val="0"/>
      <w:divBdr>
        <w:top w:val="none" w:sz="0" w:space="0" w:color="auto"/>
        <w:left w:val="none" w:sz="0" w:space="0" w:color="auto"/>
        <w:bottom w:val="none" w:sz="0" w:space="0" w:color="auto"/>
        <w:right w:val="none" w:sz="0" w:space="0" w:color="auto"/>
      </w:divBdr>
    </w:div>
    <w:div w:id="633482813">
      <w:bodyDiv w:val="1"/>
      <w:marLeft w:val="0"/>
      <w:marRight w:val="0"/>
      <w:marTop w:val="0"/>
      <w:marBottom w:val="0"/>
      <w:divBdr>
        <w:top w:val="none" w:sz="0" w:space="0" w:color="auto"/>
        <w:left w:val="none" w:sz="0" w:space="0" w:color="auto"/>
        <w:bottom w:val="none" w:sz="0" w:space="0" w:color="auto"/>
        <w:right w:val="none" w:sz="0" w:space="0" w:color="auto"/>
      </w:divBdr>
    </w:div>
    <w:div w:id="756024492">
      <w:bodyDiv w:val="1"/>
      <w:marLeft w:val="0"/>
      <w:marRight w:val="0"/>
      <w:marTop w:val="0"/>
      <w:marBottom w:val="0"/>
      <w:divBdr>
        <w:top w:val="none" w:sz="0" w:space="0" w:color="auto"/>
        <w:left w:val="none" w:sz="0" w:space="0" w:color="auto"/>
        <w:bottom w:val="none" w:sz="0" w:space="0" w:color="auto"/>
        <w:right w:val="none" w:sz="0" w:space="0" w:color="auto"/>
      </w:divBdr>
      <w:divsChild>
        <w:div w:id="1656102926">
          <w:marLeft w:val="0"/>
          <w:marRight w:val="0"/>
          <w:marTop w:val="0"/>
          <w:marBottom w:val="0"/>
          <w:divBdr>
            <w:top w:val="none" w:sz="0" w:space="0" w:color="auto"/>
            <w:left w:val="none" w:sz="0" w:space="0" w:color="auto"/>
            <w:bottom w:val="none" w:sz="0" w:space="0" w:color="auto"/>
            <w:right w:val="none" w:sz="0" w:space="0" w:color="auto"/>
          </w:divBdr>
          <w:divsChild>
            <w:div w:id="1133214985">
              <w:marLeft w:val="0"/>
              <w:marRight w:val="0"/>
              <w:marTop w:val="0"/>
              <w:marBottom w:val="0"/>
              <w:divBdr>
                <w:top w:val="none" w:sz="0" w:space="0" w:color="auto"/>
                <w:left w:val="none" w:sz="0" w:space="0" w:color="auto"/>
                <w:bottom w:val="none" w:sz="0" w:space="0" w:color="auto"/>
                <w:right w:val="none" w:sz="0" w:space="0" w:color="auto"/>
              </w:divBdr>
              <w:divsChild>
                <w:div w:id="58152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61773">
          <w:marLeft w:val="0"/>
          <w:marRight w:val="0"/>
          <w:marTop w:val="0"/>
          <w:marBottom w:val="0"/>
          <w:divBdr>
            <w:top w:val="none" w:sz="0" w:space="0" w:color="auto"/>
            <w:left w:val="none" w:sz="0" w:space="0" w:color="auto"/>
            <w:bottom w:val="none" w:sz="0" w:space="0" w:color="auto"/>
            <w:right w:val="none" w:sz="0" w:space="0" w:color="auto"/>
          </w:divBdr>
          <w:divsChild>
            <w:div w:id="1148011212">
              <w:marLeft w:val="0"/>
              <w:marRight w:val="0"/>
              <w:marTop w:val="0"/>
              <w:marBottom w:val="0"/>
              <w:divBdr>
                <w:top w:val="none" w:sz="0" w:space="0" w:color="auto"/>
                <w:left w:val="none" w:sz="0" w:space="0" w:color="auto"/>
                <w:bottom w:val="none" w:sz="0" w:space="0" w:color="auto"/>
                <w:right w:val="none" w:sz="0" w:space="0" w:color="auto"/>
              </w:divBdr>
              <w:divsChild>
                <w:div w:id="1543640169">
                  <w:marLeft w:val="0"/>
                  <w:marRight w:val="0"/>
                  <w:marTop w:val="0"/>
                  <w:marBottom w:val="0"/>
                  <w:divBdr>
                    <w:top w:val="none" w:sz="0" w:space="0" w:color="auto"/>
                    <w:left w:val="none" w:sz="0" w:space="0" w:color="auto"/>
                    <w:bottom w:val="none" w:sz="0" w:space="0" w:color="auto"/>
                    <w:right w:val="none" w:sz="0" w:space="0" w:color="auto"/>
                  </w:divBdr>
                </w:div>
                <w:div w:id="1019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952927">
      <w:bodyDiv w:val="1"/>
      <w:marLeft w:val="0"/>
      <w:marRight w:val="0"/>
      <w:marTop w:val="0"/>
      <w:marBottom w:val="0"/>
      <w:divBdr>
        <w:top w:val="none" w:sz="0" w:space="0" w:color="auto"/>
        <w:left w:val="none" w:sz="0" w:space="0" w:color="auto"/>
        <w:bottom w:val="none" w:sz="0" w:space="0" w:color="auto"/>
        <w:right w:val="none" w:sz="0" w:space="0" w:color="auto"/>
      </w:divBdr>
    </w:div>
    <w:div w:id="974143323">
      <w:bodyDiv w:val="1"/>
      <w:marLeft w:val="0"/>
      <w:marRight w:val="0"/>
      <w:marTop w:val="0"/>
      <w:marBottom w:val="0"/>
      <w:divBdr>
        <w:top w:val="none" w:sz="0" w:space="0" w:color="auto"/>
        <w:left w:val="none" w:sz="0" w:space="0" w:color="auto"/>
        <w:bottom w:val="none" w:sz="0" w:space="0" w:color="auto"/>
        <w:right w:val="none" w:sz="0" w:space="0" w:color="auto"/>
      </w:divBdr>
    </w:div>
    <w:div w:id="1477793574">
      <w:bodyDiv w:val="1"/>
      <w:marLeft w:val="0"/>
      <w:marRight w:val="0"/>
      <w:marTop w:val="0"/>
      <w:marBottom w:val="0"/>
      <w:divBdr>
        <w:top w:val="none" w:sz="0" w:space="0" w:color="auto"/>
        <w:left w:val="none" w:sz="0" w:space="0" w:color="auto"/>
        <w:bottom w:val="none" w:sz="0" w:space="0" w:color="auto"/>
        <w:right w:val="none" w:sz="0" w:space="0" w:color="auto"/>
      </w:divBdr>
    </w:div>
    <w:div w:id="1542009266">
      <w:bodyDiv w:val="1"/>
      <w:marLeft w:val="0"/>
      <w:marRight w:val="0"/>
      <w:marTop w:val="0"/>
      <w:marBottom w:val="0"/>
      <w:divBdr>
        <w:top w:val="none" w:sz="0" w:space="0" w:color="auto"/>
        <w:left w:val="none" w:sz="0" w:space="0" w:color="auto"/>
        <w:bottom w:val="none" w:sz="0" w:space="0" w:color="auto"/>
        <w:right w:val="none" w:sz="0" w:space="0" w:color="auto"/>
      </w:divBdr>
    </w:div>
    <w:div w:id="1916890891">
      <w:bodyDiv w:val="1"/>
      <w:marLeft w:val="0"/>
      <w:marRight w:val="0"/>
      <w:marTop w:val="0"/>
      <w:marBottom w:val="0"/>
      <w:divBdr>
        <w:top w:val="none" w:sz="0" w:space="0" w:color="auto"/>
        <w:left w:val="none" w:sz="0" w:space="0" w:color="auto"/>
        <w:bottom w:val="none" w:sz="0" w:space="0" w:color="auto"/>
        <w:right w:val="none" w:sz="0" w:space="0" w:color="auto"/>
      </w:divBdr>
    </w:div>
    <w:div w:id="1944611518">
      <w:bodyDiv w:val="1"/>
      <w:marLeft w:val="0"/>
      <w:marRight w:val="0"/>
      <w:marTop w:val="0"/>
      <w:marBottom w:val="0"/>
      <w:divBdr>
        <w:top w:val="none" w:sz="0" w:space="0" w:color="auto"/>
        <w:left w:val="none" w:sz="0" w:space="0" w:color="auto"/>
        <w:bottom w:val="none" w:sz="0" w:space="0" w:color="auto"/>
        <w:right w:val="none" w:sz="0" w:space="0" w:color="auto"/>
      </w:divBdr>
    </w:div>
    <w:div w:id="1966428743">
      <w:bodyDiv w:val="1"/>
      <w:marLeft w:val="0"/>
      <w:marRight w:val="0"/>
      <w:marTop w:val="0"/>
      <w:marBottom w:val="0"/>
      <w:divBdr>
        <w:top w:val="none" w:sz="0" w:space="0" w:color="auto"/>
        <w:left w:val="none" w:sz="0" w:space="0" w:color="auto"/>
        <w:bottom w:val="none" w:sz="0" w:space="0" w:color="auto"/>
        <w:right w:val="none" w:sz="0" w:space="0" w:color="auto"/>
      </w:divBdr>
    </w:div>
    <w:div w:id="200555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www.urm.lt" TargetMode="External"
                 Type="http://schemas.openxmlformats.org/officeDocument/2006/relationships/hyperlink"/>
   <Relationship Id="rId11" Target="mailto:p.mindaugas.rukstele@urm.lt" TargetMode="External"
                 Type="http://schemas.openxmlformats.org/officeDocument/2006/relationships/hyperlink"/>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ailto:urm@urm.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2B480-0AD2-4A4C-B1EB-1B0F33435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2457</Words>
  <Characters>1402</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Užsienio reikalų ministerija</Company>
  <LinksUpToDate>false</LinksUpToDate>
  <CharactersWithSpaces>3852</CharactersWithSpaces>
  <SharedDoc>false</SharedDoc>
  <HLinks>
    <vt:vector size="12" baseType="variant">
      <vt:variant>
        <vt:i4>7340152</vt:i4>
      </vt:variant>
      <vt:variant>
        <vt:i4>8</vt:i4>
      </vt:variant>
      <vt:variant>
        <vt:i4>0</vt:i4>
      </vt:variant>
      <vt:variant>
        <vt:i4>5</vt:i4>
      </vt:variant>
      <vt:variant>
        <vt:lpwstr>http://www.urm.lt/</vt:lpwstr>
      </vt:variant>
      <vt:variant>
        <vt:lpwstr/>
      </vt:variant>
      <vt:variant>
        <vt:i4>917540</vt:i4>
      </vt:variant>
      <vt:variant>
        <vt:i4>5</vt:i4>
      </vt:variant>
      <vt:variant>
        <vt:i4>0</vt:i4>
      </vt:variant>
      <vt:variant>
        <vt:i4>5</vt:i4>
      </vt:variant>
      <vt:variant>
        <vt:lpwstr>mailto:urm@urm.lt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2021-04-22T08:57:00Z</dcterms:created>
  <dc:creator>Ugnius LABUTIS</dc:creator>
  <cp:lastModifiedBy>Mindaugas RUKŠTELĖ</cp:lastModifiedBy>
  <cp:lastPrinted>2021-04-20T06:25:00Z</cp:lastPrinted>
  <dcterms:modified xsi:type="dcterms:W3CDTF">2021-04-22T10:17:00Z</dcterms:modified>
  <cp:revision>5</cp:revision>
</cp:coreProperties>
</file>