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809"/>
        <w:gridCol w:w="282"/>
        <w:gridCol w:w="1841"/>
        <w:gridCol w:w="565"/>
        <w:gridCol w:w="2133"/>
        <w:gridCol w:w="13"/>
      </w:tblGrid>
      <w:tr w:rsidR="00796197" w:rsidTr="006B5ECE">
        <w:trPr>
          <w:gridAfter w:val="1"/>
          <w:wAfter w:w="13" w:type="dxa"/>
        </w:trPr>
        <w:tc>
          <w:tcPr>
            <w:tcW w:w="10064" w:type="dxa"/>
            <w:gridSpan w:val="6"/>
            <w:tcBorders>
              <w:bottom w:val="single" w:sz="4" w:space="0" w:color="000000"/>
            </w:tcBorders>
          </w:tcPr>
          <w:p w:rsidR="00796197" w:rsidRDefault="0065208C" w:rsidP="002D377A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26AF1C2A" wp14:editId="26D82FAE">
                  <wp:extent cx="521970" cy="621030"/>
                  <wp:effectExtent l="0" t="0" r="0" b="762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210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iudžetinė įstaiga, A. Jakšto g. 4/9, LT-01105 Vilnius,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:rsidTr="006B5ECE">
        <w:trPr>
          <w:gridAfter w:val="1"/>
          <w:wAfter w:w="13" w:type="dxa"/>
        </w:trPr>
        <w:tc>
          <w:tcPr>
            <w:tcW w:w="1006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0202B4">
            <w:pPr>
              <w:pStyle w:val="NoSpacing"/>
            </w:pPr>
          </w:p>
        </w:tc>
      </w:tr>
      <w:tr w:rsidR="00796197" w:rsidTr="006B5ECE">
        <w:trPr>
          <w:gridAfter w:val="1"/>
          <w:wAfter w:w="13" w:type="dxa"/>
          <w:cantSplit/>
          <w:trHeight w:val="340"/>
        </w:trPr>
        <w:tc>
          <w:tcPr>
            <w:tcW w:w="524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5E437B">
            <w:pPr>
              <w:pStyle w:val="TableContents"/>
            </w:pPr>
            <w:r w:rsidRPr="008B02E4">
              <w:t>Lietuvos Respublikos finansų ministerijai</w:t>
            </w:r>
          </w:p>
          <w:p w:rsidR="00796197" w:rsidRDefault="00796197" w:rsidP="009153A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2A0D6E">
            <w:pPr>
              <w:pStyle w:val="TableContents"/>
              <w:ind w:right="67"/>
            </w:pPr>
            <w:r>
              <w:t>20</w:t>
            </w:r>
            <w:r w:rsidR="004710AA">
              <w:t>2</w:t>
            </w:r>
            <w:r w:rsidR="005E437B">
              <w:t>1</w:t>
            </w:r>
            <w:r w:rsidR="00934639">
              <w:t>-</w:t>
            </w:r>
            <w:r w:rsidR="005E437B">
              <w:t>0</w:t>
            </w:r>
            <w:r w:rsidR="008221B8">
              <w:t>7</w:t>
            </w:r>
            <w:r w:rsidR="00712B0B">
              <w:t>-</w:t>
            </w:r>
          </w:p>
          <w:p w:rsidR="002A0D6E" w:rsidRDefault="002A0D6E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>
            <w:pPr>
              <w:pStyle w:val="TableContents"/>
              <w:ind w:right="67"/>
            </w:pPr>
          </w:p>
        </w:tc>
      </w:tr>
      <w:tr w:rsidR="00796197" w:rsidTr="006B5ECE">
        <w:trPr>
          <w:gridAfter w:val="1"/>
          <w:wAfter w:w="13" w:type="dxa"/>
          <w:cantSplit/>
          <w:trHeight w:val="340"/>
        </w:trPr>
        <w:tc>
          <w:tcPr>
            <w:tcW w:w="524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5E437B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2133" w:type="dxa"/>
          </w:tcPr>
          <w:p w:rsidR="00796197" w:rsidRDefault="00796197" w:rsidP="00F9052D">
            <w:pPr>
              <w:pStyle w:val="TableContents"/>
              <w:ind w:right="67"/>
            </w:pPr>
          </w:p>
        </w:tc>
      </w:tr>
      <w:tr w:rsidR="00796197" w:rsidTr="006B5ECE">
        <w:trPr>
          <w:gridAfter w:val="1"/>
          <w:wAfter w:w="13" w:type="dxa"/>
          <w:cantSplit/>
        </w:trPr>
        <w:tc>
          <w:tcPr>
            <w:tcW w:w="524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  <w:p w:rsidR="00C551E9" w:rsidRDefault="00C551E9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Tr="006B5ECE">
        <w:trPr>
          <w:gridAfter w:val="1"/>
          <w:wAfter w:w="13" w:type="dxa"/>
          <w:trHeight w:val="340"/>
        </w:trPr>
        <w:tc>
          <w:tcPr>
            <w:tcW w:w="1006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E4398A" w:rsidRPr="00074F73" w:rsidTr="009153A7">
              <w:trPr>
                <w:trHeight w:val="340"/>
              </w:trPr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98A" w:rsidRPr="00074F73" w:rsidRDefault="00E4398A" w:rsidP="006658E2">
                  <w:pPr>
                    <w:pStyle w:val="TableContents"/>
                    <w:snapToGrid w:val="0"/>
                    <w:jc w:val="both"/>
                    <w:rPr>
                      <w:b/>
                      <w:bCs/>
                    </w:rPr>
                  </w:pPr>
                  <w:r w:rsidRPr="00074F73">
                    <w:rPr>
                      <w:b/>
                      <w:bCs/>
                    </w:rPr>
                    <w:t xml:space="preserve">DĖL </w:t>
                  </w:r>
                  <w:r w:rsidR="008221B8" w:rsidRPr="00074F73">
                    <w:rPr>
                      <w:b/>
                      <w:bCs/>
                    </w:rPr>
                    <w:t>LĖŠŲ GRĄŽINIMO</w:t>
                  </w:r>
                </w:p>
                <w:p w:rsidR="00E4398A" w:rsidRPr="00074F73" w:rsidRDefault="00E4398A" w:rsidP="006658E2">
                  <w:pPr>
                    <w:pStyle w:val="TableContents"/>
                    <w:ind w:firstLine="567"/>
                    <w:jc w:val="both"/>
                    <w:rPr>
                      <w:b/>
                      <w:bCs/>
                    </w:rPr>
                  </w:pPr>
                </w:p>
                <w:p w:rsidR="007B0746" w:rsidRPr="00074F73" w:rsidRDefault="007B0746" w:rsidP="006658E2">
                  <w:pPr>
                    <w:pStyle w:val="TableContents"/>
                    <w:ind w:firstLine="567"/>
                    <w:jc w:val="both"/>
                    <w:rPr>
                      <w:b/>
                      <w:bCs/>
                    </w:rPr>
                  </w:pPr>
                </w:p>
                <w:p w:rsidR="007B0746" w:rsidRPr="00074F73" w:rsidRDefault="007B0746" w:rsidP="006658E2">
                  <w:pPr>
                    <w:pStyle w:val="TableContents"/>
                    <w:ind w:firstLine="567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szCs w:val="20"/>
                <w:lang w:eastAsia="lt-LT" w:bidi="ar-SA"/>
              </w:rPr>
            </w:pPr>
            <w:bookmarkStart w:id="1" w:name="_Hlk10203488"/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Lietuvos Respublikos aplinkos ministerijos Aplinkos projektų valdymo agentūra (toliau – APVA) 2018 m. liepos 17 d. priėmė sprendimą </w:t>
            </w:r>
            <w:bookmarkStart w:id="2" w:name="_Hlk10202500"/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dėl pažeidimo Nr. IT01</w:t>
            </w:r>
            <w:bookmarkEnd w:id="2"/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,</w:t>
            </w:r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 xml:space="preserve"> pažeidimo unikalus kodas R1303/AM/05.3.2-APVA-V-013-01-0005/01 (toliau – </w:t>
            </w:r>
            <w:r w:rsidR="008B02E4">
              <w:rPr>
                <w:rFonts w:eastAsia="Times New Roman" w:cs="Times New Roman"/>
                <w:szCs w:val="20"/>
                <w:lang w:eastAsia="lt-LT" w:bidi="lt-LT"/>
              </w:rPr>
              <w:t>s</w:t>
            </w:r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>prendimas Nr. IT01),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kuriame konstatuota, 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kad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</w:t>
            </w:r>
            <w:r w:rsidRPr="00074F73">
              <w:rPr>
                <w:rFonts w:eastAsia="Times New Roman" w:cs="Times New Roman"/>
                <w:color w:val="000000"/>
                <w:szCs w:val="20"/>
                <w:lang w:eastAsia="lt-LT" w:bidi="lt-LT"/>
              </w:rPr>
              <w:t>projekto „Vandens tiekimo ir nuotekų tvarkymo infrastruktūros plėtra Kretingos rajone (Jokūbave, Grūšlaukėje ir Salantuose)“ (kodas 05.3.2-APVA-V-013-01-0005)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lėšomis apmokėtos išlaidos išpildomiesiems brėžiniams yra netinkamos finansuoti Europos Sąjungos lėšomis.</w:t>
            </w:r>
            <w:bookmarkEnd w:id="1"/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 xml:space="preserve"> Nustatyta netinkam</w:t>
            </w:r>
            <w:r w:rsidR="00AA149B">
              <w:rPr>
                <w:rFonts w:eastAsia="Times New Roman" w:cs="Times New Roman"/>
                <w:szCs w:val="20"/>
                <w:lang w:eastAsia="lt-LT" w:bidi="lt-LT"/>
              </w:rPr>
              <w:t>ų finansuoti išlaidų lėšų suma –</w:t>
            </w:r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 xml:space="preserve"> 16290,05 </w:t>
            </w:r>
            <w:proofErr w:type="spellStart"/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>Eur</w:t>
            </w:r>
            <w:proofErr w:type="spellEnd"/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>, iš jų grąžintinos lėšos</w:t>
            </w:r>
            <w:r w:rsidR="008B02E4">
              <w:rPr>
                <w:rFonts w:eastAsia="Times New Roman" w:cs="Times New Roman"/>
                <w:szCs w:val="20"/>
                <w:lang w:eastAsia="lt-LT" w:bidi="lt-LT"/>
              </w:rPr>
              <w:t xml:space="preserve"> –</w:t>
            </w:r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 xml:space="preserve"> 15475,55 </w:t>
            </w:r>
            <w:proofErr w:type="spellStart"/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>Eur</w:t>
            </w:r>
            <w:proofErr w:type="spellEnd"/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 xml:space="preserve">. </w:t>
            </w:r>
            <w:bookmarkStart w:id="3" w:name="_Hlk10203913"/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szCs w:val="20"/>
                <w:lang w:eastAsia="lt-LT" w:bidi="ar-SA"/>
              </w:rPr>
            </w:pP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UAB „Kretingos vandenys“ (toliau – 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p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rojekto vykdytojas), vykdydama </w:t>
            </w:r>
            <w:r w:rsidR="007F7C78">
              <w:rPr>
                <w:rFonts w:eastAsia="Times New Roman" w:cs="Times New Roman"/>
                <w:szCs w:val="20"/>
                <w:lang w:eastAsia="lt-LT" w:bidi="ar-SA"/>
              </w:rPr>
              <w:t>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prendimą Nr. IT01, lėšas grąžino 2018 m. rugsėjo 17 d. 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szCs w:val="20"/>
                <w:lang w:eastAsia="lt-LT" w:bidi="ar-SA"/>
              </w:rPr>
            </w:pPr>
            <w:r w:rsidRPr="00074F73">
              <w:rPr>
                <w:rFonts w:eastAsia="Times New Roman" w:cs="Times New Roman"/>
                <w:lang w:bidi="ar-SA"/>
              </w:rPr>
              <w:t>Pažymėtina, kad projektų vykdytojų grąžintos lėšos administruojamos Finansinės paramos grąžinimo taisyklėse</w:t>
            </w:r>
            <w:r w:rsidR="008B02E4">
              <w:rPr>
                <w:rFonts w:eastAsia="Times New Roman" w:cs="Times New Roman"/>
                <w:lang w:bidi="ar-SA"/>
              </w:rPr>
              <w:t>,</w:t>
            </w:r>
            <w:r w:rsidRPr="00074F73">
              <w:rPr>
                <w:rFonts w:eastAsia="Times New Roman" w:cs="Times New Roman"/>
                <w:lang w:bidi="ar-SA"/>
              </w:rPr>
              <w:t xml:space="preserve"> 2014–2020 metų grąžintinų ir grąžintų lėšų administravimo taisyklėse, patvirtintose Lietuvos Respublikos finansų ministro 2015 m. vasario 12 d. įsakymu Nr. 1K-059, nustatyta tvarka. Minėtų</w:t>
            </w:r>
            <w:r w:rsidR="008B02E4">
              <w:rPr>
                <w:rFonts w:eastAsia="Times New Roman" w:cs="Times New Roman"/>
                <w:lang w:bidi="ar-SA"/>
              </w:rPr>
              <w:t xml:space="preserve"> taisyklių 16 p. nustatyta, kad</w:t>
            </w:r>
            <w:r w:rsidRPr="00074F73">
              <w:rPr>
                <w:rFonts w:eastAsia="Times New Roman" w:cs="Times New Roman"/>
                <w:lang w:bidi="ar-SA"/>
              </w:rPr>
              <w:t xml:space="preserve">, kai projekto vykdytojas grąžina lėšas į sprendime dėl lėšų grąžinimo nurodytą kredito įstaigos sąskaitą, ministerija ne vėliau kaip per 5 darbo dienas perveda projekto vykdytojo grąžintas lėšas į Lietuvos Respublikos valstybės iždo sąskaitą, iš kurios šios lėšos išmokėtos. Vadovaujantis minėtomis teisės aktų nuostatomis, Aplinkos ministerija 2018 m. rugsėjo 21 d. pervedė </w:t>
            </w:r>
            <w:r w:rsidR="008B02E4">
              <w:rPr>
                <w:rFonts w:eastAsia="Times New Roman" w:cs="Times New Roman"/>
                <w:lang w:bidi="ar-SA"/>
              </w:rPr>
              <w:t>p</w:t>
            </w:r>
            <w:r w:rsidRPr="00074F73">
              <w:rPr>
                <w:rFonts w:eastAsia="Times New Roman" w:cs="Times New Roman"/>
                <w:lang w:bidi="ar-SA"/>
              </w:rPr>
              <w:t>rojekto vykdytojo grąžintas lėšas į valstybės iždą.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szCs w:val="20"/>
                <w:lang w:eastAsia="lt-LT" w:bidi="ar-SA"/>
              </w:rPr>
            </w:pP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2018 m. liepos 20 d. 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p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rojekto vykdytojas pateikė skundą Vilniaus apygardos administracini</w:t>
            </w:r>
            <w:r w:rsidR="007F7C78">
              <w:rPr>
                <w:rFonts w:eastAsia="Times New Roman" w:cs="Times New Roman"/>
                <w:szCs w:val="20"/>
                <w:lang w:eastAsia="lt-LT" w:bidi="ar-SA"/>
              </w:rPr>
              <w:t>am teismui (toliau – VAAT) dėl 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prendimo Nr. IT01 panaikinimo, kurį išnagrinėjęs VAAT 2018 m. gruodžio 11 d. sprendimu jį tenkino iš dalies: panaikino </w:t>
            </w:r>
            <w:r w:rsidR="007F7C78">
              <w:rPr>
                <w:rFonts w:eastAsia="Times New Roman" w:cs="Times New Roman"/>
                <w:szCs w:val="20"/>
                <w:lang w:eastAsia="lt-LT" w:bidi="ar-SA"/>
              </w:rPr>
              <w:t>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pren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dimo Nr. IT01 dalį, kurioje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išpildomiesiems brėžiniams numatytos išlaidos pripažintos netinkamomis finansuoti ir įpareigojo APVA iš naujo atlikti išlaidų atitik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ties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tinkamumo finansuoti reikalavimams vertinimą</w:t>
            </w:r>
            <w:r w:rsidR="008B02E4">
              <w:rPr>
                <w:rFonts w:eastAsia="Times New Roman" w:cs="Times New Roman"/>
                <w:szCs w:val="20"/>
                <w:lang w:eastAsia="lt-LT" w:bidi="ar-SA"/>
              </w:rPr>
              <w:t>,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priimti naują sprendimą.</w:t>
            </w:r>
          </w:p>
          <w:bookmarkEnd w:id="3"/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bCs/>
                <w:szCs w:val="20"/>
                <w:lang w:eastAsia="lt-LT" w:bidi="lt-LT"/>
              </w:rPr>
            </w:pPr>
            <w:r w:rsidRPr="00074F73">
              <w:rPr>
                <w:rFonts w:eastAsia="Times New Roman" w:cs="Times New Roman"/>
                <w:szCs w:val="20"/>
                <w:lang w:eastAsia="lt-LT" w:bidi="lt-LT"/>
              </w:rPr>
              <w:t>Vykdydama VAAT sprendimą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, APVA atliko atnaujintą pažeidimo tyrimą ir 2019 m. balandžio 4 d. priėmė sprendimą dėl pažeidimo Nr. IT02, pažeidimo unikalus kodas R1303/AM/05.3.2-APVA-V-013-01-0005/01 (toliau – </w:t>
            </w:r>
            <w:r w:rsidR="000F764F">
              <w:rPr>
                <w:rFonts w:eastAsia="Times New Roman" w:cs="Times New Roman"/>
                <w:szCs w:val="20"/>
                <w:lang w:eastAsia="lt-LT" w:bidi="ar-SA"/>
              </w:rPr>
              <w:t>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prendimas N</w:t>
            </w:r>
            <w:r w:rsidR="000F764F">
              <w:rPr>
                <w:rFonts w:eastAsia="Times New Roman" w:cs="Times New Roman"/>
                <w:szCs w:val="20"/>
                <w:lang w:eastAsia="lt-LT" w:bidi="ar-SA"/>
              </w:rPr>
              <w:t>r. IT02), kuriame konstatuota, kad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 išpildomųjų brėžinių parengimo išlaidos yra netinkamos finansuoti. </w:t>
            </w:r>
            <w:r w:rsidR="007F7C78">
              <w:rPr>
                <w:rFonts w:eastAsia="Times New Roman" w:cs="Times New Roman"/>
                <w:szCs w:val="20"/>
                <w:lang w:eastAsia="lt-LT" w:bidi="ar-SA"/>
              </w:rPr>
              <w:t>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 xml:space="preserve">prendime Nr. IT02 nurodyta, kad </w:t>
            </w:r>
            <w:r w:rsidR="005B5729">
              <w:rPr>
                <w:rFonts w:eastAsia="Times New Roman" w:cs="Times New Roman"/>
                <w:szCs w:val="20"/>
                <w:lang w:eastAsia="lt-LT" w:bidi="ar-SA"/>
              </w:rPr>
              <w:t>p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rojekto vykdytoja</w:t>
            </w:r>
            <w:r w:rsidR="005B5729">
              <w:rPr>
                <w:rFonts w:eastAsia="Times New Roman" w:cs="Times New Roman"/>
                <w:szCs w:val="20"/>
                <w:lang w:eastAsia="lt-LT" w:bidi="ar-SA"/>
              </w:rPr>
              <w:t>s lėšas grąžino vadovaudamasis s</w:t>
            </w:r>
            <w:r w:rsidRPr="00074F73">
              <w:rPr>
                <w:rFonts w:eastAsia="Times New Roman" w:cs="Times New Roman"/>
                <w:szCs w:val="20"/>
                <w:lang w:eastAsia="lt-LT" w:bidi="ar-SA"/>
              </w:rPr>
              <w:t>prendimu Nr. IT01, todėl pakartotinai lėšų susigrąžinimas nebus vykdomas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.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bCs/>
                <w:szCs w:val="20"/>
                <w:lang w:eastAsia="lt-LT" w:bidi="lt-LT"/>
              </w:rPr>
            </w:pP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Projekto vykdytojas 2019 m. gegužės 9 d. pateikė VAAT sk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undą, kuriuo prašė panaikinti  s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prendimo Nr. IT02 dalį, kuri</w:t>
            </w:r>
            <w:r w:rsidR="005B5729">
              <w:rPr>
                <w:rFonts w:eastAsia="Times New Roman" w:cs="Times New Roman"/>
                <w:bCs/>
                <w:szCs w:val="20"/>
                <w:lang w:eastAsia="lt-LT" w:bidi="lt-LT"/>
              </w:rPr>
              <w:t>oje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 išpildomiesiems brėžiniams numatytos išlaidos pripažintos netinkamomis finansuoti ir įpareigoti Aplinkos ministeriją </w:t>
            </w:r>
            <w:r w:rsid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grąžinti 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p</w:t>
            </w:r>
            <w:r w:rsid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rojekto vykdytojui 15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475,55 </w:t>
            </w:r>
            <w:proofErr w:type="spellStart"/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Eur</w:t>
            </w:r>
            <w:proofErr w:type="spellEnd"/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 sumą, kurią jis</w:t>
            </w:r>
            <w:r w:rsidR="005B5729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 sumokėjo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 vykdydamas 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s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prendi</w:t>
            </w:r>
            <w:r w:rsidR="005B5729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mą Nr. IT01 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>.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bCs/>
                <w:szCs w:val="20"/>
                <w:lang w:eastAsia="lt-LT" w:bidi="lt-LT"/>
              </w:rPr>
            </w:pP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Atkreiptinas dėmesys, kad įvertinus tai, jog Aplinkos ministerija 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p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rojekto vykdytojo grąžintas 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lastRenderedPageBreak/>
              <w:t>lėšas pervedė į valstybės iždą, už kurio valdymą atsakinga Finansų ministerija, Aplinkos ministerija bylos nagrinėjimo metu prašė teismo pakeisti netinkamą atsakovą (Aplinkos ministeriją) į Finansų ministeriją, tačiau teismas šio prašymo netenkino.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lang w:bidi="ar-SA"/>
              </w:rPr>
            </w:pP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VAAT 2020 m. sausio 14 d. sprendimu 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p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rojekto vykdytojo skundą atmetė kaip nepagrįstą. Lietuvos vyriausiasis administracinis teismas, išnagrinėjęs </w:t>
            </w:r>
            <w:r w:rsidR="00DF19B4">
              <w:rPr>
                <w:rFonts w:eastAsia="Times New Roman" w:cs="Times New Roman"/>
                <w:bCs/>
                <w:szCs w:val="20"/>
                <w:lang w:eastAsia="lt-LT" w:bidi="lt-LT"/>
              </w:rPr>
              <w:t>p</w:t>
            </w:r>
            <w:r w:rsidRPr="00074F73">
              <w:rPr>
                <w:rFonts w:eastAsia="Times New Roman" w:cs="Times New Roman"/>
                <w:bCs/>
                <w:szCs w:val="20"/>
                <w:lang w:eastAsia="lt-LT" w:bidi="lt-LT"/>
              </w:rPr>
              <w:t xml:space="preserve">rojekto vykdytojo apeliacinį skundą, 2021 m. kovo 3 d. sprendimu </w:t>
            </w:r>
            <w:r w:rsidRPr="00074F73">
              <w:rPr>
                <w:rFonts w:eastAsia="Calibri" w:cs="Times New Roman"/>
                <w:lang w:bidi="ar-SA"/>
              </w:rPr>
              <w:t xml:space="preserve">panaikino VAAT 2020 m. sausio 14 d. sprendimą ir priėmė naują sprendimą – panaikino </w:t>
            </w:r>
            <w:r w:rsidR="00DF19B4">
              <w:rPr>
                <w:rFonts w:eastAsia="Times New Roman" w:cs="Times New Roman"/>
                <w:lang w:bidi="ar-SA"/>
              </w:rPr>
              <w:t>s</w:t>
            </w:r>
            <w:r w:rsidRPr="00074F73">
              <w:rPr>
                <w:rFonts w:eastAsia="Times New Roman" w:cs="Times New Roman"/>
                <w:lang w:bidi="ar-SA"/>
              </w:rPr>
              <w:t>prendimo Nr. IT02 dalį, kuri</w:t>
            </w:r>
            <w:r w:rsidR="00EB5CA4">
              <w:rPr>
                <w:rFonts w:eastAsia="Times New Roman" w:cs="Times New Roman"/>
                <w:lang w:bidi="ar-SA"/>
              </w:rPr>
              <w:t>oje</w:t>
            </w:r>
            <w:r w:rsidRPr="00074F73">
              <w:rPr>
                <w:rFonts w:eastAsia="Times New Roman" w:cs="Times New Roman"/>
                <w:lang w:bidi="ar-SA"/>
              </w:rPr>
              <w:t xml:space="preserve"> išlaidos išpildomiesiems brėžiniams pripažintos netinkamomis finansuoti, ir įpareigojo Aplinkos ministeriją grąžinti </w:t>
            </w:r>
            <w:r w:rsidR="00DF19B4">
              <w:rPr>
                <w:rFonts w:eastAsia="Times New Roman" w:cs="Times New Roman"/>
                <w:lang w:bidi="ar-SA"/>
              </w:rPr>
              <w:t>p</w:t>
            </w:r>
            <w:r w:rsidRPr="00074F73">
              <w:rPr>
                <w:rFonts w:eastAsia="Times New Roman" w:cs="Times New Roman"/>
                <w:lang w:bidi="ar-SA"/>
              </w:rPr>
              <w:t xml:space="preserve">rojekto vykdytojui 15475,55 </w:t>
            </w:r>
            <w:proofErr w:type="spellStart"/>
            <w:r w:rsidRPr="00074F73">
              <w:rPr>
                <w:rFonts w:eastAsia="Times New Roman" w:cs="Times New Roman"/>
                <w:lang w:bidi="ar-SA"/>
              </w:rPr>
              <w:t>Eur</w:t>
            </w:r>
            <w:proofErr w:type="spellEnd"/>
            <w:r w:rsidRPr="00074F73">
              <w:rPr>
                <w:rFonts w:eastAsia="Times New Roman" w:cs="Times New Roman"/>
                <w:lang w:bidi="ar-SA"/>
              </w:rPr>
              <w:t xml:space="preserve">, kuriuos </w:t>
            </w:r>
            <w:r w:rsidR="00DF19B4">
              <w:rPr>
                <w:rFonts w:eastAsia="Times New Roman" w:cs="Times New Roman"/>
                <w:lang w:bidi="ar-SA"/>
              </w:rPr>
              <w:t>p</w:t>
            </w:r>
            <w:r w:rsidRPr="00074F73">
              <w:rPr>
                <w:rFonts w:eastAsia="Times New Roman" w:cs="Times New Roman"/>
                <w:lang w:bidi="ar-SA"/>
              </w:rPr>
              <w:t xml:space="preserve">rojekto vykdytojas sumokėjo pagal </w:t>
            </w:r>
            <w:r w:rsidR="00DF19B4">
              <w:rPr>
                <w:rFonts w:eastAsia="Times New Roman" w:cs="Times New Roman"/>
                <w:lang w:bidi="ar-SA"/>
              </w:rPr>
              <w:t>s</w:t>
            </w:r>
            <w:r w:rsidRPr="00074F73">
              <w:rPr>
                <w:rFonts w:eastAsia="Times New Roman" w:cs="Times New Roman"/>
                <w:lang w:bidi="ar-SA"/>
              </w:rPr>
              <w:t xml:space="preserve">prendimą Nr. IT01. </w:t>
            </w:r>
          </w:p>
          <w:p w:rsidR="008221B8" w:rsidRPr="00074F73" w:rsidRDefault="008221B8" w:rsidP="00BC1094">
            <w:pPr>
              <w:widowControl/>
              <w:ind w:firstLine="568"/>
              <w:jc w:val="both"/>
              <w:rPr>
                <w:rFonts w:eastAsia="Times New Roman" w:cs="Times New Roman"/>
                <w:lang w:bidi="ar-SA"/>
              </w:rPr>
            </w:pPr>
            <w:r w:rsidRPr="00074F73">
              <w:rPr>
                <w:rFonts w:eastAsia="Times New Roman" w:cs="Times New Roman"/>
                <w:lang w:bidi="ar-SA"/>
              </w:rPr>
              <w:t xml:space="preserve">Aplinkos ministerija, vykdydama </w:t>
            </w:r>
            <w:r w:rsidR="00EB5CA4">
              <w:rPr>
                <w:rFonts w:eastAsia="Times New Roman" w:cs="Times New Roman"/>
                <w:lang w:bidi="ar-SA"/>
              </w:rPr>
              <w:t>minėtą</w:t>
            </w:r>
            <w:r w:rsidRPr="00074F73">
              <w:rPr>
                <w:rFonts w:eastAsia="Times New Roman" w:cs="Times New Roman"/>
                <w:lang w:bidi="ar-SA"/>
              </w:rPr>
              <w:t xml:space="preserve"> teismo sprendimą, 2021 m. kovo 31 d. grąžino </w:t>
            </w:r>
            <w:r w:rsidR="00DF19B4">
              <w:rPr>
                <w:rFonts w:eastAsia="Times New Roman" w:cs="Times New Roman"/>
                <w:lang w:bidi="ar-SA"/>
              </w:rPr>
              <w:t>p</w:t>
            </w:r>
            <w:r w:rsidRPr="00074F73">
              <w:rPr>
                <w:rFonts w:eastAsia="Times New Roman" w:cs="Times New Roman"/>
                <w:lang w:bidi="ar-SA"/>
              </w:rPr>
              <w:t xml:space="preserve">rojekto vykdytojui 15475,55 </w:t>
            </w:r>
            <w:proofErr w:type="spellStart"/>
            <w:r w:rsidRPr="00074F73">
              <w:rPr>
                <w:rFonts w:eastAsia="Times New Roman" w:cs="Times New Roman"/>
                <w:lang w:bidi="ar-SA"/>
              </w:rPr>
              <w:t>Eur</w:t>
            </w:r>
            <w:proofErr w:type="spellEnd"/>
            <w:r w:rsidRPr="00074F73">
              <w:rPr>
                <w:rFonts w:eastAsia="Times New Roman" w:cs="Times New Roman"/>
                <w:lang w:bidi="ar-SA"/>
              </w:rPr>
              <w:t xml:space="preserve"> iš Aplinkos ministerijai </w:t>
            </w:r>
            <w:r w:rsidR="00646D8D" w:rsidRPr="00074F73">
              <w:rPr>
                <w:rFonts w:eastAsia="Times New Roman" w:cs="Times New Roman"/>
                <w:lang w:bidi="ar-SA"/>
              </w:rPr>
              <w:t>202</w:t>
            </w:r>
            <w:r w:rsidR="00902D72" w:rsidRPr="00074F73">
              <w:rPr>
                <w:rFonts w:eastAsia="Times New Roman" w:cs="Times New Roman"/>
                <w:lang w:bidi="ar-SA"/>
              </w:rPr>
              <w:t>1</w:t>
            </w:r>
            <w:r w:rsidR="00646D8D" w:rsidRPr="00074F73">
              <w:rPr>
                <w:rFonts w:eastAsia="Times New Roman" w:cs="Times New Roman"/>
                <w:lang w:bidi="ar-SA"/>
              </w:rPr>
              <w:t xml:space="preserve"> metams </w:t>
            </w:r>
            <w:r w:rsidRPr="00074F73">
              <w:rPr>
                <w:rFonts w:eastAsia="Times New Roman" w:cs="Times New Roman"/>
                <w:lang w:bidi="ar-SA"/>
              </w:rPr>
              <w:t>skirtų</w:t>
            </w:r>
            <w:r w:rsidR="00902D72" w:rsidRPr="00074F73">
              <w:rPr>
                <w:rFonts w:eastAsia="Times New Roman" w:cs="Times New Roman"/>
                <w:lang w:bidi="ar-SA"/>
              </w:rPr>
              <w:t xml:space="preserve"> biudžeto</w:t>
            </w:r>
            <w:r w:rsidRPr="00074F73">
              <w:rPr>
                <w:rFonts w:eastAsia="Times New Roman" w:cs="Times New Roman"/>
                <w:lang w:bidi="ar-SA"/>
              </w:rPr>
              <w:t xml:space="preserve"> asignavimų.</w:t>
            </w:r>
          </w:p>
          <w:p w:rsidR="008221B8" w:rsidRPr="00074F73" w:rsidRDefault="008221B8" w:rsidP="00BC1094">
            <w:pPr>
              <w:pStyle w:val="BodyText"/>
              <w:ind w:firstLine="568"/>
              <w:rPr>
                <w:rFonts w:eastAsia="Times New Roman" w:cs="Times New Roman"/>
                <w:lang w:bidi="ar-SA"/>
              </w:rPr>
            </w:pPr>
            <w:r w:rsidRPr="00074F73">
              <w:rPr>
                <w:rFonts w:eastAsia="Times New Roman" w:cs="Times New Roman"/>
                <w:lang w:bidi="ar-SA"/>
              </w:rPr>
              <w:t>Apibendrin</w:t>
            </w:r>
            <w:r w:rsidR="00EB5CA4">
              <w:rPr>
                <w:rFonts w:eastAsia="Times New Roman" w:cs="Times New Roman"/>
                <w:lang w:bidi="ar-SA"/>
              </w:rPr>
              <w:t>dami</w:t>
            </w:r>
            <w:r w:rsidRPr="00074F73">
              <w:rPr>
                <w:rFonts w:eastAsia="Times New Roman" w:cs="Times New Roman"/>
                <w:lang w:bidi="ar-SA"/>
              </w:rPr>
              <w:t xml:space="preserve"> tai, ka</w:t>
            </w:r>
            <w:r w:rsidR="00902D72" w:rsidRPr="00074F73">
              <w:rPr>
                <w:rFonts w:eastAsia="Times New Roman" w:cs="Times New Roman"/>
                <w:lang w:bidi="ar-SA"/>
              </w:rPr>
              <w:t>s</w:t>
            </w:r>
            <w:r w:rsidR="00EB5CA4">
              <w:rPr>
                <w:rFonts w:eastAsia="Times New Roman" w:cs="Times New Roman"/>
                <w:lang w:bidi="ar-SA"/>
              </w:rPr>
              <w:t xml:space="preserve"> išdėstyta</w:t>
            </w:r>
            <w:r w:rsidRPr="00074F73">
              <w:rPr>
                <w:rFonts w:eastAsia="Times New Roman" w:cs="Times New Roman"/>
                <w:lang w:bidi="ar-SA"/>
              </w:rPr>
              <w:t>, manome, ka</w:t>
            </w:r>
            <w:r w:rsidR="00767280" w:rsidRPr="00074F73">
              <w:rPr>
                <w:rFonts w:eastAsia="Times New Roman" w:cs="Times New Roman"/>
                <w:lang w:bidi="ar-SA"/>
              </w:rPr>
              <w:t xml:space="preserve">d įvykdžius teismo sprendimą ir </w:t>
            </w:r>
            <w:r w:rsidRPr="00074F73">
              <w:rPr>
                <w:rFonts w:eastAsia="Times New Roman" w:cs="Times New Roman"/>
                <w:lang w:bidi="ar-SA"/>
              </w:rPr>
              <w:t>grąžinus lėšas</w:t>
            </w:r>
            <w:r w:rsidR="00902D72" w:rsidRPr="00074F73">
              <w:rPr>
                <w:rFonts w:eastAsia="Times New Roman" w:cs="Times New Roman"/>
                <w:lang w:bidi="ar-SA"/>
              </w:rPr>
              <w:t xml:space="preserve"> </w:t>
            </w:r>
            <w:r w:rsidR="00DF19B4">
              <w:rPr>
                <w:rFonts w:eastAsia="Times New Roman" w:cs="Times New Roman"/>
                <w:lang w:bidi="ar-SA"/>
              </w:rPr>
              <w:t>p</w:t>
            </w:r>
            <w:r w:rsidR="00902D72" w:rsidRPr="00074F73">
              <w:rPr>
                <w:rFonts w:eastAsia="Times New Roman" w:cs="Times New Roman"/>
                <w:lang w:bidi="ar-SA"/>
              </w:rPr>
              <w:t>rojekto vykdytojui</w:t>
            </w:r>
            <w:r w:rsidRPr="00074F73">
              <w:rPr>
                <w:rFonts w:eastAsia="Times New Roman" w:cs="Times New Roman"/>
                <w:lang w:bidi="ar-SA"/>
              </w:rPr>
              <w:t xml:space="preserve">, </w:t>
            </w:r>
            <w:r w:rsidR="00EB5CA4">
              <w:rPr>
                <w:rFonts w:eastAsia="Times New Roman" w:cs="Times New Roman"/>
                <w:lang w:bidi="ar-SA"/>
              </w:rPr>
              <w:t>nes</w:t>
            </w:r>
            <w:r w:rsidR="00074F73" w:rsidRPr="00074F73">
              <w:rPr>
                <w:rFonts w:eastAsia="Times New Roman" w:cs="Times New Roman"/>
                <w:lang w:bidi="ar-SA"/>
              </w:rPr>
              <w:t xml:space="preserve"> </w:t>
            </w:r>
            <w:r w:rsidR="00767280" w:rsidRPr="00074F73">
              <w:rPr>
                <w:rFonts w:eastAsia="Times New Roman" w:cs="Times New Roman"/>
                <w:lang w:bidi="ar-SA"/>
              </w:rPr>
              <w:t>analogiška suma</w:t>
            </w:r>
            <w:r w:rsidRPr="00074F73">
              <w:rPr>
                <w:rFonts w:eastAsia="Times New Roman" w:cs="Times New Roman"/>
                <w:lang w:bidi="ar-SA"/>
              </w:rPr>
              <w:t xml:space="preserve"> 2018 m.</w:t>
            </w:r>
            <w:r w:rsidR="00767280" w:rsidRPr="00074F73">
              <w:rPr>
                <w:rFonts w:eastAsia="Times New Roman" w:cs="Times New Roman"/>
                <w:lang w:bidi="ar-SA"/>
              </w:rPr>
              <w:t xml:space="preserve"> </w:t>
            </w:r>
            <w:r w:rsidRPr="00074F73">
              <w:rPr>
                <w:rFonts w:eastAsia="Times New Roman" w:cs="Times New Roman"/>
                <w:lang w:bidi="ar-SA"/>
              </w:rPr>
              <w:t>buvo pervest</w:t>
            </w:r>
            <w:r w:rsidR="00767280" w:rsidRPr="00074F73">
              <w:rPr>
                <w:rFonts w:eastAsia="Times New Roman" w:cs="Times New Roman"/>
                <w:lang w:bidi="ar-SA"/>
              </w:rPr>
              <w:t>a</w:t>
            </w:r>
            <w:r w:rsidRPr="00074F73">
              <w:rPr>
                <w:rFonts w:eastAsia="Times New Roman" w:cs="Times New Roman"/>
                <w:lang w:bidi="ar-SA"/>
              </w:rPr>
              <w:t xml:space="preserve"> į valstybės iždo sąskaitą, Aplinkos ministerija nepagrįstai neteko dalies 2021 m. skirtų asignavimų, kurie galėjo ir turėjo būti panaudoti kitoms ministerijos reikmėms finansuoti. Atsižvelgdami į tai, prašome įvertinti susiklosčiusią situaciją ir </w:t>
            </w:r>
            <w:r w:rsidR="00074F73">
              <w:rPr>
                <w:rFonts w:eastAsia="Times New Roman" w:cs="Times New Roman"/>
                <w:lang w:bidi="ar-SA"/>
              </w:rPr>
              <w:t>Aplinkos ministerijos į valstybės iždą pervest</w:t>
            </w:r>
            <w:r w:rsidR="00EB5CA4">
              <w:rPr>
                <w:rFonts w:eastAsia="Times New Roman" w:cs="Times New Roman"/>
                <w:lang w:bidi="ar-SA"/>
              </w:rPr>
              <w:t>us</w:t>
            </w:r>
            <w:r w:rsidR="00074F73">
              <w:rPr>
                <w:rFonts w:eastAsia="Times New Roman" w:cs="Times New Roman"/>
                <w:lang w:bidi="ar-SA"/>
              </w:rPr>
              <w:t xml:space="preserve"> 15</w:t>
            </w:r>
            <w:r w:rsidRPr="00074F73">
              <w:rPr>
                <w:rFonts w:eastAsia="Times New Roman" w:cs="Times New Roman"/>
                <w:lang w:bidi="ar-SA"/>
              </w:rPr>
              <w:t xml:space="preserve">475,55 </w:t>
            </w:r>
            <w:proofErr w:type="spellStart"/>
            <w:r w:rsidRPr="00074F73">
              <w:rPr>
                <w:rFonts w:eastAsia="Times New Roman" w:cs="Times New Roman"/>
                <w:lang w:bidi="ar-SA"/>
              </w:rPr>
              <w:t>Eur</w:t>
            </w:r>
            <w:proofErr w:type="spellEnd"/>
            <w:r w:rsidR="00074F73">
              <w:rPr>
                <w:rFonts w:eastAsia="Times New Roman" w:cs="Times New Roman"/>
                <w:lang w:bidi="ar-SA"/>
              </w:rPr>
              <w:t xml:space="preserve"> </w:t>
            </w:r>
            <w:r w:rsidR="00074F73" w:rsidRPr="00074F73">
              <w:rPr>
                <w:rFonts w:eastAsia="Times New Roman" w:cs="Times New Roman"/>
                <w:lang w:bidi="ar-SA"/>
              </w:rPr>
              <w:t>grąžinti</w:t>
            </w:r>
            <w:r w:rsidR="00074F73">
              <w:rPr>
                <w:rFonts w:eastAsia="Times New Roman" w:cs="Times New Roman"/>
                <w:lang w:bidi="ar-SA"/>
              </w:rPr>
              <w:t xml:space="preserve"> </w:t>
            </w:r>
            <w:r w:rsidR="00EB5CA4">
              <w:rPr>
                <w:rFonts w:eastAsia="Times New Roman" w:cs="Times New Roman"/>
                <w:lang w:bidi="ar-SA"/>
              </w:rPr>
              <w:t>išlaidoms</w:t>
            </w:r>
            <w:r w:rsidR="00074F73" w:rsidRPr="00074F73">
              <w:rPr>
                <w:rFonts w:eastAsia="Times New Roman" w:cs="Times New Roman"/>
                <w:lang w:bidi="ar-SA"/>
              </w:rPr>
              <w:t xml:space="preserve"> kompens</w:t>
            </w:r>
            <w:r w:rsidR="00EB5CA4">
              <w:rPr>
                <w:rFonts w:eastAsia="Times New Roman" w:cs="Times New Roman"/>
                <w:lang w:bidi="ar-SA"/>
              </w:rPr>
              <w:t>uoti.</w:t>
            </w:r>
            <w:r w:rsidRPr="00074F73">
              <w:rPr>
                <w:rFonts w:eastAsia="Times New Roman" w:cs="Times New Roman"/>
                <w:lang w:bidi="ar-SA"/>
              </w:rPr>
              <w:t xml:space="preserve"> </w:t>
            </w:r>
          </w:p>
          <w:p w:rsidR="0087447D" w:rsidRDefault="000A6FAA" w:rsidP="00BC1094">
            <w:pPr>
              <w:pStyle w:val="BodyText"/>
              <w:ind w:firstLine="568"/>
              <w:rPr>
                <w:bCs/>
              </w:rPr>
            </w:pPr>
            <w:r>
              <w:rPr>
                <w:bCs/>
              </w:rPr>
              <w:t>PRIDEDAMA:</w:t>
            </w:r>
          </w:p>
          <w:p w:rsidR="004A446F" w:rsidRDefault="004A446F" w:rsidP="00BC1094">
            <w:pPr>
              <w:pStyle w:val="BodyText"/>
              <w:numPr>
                <w:ilvl w:val="0"/>
                <w:numId w:val="2"/>
              </w:numPr>
              <w:ind w:left="0" w:firstLine="568"/>
              <w:rPr>
                <w:bCs/>
              </w:rPr>
            </w:pPr>
            <w:r>
              <w:rPr>
                <w:bCs/>
              </w:rPr>
              <w:t>Vilniaus apygardos administracinio teismo 2020-01-14 sprendimo administracinėje byloje Nr. el3-581-426/2020 kopija, 13 lapų;</w:t>
            </w:r>
          </w:p>
          <w:p w:rsidR="004A446F" w:rsidRPr="00074F73" w:rsidRDefault="004A446F" w:rsidP="00BC1094">
            <w:pPr>
              <w:pStyle w:val="BodyText"/>
              <w:numPr>
                <w:ilvl w:val="0"/>
                <w:numId w:val="2"/>
              </w:numPr>
              <w:ind w:left="0" w:firstLine="568"/>
              <w:rPr>
                <w:bCs/>
              </w:rPr>
            </w:pPr>
            <w:r>
              <w:rPr>
                <w:bCs/>
              </w:rPr>
              <w:t xml:space="preserve">Lietuvos vyriausiojo administracinio teismo 2021-03-03 sprendimo administracinėje byloje Nr. </w:t>
            </w:r>
            <w:proofErr w:type="spellStart"/>
            <w:r>
              <w:rPr>
                <w:bCs/>
              </w:rPr>
              <w:t>eA-927-520</w:t>
            </w:r>
            <w:proofErr w:type="spellEnd"/>
            <w:r>
              <w:rPr>
                <w:bCs/>
              </w:rPr>
              <w:t>/2021 kopija, 15 lapų;</w:t>
            </w:r>
          </w:p>
          <w:p w:rsidR="0087447D" w:rsidRDefault="004A446F" w:rsidP="00BC1094">
            <w:pPr>
              <w:pStyle w:val="BodyText"/>
              <w:numPr>
                <w:ilvl w:val="0"/>
                <w:numId w:val="2"/>
              </w:numPr>
              <w:ind w:left="0" w:firstLine="568"/>
              <w:rPr>
                <w:bCs/>
              </w:rPr>
            </w:pPr>
            <w:r>
              <w:rPr>
                <w:bCs/>
              </w:rPr>
              <w:t>Valstybės iždo mokėjimo paraiškos kopija, 1 lapas.</w:t>
            </w:r>
          </w:p>
          <w:p w:rsidR="006B5ECE" w:rsidRDefault="006B5ECE" w:rsidP="00BC1094">
            <w:pPr>
              <w:pStyle w:val="BodyText"/>
              <w:ind w:firstLine="568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BC1094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  <w:bookmarkStart w:id="4" w:name="_GoBack"/>
            <w:bookmarkEnd w:id="4"/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BodyText"/>
              <w:rPr>
                <w:bCs/>
              </w:rPr>
            </w:pPr>
          </w:p>
          <w:p w:rsidR="006B5ECE" w:rsidRDefault="006B5ECE" w:rsidP="006B5ECE">
            <w:pPr>
              <w:pStyle w:val="TableContents"/>
              <w:jc w:val="both"/>
              <w:rPr>
                <w:rStyle w:val="Hyperlink"/>
              </w:rPr>
            </w:pPr>
          </w:p>
          <w:p w:rsidR="006B5ECE" w:rsidRDefault="006B5ECE" w:rsidP="006B5ECE">
            <w:pPr>
              <w:pStyle w:val="TableContents"/>
              <w:jc w:val="both"/>
              <w:rPr>
                <w:bCs/>
              </w:rPr>
            </w:pPr>
            <w:r>
              <w:t xml:space="preserve">R. </w:t>
            </w:r>
            <w:proofErr w:type="spellStart"/>
            <w:r>
              <w:t>Čekėnė</w:t>
            </w:r>
            <w:proofErr w:type="spellEnd"/>
            <w:r>
              <w:t>, 8 696 85344, el. p. rasa.cekene@am.lt</w:t>
            </w:r>
          </w:p>
          <w:p w:rsidR="00525715" w:rsidRPr="00074F73" w:rsidRDefault="00525715" w:rsidP="006658E2">
            <w:pPr>
              <w:pStyle w:val="BodyText"/>
              <w:rPr>
                <w:bCs/>
              </w:rPr>
            </w:pPr>
          </w:p>
        </w:tc>
      </w:tr>
      <w:tr w:rsidR="00796197" w:rsidTr="006B5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34" w:type="dxa"/>
          <w:trHeight w:val="340"/>
        </w:trPr>
        <w:tc>
          <w:tcPr>
            <w:tcW w:w="9643" w:type="dxa"/>
            <w:gridSpan w:val="6"/>
          </w:tcPr>
          <w:p w:rsidR="00796197" w:rsidRDefault="00796197" w:rsidP="006658E2">
            <w:pPr>
              <w:pStyle w:val="TableContents"/>
            </w:pPr>
          </w:p>
        </w:tc>
      </w:tr>
    </w:tbl>
    <w:p w:rsidR="00796197" w:rsidRDefault="00796197" w:rsidP="00BC1094">
      <w:pPr>
        <w:pStyle w:val="BodyText"/>
        <w:ind w:firstLine="0"/>
      </w:pPr>
    </w:p>
    <w:sectPr w:rsidR="00796197" w:rsidSect="004F56D6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17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B8" w:rsidRDefault="00874EB8">
      <w:r>
        <w:separator/>
      </w:r>
    </w:p>
  </w:endnote>
  <w:endnote w:type="continuationSeparator" w:id="0">
    <w:p w:rsidR="00874EB8" w:rsidRDefault="008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FC4A3F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FC4A3F">
      <w:rPr>
        <w:spacing w:val="16"/>
        <w:sz w:val="10"/>
        <w:lang w:val="en-US"/>
      </w:rPr>
      <w:fldChar w:fldCharType="separate"/>
    </w:r>
    <w:r w:rsidR="00301CCB">
      <w:rPr>
        <w:noProof/>
        <w:spacing w:val="16"/>
        <w:sz w:val="10"/>
        <w:lang w:val="en-US"/>
      </w:rPr>
      <w:t>\\amfs.ad.am.lt\user_home$\rasa.cekene\Documents\NBFC\Dėl inventorizacijos .docx</w:t>
    </w:r>
    <w:r w:rsidR="00FC4A3F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6D6" w:rsidRPr="00796197" w:rsidRDefault="0065208C" w:rsidP="004F56D6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>
          <wp:extent cx="468630" cy="773430"/>
          <wp:effectExtent l="0" t="0" r="7620" b="7620"/>
          <wp:docPr id="3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197" w:rsidRPr="004F56D6" w:rsidRDefault="00796197" w:rsidP="004F56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B8" w:rsidRDefault="00874EB8">
      <w:r>
        <w:separator/>
      </w:r>
    </w:p>
  </w:footnote>
  <w:footnote w:type="continuationSeparator" w:id="0">
    <w:p w:rsidR="00874EB8" w:rsidRDefault="00874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FC4A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FC4A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094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D105EAC"/>
    <w:multiLevelType w:val="hybridMultilevel"/>
    <w:tmpl w:val="D11CC790"/>
    <w:lvl w:ilvl="0" w:tplc="6682F76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82"/>
    <w:rsid w:val="00001D04"/>
    <w:rsid w:val="000202B4"/>
    <w:rsid w:val="000256AF"/>
    <w:rsid w:val="00042DEC"/>
    <w:rsid w:val="00053B27"/>
    <w:rsid w:val="00073F6B"/>
    <w:rsid w:val="00074F73"/>
    <w:rsid w:val="00086D32"/>
    <w:rsid w:val="000A6FAA"/>
    <w:rsid w:val="000B0097"/>
    <w:rsid w:val="000B4DB0"/>
    <w:rsid w:val="000C421C"/>
    <w:rsid w:val="000F3D9D"/>
    <w:rsid w:val="000F764F"/>
    <w:rsid w:val="0011111C"/>
    <w:rsid w:val="00121D30"/>
    <w:rsid w:val="00122B35"/>
    <w:rsid w:val="00123B4A"/>
    <w:rsid w:val="00150F93"/>
    <w:rsid w:val="00152C1F"/>
    <w:rsid w:val="00155D04"/>
    <w:rsid w:val="00156083"/>
    <w:rsid w:val="001939CA"/>
    <w:rsid w:val="001E5337"/>
    <w:rsid w:val="001E7852"/>
    <w:rsid w:val="00205479"/>
    <w:rsid w:val="00212A94"/>
    <w:rsid w:val="0021483B"/>
    <w:rsid w:val="00223812"/>
    <w:rsid w:val="00250F71"/>
    <w:rsid w:val="00292187"/>
    <w:rsid w:val="002A0D6E"/>
    <w:rsid w:val="002A17F9"/>
    <w:rsid w:val="002C133B"/>
    <w:rsid w:val="002C31C0"/>
    <w:rsid w:val="002C5103"/>
    <w:rsid w:val="002D377A"/>
    <w:rsid w:val="002D65D9"/>
    <w:rsid w:val="002E66F7"/>
    <w:rsid w:val="002F1CC0"/>
    <w:rsid w:val="00301CCB"/>
    <w:rsid w:val="00311A41"/>
    <w:rsid w:val="00355DEB"/>
    <w:rsid w:val="00383028"/>
    <w:rsid w:val="003847D9"/>
    <w:rsid w:val="003A244E"/>
    <w:rsid w:val="003D6511"/>
    <w:rsid w:val="003F73EE"/>
    <w:rsid w:val="004141AB"/>
    <w:rsid w:val="00414CFA"/>
    <w:rsid w:val="00425467"/>
    <w:rsid w:val="0043005E"/>
    <w:rsid w:val="00430842"/>
    <w:rsid w:val="00466F8E"/>
    <w:rsid w:val="004710AA"/>
    <w:rsid w:val="00476D2A"/>
    <w:rsid w:val="00484371"/>
    <w:rsid w:val="00491782"/>
    <w:rsid w:val="004938C3"/>
    <w:rsid w:val="004952FF"/>
    <w:rsid w:val="004A446F"/>
    <w:rsid w:val="004A4C34"/>
    <w:rsid w:val="004F362D"/>
    <w:rsid w:val="004F56D6"/>
    <w:rsid w:val="00505E65"/>
    <w:rsid w:val="0052036E"/>
    <w:rsid w:val="00525715"/>
    <w:rsid w:val="0053170E"/>
    <w:rsid w:val="00537BC3"/>
    <w:rsid w:val="005465C4"/>
    <w:rsid w:val="00563F00"/>
    <w:rsid w:val="005A4E1B"/>
    <w:rsid w:val="005B5729"/>
    <w:rsid w:val="005C2A7D"/>
    <w:rsid w:val="005D3E08"/>
    <w:rsid w:val="005D75D4"/>
    <w:rsid w:val="005E437B"/>
    <w:rsid w:val="005E623C"/>
    <w:rsid w:val="006162FD"/>
    <w:rsid w:val="006266D8"/>
    <w:rsid w:val="00635268"/>
    <w:rsid w:val="00645CC7"/>
    <w:rsid w:val="00646D8D"/>
    <w:rsid w:val="0065208C"/>
    <w:rsid w:val="006574D7"/>
    <w:rsid w:val="0066239D"/>
    <w:rsid w:val="006658E2"/>
    <w:rsid w:val="00672C41"/>
    <w:rsid w:val="00691840"/>
    <w:rsid w:val="006B1015"/>
    <w:rsid w:val="006B2A74"/>
    <w:rsid w:val="006B5ECE"/>
    <w:rsid w:val="006B7EFC"/>
    <w:rsid w:val="006D07AF"/>
    <w:rsid w:val="007025F5"/>
    <w:rsid w:val="00702AB7"/>
    <w:rsid w:val="00707598"/>
    <w:rsid w:val="00712B0B"/>
    <w:rsid w:val="007308F0"/>
    <w:rsid w:val="00747F2A"/>
    <w:rsid w:val="00767280"/>
    <w:rsid w:val="00786324"/>
    <w:rsid w:val="00796197"/>
    <w:rsid w:val="007B0746"/>
    <w:rsid w:val="007D72A7"/>
    <w:rsid w:val="007F7C78"/>
    <w:rsid w:val="00802754"/>
    <w:rsid w:val="008221B8"/>
    <w:rsid w:val="00830B01"/>
    <w:rsid w:val="008338AC"/>
    <w:rsid w:val="00851998"/>
    <w:rsid w:val="0087447D"/>
    <w:rsid w:val="00874EB8"/>
    <w:rsid w:val="0087614A"/>
    <w:rsid w:val="00882860"/>
    <w:rsid w:val="00882DF6"/>
    <w:rsid w:val="00895314"/>
    <w:rsid w:val="008A3CCD"/>
    <w:rsid w:val="008B02D7"/>
    <w:rsid w:val="008B02E4"/>
    <w:rsid w:val="008B16E7"/>
    <w:rsid w:val="008B5319"/>
    <w:rsid w:val="00902D72"/>
    <w:rsid w:val="00910045"/>
    <w:rsid w:val="009153A7"/>
    <w:rsid w:val="009210E7"/>
    <w:rsid w:val="00934639"/>
    <w:rsid w:val="00962E47"/>
    <w:rsid w:val="009762D6"/>
    <w:rsid w:val="009975B2"/>
    <w:rsid w:val="009B12DC"/>
    <w:rsid w:val="009D19EB"/>
    <w:rsid w:val="009F109E"/>
    <w:rsid w:val="00A02FCE"/>
    <w:rsid w:val="00A0430C"/>
    <w:rsid w:val="00A074E2"/>
    <w:rsid w:val="00A158D4"/>
    <w:rsid w:val="00A15D3D"/>
    <w:rsid w:val="00A24ED4"/>
    <w:rsid w:val="00A33C12"/>
    <w:rsid w:val="00A6448D"/>
    <w:rsid w:val="00A65FD0"/>
    <w:rsid w:val="00A713A1"/>
    <w:rsid w:val="00A91342"/>
    <w:rsid w:val="00A93C31"/>
    <w:rsid w:val="00AA149B"/>
    <w:rsid w:val="00AD4BDE"/>
    <w:rsid w:val="00AE3C8F"/>
    <w:rsid w:val="00B244FE"/>
    <w:rsid w:val="00B2550F"/>
    <w:rsid w:val="00B55697"/>
    <w:rsid w:val="00B559E1"/>
    <w:rsid w:val="00B67848"/>
    <w:rsid w:val="00B71356"/>
    <w:rsid w:val="00B92600"/>
    <w:rsid w:val="00B92922"/>
    <w:rsid w:val="00B97FC2"/>
    <w:rsid w:val="00BC1094"/>
    <w:rsid w:val="00BD1AE1"/>
    <w:rsid w:val="00BE71D1"/>
    <w:rsid w:val="00C02021"/>
    <w:rsid w:val="00C035C6"/>
    <w:rsid w:val="00C109D3"/>
    <w:rsid w:val="00C4176C"/>
    <w:rsid w:val="00C475F1"/>
    <w:rsid w:val="00C551E9"/>
    <w:rsid w:val="00C57480"/>
    <w:rsid w:val="00C60729"/>
    <w:rsid w:val="00C63F45"/>
    <w:rsid w:val="00C74037"/>
    <w:rsid w:val="00C874BD"/>
    <w:rsid w:val="00D032CD"/>
    <w:rsid w:val="00D07050"/>
    <w:rsid w:val="00D07118"/>
    <w:rsid w:val="00D3566C"/>
    <w:rsid w:val="00D45D86"/>
    <w:rsid w:val="00D61BD7"/>
    <w:rsid w:val="00D97640"/>
    <w:rsid w:val="00DA08F7"/>
    <w:rsid w:val="00DA2342"/>
    <w:rsid w:val="00DB23FC"/>
    <w:rsid w:val="00DD3F85"/>
    <w:rsid w:val="00DD601A"/>
    <w:rsid w:val="00DE27A3"/>
    <w:rsid w:val="00DF19B4"/>
    <w:rsid w:val="00E05545"/>
    <w:rsid w:val="00E1406E"/>
    <w:rsid w:val="00E15AC6"/>
    <w:rsid w:val="00E4398A"/>
    <w:rsid w:val="00E70367"/>
    <w:rsid w:val="00EB5CA4"/>
    <w:rsid w:val="00EE7C78"/>
    <w:rsid w:val="00EF28D5"/>
    <w:rsid w:val="00F37538"/>
    <w:rsid w:val="00F3763F"/>
    <w:rsid w:val="00F46ACD"/>
    <w:rsid w:val="00F723EA"/>
    <w:rsid w:val="00F9052D"/>
    <w:rsid w:val="00F9106D"/>
    <w:rsid w:val="00FC34B4"/>
    <w:rsid w:val="00FC3FA6"/>
    <w:rsid w:val="00FC4A3F"/>
    <w:rsid w:val="00FD24C2"/>
    <w:rsid w:val="00FD476D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AC6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link w:val="BodyText"/>
    <w:rsid w:val="007308F0"/>
    <w:rPr>
      <w:rFonts w:eastAsia="Andale Sans UI" w:cs="Tahoma"/>
      <w:sz w:val="24"/>
      <w:szCs w:val="24"/>
      <w:lang w:eastAsia="en-US" w:bidi="en-US"/>
    </w:rPr>
  </w:style>
  <w:style w:type="paragraph" w:styleId="NoSpacing">
    <w:name w:val="No Spacing"/>
    <w:uiPriority w:val="1"/>
    <w:qFormat/>
    <w:rsid w:val="000202B4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AC6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link w:val="BodyText"/>
    <w:rsid w:val="007308F0"/>
    <w:rPr>
      <w:rFonts w:eastAsia="Andale Sans UI" w:cs="Tahoma"/>
      <w:sz w:val="24"/>
      <w:szCs w:val="24"/>
      <w:lang w:eastAsia="en-US" w:bidi="en-US"/>
    </w:rPr>
  </w:style>
  <w:style w:type="paragraph" w:styleId="NoSpacing">
    <w:name w:val="No Spacing"/>
    <w:uiPriority w:val="1"/>
    <w:qFormat/>
    <w:rsid w:val="000202B4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78129-AE9C-474A-B852-08857ECF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2021-07-19T12:45:00Z</dcterms:created>
  <dcterms:modified xsi:type="dcterms:W3CDTF">2021-07-21T09:55:00Z</dcterms:modified>
</cp:coreProperties>
</file>