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7D5424">
      <w:pPr>
        <w:jc w:val="center"/>
      </w:pPr>
      <w:r>
        <w:rPr>
          <w:noProof/>
        </w:rPr>
        <w:drawing>
          <wp:inline distT="0" distB="0" distL="0" distR="0">
            <wp:extent cx="594360" cy="62674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 cy="626745"/>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997" w:type="dxa"/>
        <w:tblInd w:w="-34" w:type="dxa"/>
        <w:tblLayout w:type="fixed"/>
        <w:tblLook w:val="0000" w:firstRow="0" w:lastRow="0" w:firstColumn="0" w:lastColumn="0" w:noHBand="0" w:noVBand="0"/>
      </w:tblPr>
      <w:tblGrid>
        <w:gridCol w:w="5070"/>
        <w:gridCol w:w="4927"/>
      </w:tblGrid>
      <w:tr w:rsidR="00BF2834" w:rsidTr="002710C3">
        <w:trPr>
          <w:trHeight w:val="762"/>
        </w:trPr>
        <w:tc>
          <w:tcPr>
            <w:tcW w:w="5070" w:type="dxa"/>
          </w:tcPr>
          <w:p w:rsidR="00BF2834" w:rsidRPr="00994F17" w:rsidRDefault="00747B84" w:rsidP="000125A8">
            <w:pPr>
              <w:rPr>
                <w:szCs w:val="24"/>
              </w:rPr>
            </w:pPr>
            <w:r>
              <w:rPr>
                <w:szCs w:val="24"/>
              </w:rPr>
              <w:lastRenderedPageBreak/>
              <w:t xml:space="preserve">Lietuvos Respublikos Vyriausybei                                                                                </w:t>
            </w:r>
          </w:p>
        </w:tc>
        <w:tc>
          <w:tcPr>
            <w:tcW w:w="4927" w:type="dxa"/>
          </w:tcPr>
          <w:p w:rsidR="00C66301" w:rsidRDefault="00747B84" w:rsidP="007B716F">
            <w:r>
              <w:t xml:space="preserve">       </w:t>
            </w:r>
          </w:p>
          <w:p w:rsidR="00BF2834" w:rsidRDefault="00BF2834" w:rsidP="00EC586A">
            <w:pPr>
              <w:jc w:val="center"/>
            </w:pPr>
          </w:p>
        </w:tc>
      </w:tr>
    </w:tbl>
    <w:p w:rsidR="00BF2834" w:rsidRDefault="00BF2834" w:rsidP="00BF2834">
      <w:pPr>
        <w:tabs>
          <w:tab w:val="left" w:pos="3780"/>
        </w:tabs>
        <w:rPr>
          <w:b/>
        </w:rPr>
      </w:pPr>
      <w:r w:rsidRPr="00E53A0C">
        <w:rPr>
          <w:b/>
        </w:rPr>
        <w:t xml:space="preserve">DĖL </w:t>
      </w:r>
      <w:r w:rsidR="00EC586A">
        <w:rPr>
          <w:b/>
        </w:rPr>
        <w:t>FINANSINIŲ PRIEMONIŲ RINKŲ</w:t>
      </w:r>
      <w:r w:rsidR="004331CC">
        <w:rPr>
          <w:b/>
        </w:rPr>
        <w:t xml:space="preserve"> ĮSTATYMO IR LYDI</w:t>
      </w:r>
      <w:r w:rsidR="00323395">
        <w:rPr>
          <w:b/>
        </w:rPr>
        <w:t xml:space="preserve">MŲJŲ </w:t>
      </w:r>
      <w:r w:rsidRPr="00E53A0C">
        <w:rPr>
          <w:b/>
          <w:bCs/>
        </w:rPr>
        <w:t xml:space="preserve">ĮSTATYMŲ </w:t>
      </w:r>
      <w:r w:rsidRPr="00E53A0C">
        <w:rPr>
          <w:b/>
        </w:rPr>
        <w:t xml:space="preserve">PROJEKTŲ </w:t>
      </w:r>
    </w:p>
    <w:p w:rsidR="001D0927" w:rsidRDefault="001D0927" w:rsidP="00BF2834">
      <w:pPr>
        <w:tabs>
          <w:tab w:val="left" w:pos="3780"/>
        </w:tabs>
        <w:rPr>
          <w:b/>
        </w:rPr>
      </w:pPr>
    </w:p>
    <w:tbl>
      <w:tblPr>
        <w:tblW w:w="0" w:type="auto"/>
        <w:tblCellMar>
          <w:left w:w="0" w:type="dxa"/>
          <w:right w:w="0" w:type="dxa"/>
        </w:tblCellMar>
        <w:tblLook w:val="04A0" w:firstRow="1" w:lastRow="0" w:firstColumn="1" w:lastColumn="0" w:noHBand="0" w:noVBand="1"/>
      </w:tblPr>
      <w:tblGrid>
        <w:gridCol w:w="9287"/>
      </w:tblGrid>
      <w:tr w:rsidR="00CD322A" w:rsidRPr="00CD322A" w:rsidTr="00CD322A">
        <w:trPr>
          <w:cantSplit/>
        </w:trPr>
        <w:tc>
          <w:tcPr>
            <w:tcW w:w="9287" w:type="dxa"/>
            <w:tcMar>
              <w:top w:w="0" w:type="dxa"/>
              <w:left w:w="0" w:type="dxa"/>
              <w:bottom w:w="0" w:type="dxa"/>
              <w:right w:w="28" w:type="dxa"/>
            </w:tcMar>
            <w:hideMark/>
          </w:tcPr>
          <w:p w:rsidR="00DE5EB3" w:rsidRPr="00CD322A" w:rsidRDefault="00DE5EB3" w:rsidP="00880A66">
            <w:pPr>
              <w:spacing w:before="100" w:beforeAutospacing="1" w:after="100" w:afterAutospacing="1"/>
              <w:jc w:val="both"/>
              <w:rPr>
                <w:szCs w:val="24"/>
              </w:rPr>
            </w:pPr>
          </w:p>
        </w:tc>
      </w:tr>
    </w:tbl>
    <w:p w:rsidR="00EC586A" w:rsidRPr="00EC586A" w:rsidRDefault="008611B9" w:rsidP="00EC586A">
      <w:pPr>
        <w:ind w:firstLine="720"/>
        <w:jc w:val="both"/>
        <w:rPr>
          <w:bCs/>
        </w:rPr>
      </w:pPr>
      <w:r>
        <w:rPr>
          <w:bCs/>
        </w:rPr>
        <w:t>Lietuvos Respublikos f</w:t>
      </w:r>
      <w:r w:rsidR="00EC586A">
        <w:rPr>
          <w:bCs/>
        </w:rPr>
        <w:t xml:space="preserve">inansų ministerija </w:t>
      </w:r>
      <w:r w:rsidR="00EC586A" w:rsidRPr="00EC586A">
        <w:rPr>
          <w:bCs/>
        </w:rPr>
        <w:t xml:space="preserve">teikia </w:t>
      </w:r>
      <w:r w:rsidR="009F36A2">
        <w:rPr>
          <w:bCs/>
        </w:rPr>
        <w:t xml:space="preserve">patikslintus </w:t>
      </w:r>
      <w:r w:rsidR="00EC586A" w:rsidRPr="00EC586A">
        <w:rPr>
          <w:bCs/>
        </w:rPr>
        <w:t>Lietuvos Respublikos finansinių prie</w:t>
      </w:r>
      <w:r w:rsidR="0078527B">
        <w:rPr>
          <w:bCs/>
        </w:rPr>
        <w:t>monių rinkų įstatymo Nr. X-1024</w:t>
      </w:r>
      <w:r w:rsidR="004331CC" w:rsidRPr="004331CC">
        <w:rPr>
          <w:bCs/>
        </w:rPr>
        <w:t xml:space="preserve"> 2, 3, 6, 8, 9, 13, 14, 15, 16, 29, 30, 31, </w:t>
      </w:r>
      <w:r w:rsidR="00FA583F">
        <w:rPr>
          <w:bCs/>
        </w:rPr>
        <w:t xml:space="preserve">33, </w:t>
      </w:r>
      <w:r w:rsidR="004331CC" w:rsidRPr="004331CC">
        <w:rPr>
          <w:bCs/>
        </w:rPr>
        <w:t>35, 39, 49, 50, 51, 72, 73, 76, 93, 97, 99, 102, 107, 111, 112, 114 straipsnių ir priedo pakeitimo, Įstatymo papildymo 14</w:t>
      </w:r>
      <w:r w:rsidR="004331CC" w:rsidRPr="004331CC">
        <w:rPr>
          <w:bCs/>
          <w:vertAlign w:val="superscript"/>
        </w:rPr>
        <w:t>1</w:t>
      </w:r>
      <w:r w:rsidR="004331CC" w:rsidRPr="004331CC">
        <w:rPr>
          <w:bCs/>
        </w:rPr>
        <w:t>, 14</w:t>
      </w:r>
      <w:r w:rsidR="004331CC" w:rsidRPr="004331CC">
        <w:rPr>
          <w:bCs/>
          <w:vertAlign w:val="superscript"/>
        </w:rPr>
        <w:t>2</w:t>
      </w:r>
      <w:r w:rsidR="004331CC" w:rsidRPr="004331CC">
        <w:rPr>
          <w:bCs/>
        </w:rPr>
        <w:t>, 15</w:t>
      </w:r>
      <w:r w:rsidR="004331CC" w:rsidRPr="004331CC">
        <w:rPr>
          <w:bCs/>
          <w:vertAlign w:val="superscript"/>
        </w:rPr>
        <w:t>1</w:t>
      </w:r>
      <w:r w:rsidR="004331CC" w:rsidRPr="004331CC">
        <w:rPr>
          <w:bCs/>
        </w:rPr>
        <w:t>, 15</w:t>
      </w:r>
      <w:r w:rsidR="004331CC" w:rsidRPr="004331CC">
        <w:rPr>
          <w:bCs/>
          <w:vertAlign w:val="superscript"/>
        </w:rPr>
        <w:t>2</w:t>
      </w:r>
      <w:r w:rsidR="004331CC" w:rsidRPr="004331CC">
        <w:rPr>
          <w:bCs/>
        </w:rPr>
        <w:t>, 15</w:t>
      </w:r>
      <w:r w:rsidR="004331CC" w:rsidRPr="004331CC">
        <w:rPr>
          <w:bCs/>
          <w:vertAlign w:val="superscript"/>
        </w:rPr>
        <w:t>3</w:t>
      </w:r>
      <w:r w:rsidR="004331CC" w:rsidRPr="004331CC">
        <w:rPr>
          <w:bCs/>
        </w:rPr>
        <w:t>, 15</w:t>
      </w:r>
      <w:r w:rsidR="004331CC" w:rsidRPr="004331CC">
        <w:rPr>
          <w:bCs/>
          <w:vertAlign w:val="superscript"/>
        </w:rPr>
        <w:t>4</w:t>
      </w:r>
      <w:r w:rsidR="004331CC" w:rsidRPr="004331CC">
        <w:rPr>
          <w:bCs/>
        </w:rPr>
        <w:t>, 15</w:t>
      </w:r>
      <w:r w:rsidR="004331CC" w:rsidRPr="004331CC">
        <w:rPr>
          <w:bCs/>
          <w:vertAlign w:val="superscript"/>
        </w:rPr>
        <w:t>5</w:t>
      </w:r>
      <w:r w:rsidR="004331CC" w:rsidRPr="004331CC">
        <w:rPr>
          <w:bCs/>
        </w:rPr>
        <w:t>, 15</w:t>
      </w:r>
      <w:r w:rsidR="004331CC" w:rsidRPr="004331CC">
        <w:rPr>
          <w:bCs/>
          <w:vertAlign w:val="superscript"/>
        </w:rPr>
        <w:t>6</w:t>
      </w:r>
      <w:r w:rsidR="004331CC" w:rsidRPr="004331CC">
        <w:rPr>
          <w:bCs/>
        </w:rPr>
        <w:t>, 44</w:t>
      </w:r>
      <w:r w:rsidR="004331CC" w:rsidRPr="004331CC">
        <w:rPr>
          <w:bCs/>
          <w:vertAlign w:val="superscript"/>
        </w:rPr>
        <w:t>1</w:t>
      </w:r>
      <w:r w:rsidR="004331CC" w:rsidRPr="004331CC">
        <w:rPr>
          <w:bCs/>
        </w:rPr>
        <w:t>, 107</w:t>
      </w:r>
      <w:r w:rsidR="004331CC" w:rsidRPr="004331CC">
        <w:rPr>
          <w:bCs/>
          <w:vertAlign w:val="superscript"/>
        </w:rPr>
        <w:t>1</w:t>
      </w:r>
      <w:r w:rsidR="004331CC" w:rsidRPr="004331CC">
        <w:rPr>
          <w:bCs/>
        </w:rPr>
        <w:t>, 111</w:t>
      </w:r>
      <w:r w:rsidR="004331CC" w:rsidRPr="004331CC">
        <w:rPr>
          <w:bCs/>
          <w:vertAlign w:val="superscript"/>
        </w:rPr>
        <w:t>1</w:t>
      </w:r>
      <w:r w:rsidR="004331CC" w:rsidRPr="004331CC">
        <w:rPr>
          <w:bCs/>
        </w:rPr>
        <w:t xml:space="preserve"> straipsniais ir V skyriaus pripažinimo netekusiu galios įstatymo</w:t>
      </w:r>
      <w:r w:rsidR="004331CC">
        <w:rPr>
          <w:bCs/>
        </w:rPr>
        <w:t xml:space="preserve"> projekto</w:t>
      </w:r>
      <w:r w:rsidR="004331CC" w:rsidRPr="004331CC">
        <w:rPr>
          <w:bCs/>
        </w:rPr>
        <w:t xml:space="preserve"> </w:t>
      </w:r>
      <w:r w:rsidR="004331CC">
        <w:rPr>
          <w:bCs/>
        </w:rPr>
        <w:t xml:space="preserve">(toliau – FPRĮ projektas) </w:t>
      </w:r>
      <w:r w:rsidR="00EC586A" w:rsidRPr="00EC586A">
        <w:rPr>
          <w:bCs/>
        </w:rPr>
        <w:t>ir su juo susijusių įstatymų pakeitimo įstatymų projektus (toliau kartu – įstatymų projektai).</w:t>
      </w:r>
    </w:p>
    <w:p w:rsidR="00EC586A" w:rsidRDefault="00EC586A" w:rsidP="00EC586A">
      <w:pPr>
        <w:ind w:firstLine="720"/>
        <w:jc w:val="both"/>
        <w:rPr>
          <w:bCs/>
        </w:rPr>
      </w:pPr>
      <w:r w:rsidRPr="00EC586A">
        <w:rPr>
          <w:bCs/>
        </w:rPr>
        <w:t xml:space="preserve">Įstatymų projektai parengti siekiant perkelti 2019 m. lapkričio 27 d. Europos Parlamento ir Tarybos direktyvos (ES) 2019/2034 dėl investicinių įmonių riziką ribojančios priežiūros, kuria iš dalies keičiamos direktyvos 2002/87/EB, 2009/65/EB, 2011/61/ES, 2013/36/ES, 2014/59/ES ir 2014/65/ES (toliau – Direktyva (ES) 2019/2034), 2019 m. gruodžio </w:t>
      </w:r>
      <w:r w:rsidRPr="00EC586A">
        <w:rPr>
          <w:bCs/>
          <w:lang w:val="en-US"/>
        </w:rPr>
        <w:t>18</w:t>
      </w:r>
      <w:r w:rsidRPr="00EC586A">
        <w:rPr>
          <w:bCs/>
        </w:rPr>
        <w:t xml:space="preserve"> d. Europos Parlamento ir Tarybos direktyvą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 (toliau – Direktyva 2019/2177), nuostatas į nacionalinę teisę ir įgyvendinant 2019 m. lapkričio 27 d. Europos Parlamento ir Tarybos reglamentą (ES) 2019/2033 dėl riziką ribojančių reikalavimų investicinėms įmonėms, kuriuo iš dalies keičiami reglamentai (ES) Nr. 1093/2010, (ES) Nr. 575/2013, (ES) Nr. 600/2014 ir (ES) Nr. 806/2014 (toliau – Reglamentas 2019/2033), 2020 m. spalio 7 d. Europos Parlamento ir Tarybos reglamentą (ES) 2020/1503 dėl Europos sutelktinio finansavimo paslaugų verslui teikėjų, kuriuo iš dalies keičiamas Reglamentas (ES) 2017/1129 ir Direktyva (ES) 2019/1937 (toliau – Reglamentas 2020/1503), ir 2021 m. vasario 10 d. Europos Parlamento ir Tarybos reglamentą (ES) 2021/168, kuriuo iš dalies keičiamas Reglamentas (ES) 2016/1011, kiek tai susiję su tam tikriems trečiųjų šalių neatidėliotino užsienio valiutos kurso lyginamiesiems indeksams taikoma išimtimi ir tam tikrus lyginamuosius indeksus, kurių teikimas nutraukiamas, pakeičiančių pakaitinių lyginamųjų indeksų nustatymu, ir iš dalies keičiamas Reglamentas (ES) Nr. 648/2012 (toliau – Reglamentas 2021/168). </w:t>
      </w:r>
    </w:p>
    <w:p w:rsidR="009F36A2" w:rsidRPr="00EC586A" w:rsidRDefault="009F36A2" w:rsidP="003F5110">
      <w:pPr>
        <w:ind w:firstLine="720"/>
        <w:jc w:val="both"/>
        <w:rPr>
          <w:bCs/>
        </w:rPr>
      </w:pPr>
      <w:r>
        <w:rPr>
          <w:bCs/>
        </w:rPr>
        <w:t xml:space="preserve">Siekiant teisėkūros ekonomiškumo, </w:t>
      </w:r>
      <w:r w:rsidR="004331CC">
        <w:rPr>
          <w:bCs/>
        </w:rPr>
        <w:t>FPRĮ projektas</w:t>
      </w:r>
      <w:r w:rsidR="002535C3">
        <w:rPr>
          <w:bCs/>
        </w:rPr>
        <w:t xml:space="preserve"> papildytas nuostatomis, kurios perkelia </w:t>
      </w:r>
      <w:r w:rsidR="002535C3" w:rsidRPr="002535C3">
        <w:rPr>
          <w:bCs/>
        </w:rPr>
        <w:t>2021 m. vasario 16 d. Europos Parlamento ir Tarybos direktyvą (ES) 2021/338, kuria iš dalies keičiama Direktyva 2014/65/ES, kiek tai susiję su informacijos teikimo reikalavimais, produktų valdymu ir pozicijų apribojimais, ir direktyvos 2013/36/ES bei (ES) 2019/878, kiek tai susiję su jų taikymu investicinėms įmonėms, siekiant paskatinti atsigavimą nuo COVID-19 krizės</w:t>
      </w:r>
      <w:r w:rsidR="003F5110">
        <w:rPr>
          <w:bCs/>
        </w:rPr>
        <w:t xml:space="preserve"> (toliau – Direktyva 2021/338)</w:t>
      </w:r>
      <w:r w:rsidR="00CA3EAD">
        <w:rPr>
          <w:bCs/>
        </w:rPr>
        <w:t>,</w:t>
      </w:r>
      <w:r w:rsidR="002535C3">
        <w:rPr>
          <w:bCs/>
        </w:rPr>
        <w:t xml:space="preserve"> ir įgyvendina </w:t>
      </w:r>
      <w:r w:rsidR="002535C3" w:rsidRPr="002535C3">
        <w:rPr>
          <w:bCs/>
        </w:rPr>
        <w:t>2019 m. lapkričio 27 d. Europos Parlamento ir Tarybos reglamentą (ES) 2019/2088 dėl su tvarumu susijusios informacijos atskleidimo finansinių</w:t>
      </w:r>
      <w:r w:rsidR="002535C3">
        <w:rPr>
          <w:bCs/>
        </w:rPr>
        <w:t xml:space="preserve"> paslaugų sektoriuje taikymo</w:t>
      </w:r>
      <w:r w:rsidR="002535C3" w:rsidRPr="002535C3">
        <w:rPr>
          <w:bCs/>
        </w:rPr>
        <w:t>, 2020 m. birželio 18 d. Europos Parlamento ir Tarybos reglamentą (ES) 2020/852 dėl sistemos tvariam investavimui palengvinti sukūrimo, kuriuo iš dalies keičiamas Reglamentas (ES) 2019/</w:t>
      </w:r>
      <w:r w:rsidR="002535C3" w:rsidRPr="002535C3">
        <w:rPr>
          <w:bCs/>
          <w:lang w:val="en-US"/>
        </w:rPr>
        <w:t>2088</w:t>
      </w:r>
      <w:r w:rsidR="002535C3">
        <w:rPr>
          <w:bCs/>
          <w:lang w:val="en-US"/>
        </w:rPr>
        <w:t xml:space="preserve">, </w:t>
      </w:r>
      <w:r w:rsidR="002535C3">
        <w:rPr>
          <w:bCs/>
        </w:rPr>
        <w:t xml:space="preserve">2021 m. vasario 16 d. </w:t>
      </w:r>
      <w:r w:rsidR="002535C3" w:rsidRPr="002535C3">
        <w:rPr>
          <w:bCs/>
        </w:rPr>
        <w:t xml:space="preserve">Europos Parlamento ir Tarybos reglamentą (ES) 2021/337, kuriuo iš dalies keičiamas Reglamentas (ES) 2017/1129, kiek tai susiję su ES atsigavimo prospektu ir finansų tarpininkams skirtais tiksliniais pakeitimais, ir Direktyva 2004/109/EB, kiek tai susiję su vieno </w:t>
      </w:r>
      <w:r w:rsidR="002535C3" w:rsidRPr="002535C3">
        <w:rPr>
          <w:bCs/>
        </w:rPr>
        <w:lastRenderedPageBreak/>
        <w:t>elektroninio ataskaitų teikimo formato naudojimu teikiant metines finansines ataskaitas, siekiant paremti ekonomikos atsigavimą nuo COVID-19 krizės</w:t>
      </w:r>
      <w:r w:rsidR="002535C3">
        <w:rPr>
          <w:bCs/>
        </w:rPr>
        <w:t xml:space="preserve">. </w:t>
      </w:r>
    </w:p>
    <w:p w:rsidR="00761CCF" w:rsidRDefault="003F5110" w:rsidP="006867A1">
      <w:pPr>
        <w:ind w:firstLine="720"/>
        <w:jc w:val="both"/>
        <w:rPr>
          <w:bCs/>
        </w:rPr>
      </w:pPr>
      <w:r>
        <w:rPr>
          <w:bCs/>
        </w:rPr>
        <w:t>T</w:t>
      </w:r>
      <w:r w:rsidR="00761CCF">
        <w:rPr>
          <w:bCs/>
        </w:rPr>
        <w:t>eikiame glaustą analitinę informaciją apie įstatymų projektus:</w:t>
      </w:r>
    </w:p>
    <w:tbl>
      <w:tblPr>
        <w:tblStyle w:val="Lentelstinklelis"/>
        <w:tblW w:w="0" w:type="auto"/>
        <w:tblLook w:val="04A0" w:firstRow="1" w:lastRow="0" w:firstColumn="1" w:lastColumn="0" w:noHBand="0" w:noVBand="1"/>
      </w:tblPr>
      <w:tblGrid>
        <w:gridCol w:w="2802"/>
        <w:gridCol w:w="7335"/>
      </w:tblGrid>
      <w:tr w:rsidR="00761CCF" w:rsidTr="0037234D">
        <w:tc>
          <w:tcPr>
            <w:tcW w:w="2802" w:type="dxa"/>
          </w:tcPr>
          <w:p w:rsidR="00761CCF" w:rsidRPr="00747B84" w:rsidRDefault="00761CCF" w:rsidP="0037234D">
            <w:pPr>
              <w:jc w:val="both"/>
              <w:rPr>
                <w:bCs/>
              </w:rPr>
            </w:pPr>
            <w:r>
              <w:rPr>
                <w:bCs/>
              </w:rPr>
              <w:t>I. Sprendžiama problema</w:t>
            </w:r>
          </w:p>
        </w:tc>
        <w:tc>
          <w:tcPr>
            <w:tcW w:w="7335" w:type="dxa"/>
          </w:tcPr>
          <w:p w:rsidR="00EC586A" w:rsidRPr="00EC586A" w:rsidRDefault="006867A1" w:rsidP="00EC586A">
            <w:pPr>
              <w:jc w:val="both"/>
              <w:rPr>
                <w:bCs/>
              </w:rPr>
            </w:pPr>
            <w:r>
              <w:rPr>
                <w:bCs/>
              </w:rPr>
              <w:t xml:space="preserve">- </w:t>
            </w:r>
            <w:r w:rsidR="00EC586A" w:rsidRPr="00EC586A">
              <w:rPr>
                <w:bCs/>
              </w:rPr>
              <w:t>Direktyvos 2019/2034 ir Reglamento 2019/2033 pagrindinis tikslas – nustatyti riziką ribojančius ir riziką ribojančios priežiūros reikalavimus, kurie būtų tinkami ir proporcingi finansų maklerio įmonės veiklos pobūdžiui, dydžiui ir prisiimtai rizikai. Šių teisės aktų nuostatos taikomos finansų maklerio įmonėms, kurios vykdo veiklą pagal licenciją, išduo</w:t>
            </w:r>
            <w:r w:rsidR="00FE21B0">
              <w:rPr>
                <w:bCs/>
              </w:rPr>
              <w:t>t</w:t>
            </w:r>
            <w:r w:rsidR="00EC586A" w:rsidRPr="00EC586A">
              <w:rPr>
                <w:bCs/>
              </w:rPr>
              <w:t>ą</w:t>
            </w:r>
            <w:r w:rsidR="00EC5FE3">
              <w:rPr>
                <w:bCs/>
              </w:rPr>
              <w:t xml:space="preserve"> Lietuvos Respublikos f</w:t>
            </w:r>
            <w:r w:rsidR="00EC586A" w:rsidRPr="00EC586A">
              <w:rPr>
                <w:bCs/>
              </w:rPr>
              <w:t>inansinių priemonių rinkų įstatymo</w:t>
            </w:r>
            <w:r>
              <w:rPr>
                <w:bCs/>
              </w:rPr>
              <w:t xml:space="preserve"> (toliau – FPRĮ)</w:t>
            </w:r>
            <w:r w:rsidR="00EC586A" w:rsidRPr="00EC586A">
              <w:rPr>
                <w:bCs/>
              </w:rPr>
              <w:t xml:space="preserve"> nustatyta tvarka. </w:t>
            </w:r>
          </w:p>
          <w:p w:rsidR="00EC586A" w:rsidRPr="00EC586A" w:rsidRDefault="006867A1" w:rsidP="00EC586A">
            <w:pPr>
              <w:jc w:val="both"/>
              <w:rPr>
                <w:bCs/>
              </w:rPr>
            </w:pPr>
            <w:r>
              <w:rPr>
                <w:bCs/>
              </w:rPr>
              <w:t xml:space="preserve">- </w:t>
            </w:r>
            <w:r w:rsidR="00EC586A" w:rsidRPr="00EC586A">
              <w:rPr>
                <w:bCs/>
              </w:rPr>
              <w:t xml:space="preserve">Direktyvos </w:t>
            </w:r>
            <w:r w:rsidR="00EC586A" w:rsidRPr="00EC586A">
              <w:rPr>
                <w:bCs/>
                <w:lang w:val="en-US"/>
              </w:rPr>
              <w:t xml:space="preserve">2019/2177 </w:t>
            </w:r>
            <w:r w:rsidR="00EC586A" w:rsidRPr="00EC586A">
              <w:rPr>
                <w:bCs/>
              </w:rPr>
              <w:t>1 straipsnio nuostatų tikslas – informacijos apie finansinių priemonių sandorius pranešimo paslaugų teikėjų priežiūrą ir veiklos leidimų išdavimą iš nacionalinių kompetentingų institucijų perduoti Europos vertybinių popierių ir rinkų institucijai.</w:t>
            </w:r>
            <w:r>
              <w:rPr>
                <w:bCs/>
              </w:rPr>
              <w:t xml:space="preserve"> </w:t>
            </w:r>
            <w:r w:rsidR="00EC586A" w:rsidRPr="00EC586A">
              <w:rPr>
                <w:bCs/>
              </w:rPr>
              <w:t>Atsižvelgiant į tai, kad finansų maklerio įmonių ir informacijos apie sandorius pranešimo paslaugų teikėjų veiklos reglamen</w:t>
            </w:r>
            <w:r>
              <w:rPr>
                <w:bCs/>
              </w:rPr>
              <w:t>tavimas šiuo metu nustatytas FPRĮ</w:t>
            </w:r>
            <w:r w:rsidR="00EC586A" w:rsidRPr="00EC586A">
              <w:rPr>
                <w:bCs/>
                <w:lang w:val="en-US"/>
              </w:rPr>
              <w:t xml:space="preserve">, </w:t>
            </w:r>
            <w:r>
              <w:rPr>
                <w:bCs/>
              </w:rPr>
              <w:t>siūloma šiame įstatyme atsisakyti nuostatų, kurios E</w:t>
            </w:r>
            <w:r w:rsidR="00EC5FE3">
              <w:rPr>
                <w:bCs/>
              </w:rPr>
              <w:t xml:space="preserve">uropos </w:t>
            </w:r>
            <w:r>
              <w:rPr>
                <w:bCs/>
              </w:rPr>
              <w:t>S</w:t>
            </w:r>
            <w:r w:rsidR="00EC5FE3">
              <w:rPr>
                <w:bCs/>
              </w:rPr>
              <w:t>ąjungoje</w:t>
            </w:r>
            <w:r>
              <w:rPr>
                <w:bCs/>
              </w:rPr>
              <w:t xml:space="preserve"> bus tiesioginio taikymo įsigaliojus </w:t>
            </w:r>
            <w:r w:rsidRPr="006867A1">
              <w:rPr>
                <w:bCs/>
              </w:rPr>
              <w:t>Europos Parlamento ir Tarybos reglamento (ES) Nr. 600/2014 dėl finansinių priemonių rinkų, kuriuo iš dalies keičiamas Reglamentas (ES) Nr. 648/2012</w:t>
            </w:r>
            <w:r w:rsidR="00CA3EAD">
              <w:rPr>
                <w:bCs/>
              </w:rPr>
              <w:t>,</w:t>
            </w:r>
            <w:r>
              <w:rPr>
                <w:bCs/>
              </w:rPr>
              <w:t xml:space="preserve"> paskutiniams pakeitimams</w:t>
            </w:r>
            <w:r w:rsidR="00EC586A" w:rsidRPr="00EC586A">
              <w:rPr>
                <w:bCs/>
              </w:rPr>
              <w:t>.</w:t>
            </w:r>
          </w:p>
          <w:p w:rsidR="00EC586A" w:rsidRPr="00EC586A" w:rsidRDefault="006867A1" w:rsidP="00EC586A">
            <w:pPr>
              <w:jc w:val="both"/>
              <w:rPr>
                <w:bCs/>
              </w:rPr>
            </w:pPr>
            <w:r>
              <w:rPr>
                <w:bCs/>
              </w:rPr>
              <w:t xml:space="preserve">- </w:t>
            </w:r>
            <w:r w:rsidR="00EC586A" w:rsidRPr="00EC586A">
              <w:rPr>
                <w:bCs/>
              </w:rPr>
              <w:t>Reglamentu 2020/1503 įtvirtinamas europinis sutelktinio finansavimo paslaugų teikėjų veiklos reguliavimas, todėl būtina panaikinti nacionalinio reguliavimo nuostatas, t. y. pripažinti netekusiu galios Lietuvos Respublikos sutelktinio finansavimo įstatymą. Taip pat įgyvendinant Reglamentą 2020/1503 būtina nustatyti, kad Lietuvos bankas įgyvendina Reglamente 2020/1503 kompetentingai institucijai nustatytas teises ir pareigas, įtvirtinti poveikio priemones (įskaitant pinigines baudas) asmenims, pažeidžiantiems Reglamente 2020/1503 nustatytus reikalavimus, bei poveikio priemonių tokiems asmenims taikymo pagrindus ir kt. Reglamento 2020/1503 nuostatas, susijusias su poveikio priemonėmis ir jų taikymo pag</w:t>
            </w:r>
            <w:r w:rsidR="0078527B">
              <w:rPr>
                <w:bCs/>
              </w:rPr>
              <w:t>rindais, siūloma įgyvendinti FPRĮ</w:t>
            </w:r>
            <w:r w:rsidR="00EC586A" w:rsidRPr="00EC586A">
              <w:rPr>
                <w:bCs/>
              </w:rPr>
              <w:t>.</w:t>
            </w:r>
          </w:p>
          <w:p w:rsidR="00761CCF" w:rsidRDefault="006867A1" w:rsidP="0037234D">
            <w:pPr>
              <w:jc w:val="both"/>
              <w:rPr>
                <w:bCs/>
              </w:rPr>
            </w:pPr>
            <w:r>
              <w:rPr>
                <w:bCs/>
              </w:rPr>
              <w:t xml:space="preserve">- </w:t>
            </w:r>
            <w:r w:rsidR="00EC586A" w:rsidRPr="00EC586A">
              <w:rPr>
                <w:bCs/>
              </w:rPr>
              <w:t>Siekiant įgyvendinti Reglamentą 2</w:t>
            </w:r>
            <w:r w:rsidR="0078527B">
              <w:rPr>
                <w:bCs/>
              </w:rPr>
              <w:t>021/168, numatoma FPRĮ</w:t>
            </w:r>
            <w:r w:rsidR="00EC586A" w:rsidRPr="00EC586A">
              <w:rPr>
                <w:bCs/>
              </w:rPr>
              <w:t xml:space="preserve"> paskirti Lietuvos banką institucija, kuri atliktų šiuo Reglamentu keičiamo 2016 m. birželio 8 d. Europos Parlamento ir Tarybos reglamento (ES) 2016/1011 dėl indeksų, kurie kaip lyginamieji indeksai naudojami finansinėse priemonėse ir finansinėse sutartyse arba siekiant įvertinti investicinių fondų veiklos rezultatus, kuriuo iš dalies keičiami direktyvos 2008/48/EB ir 2014/17/ES bei Reglamentas (ES) Nr. 596/2014, 23b straipsnio 5 dalies a punkte nurodytą vertinimą.</w:t>
            </w:r>
          </w:p>
          <w:p w:rsidR="003F5110" w:rsidRDefault="003F5110" w:rsidP="0037234D">
            <w:pPr>
              <w:jc w:val="both"/>
              <w:rPr>
                <w:bCs/>
              </w:rPr>
            </w:pPr>
            <w:r>
              <w:rPr>
                <w:bCs/>
              </w:rPr>
              <w:t xml:space="preserve">- </w:t>
            </w:r>
            <w:r w:rsidRPr="003F5110">
              <w:rPr>
                <w:bCs/>
              </w:rPr>
              <w:t>Perkeliant į nacionalinę teisę Direktyvos 2021/338 nuostatas, finansų maklerio įmonėms siekiama sudaryti palankesnes sąlygas teikti investicines paslaugas ir vykdyti investicinę veiklą, atsižvelgiant į kiekvienos kategorijos investuotojų ypatumus bei jų apsaugą.</w:t>
            </w:r>
          </w:p>
        </w:tc>
      </w:tr>
      <w:tr w:rsidR="00761CCF" w:rsidTr="0037234D">
        <w:tc>
          <w:tcPr>
            <w:tcW w:w="2802" w:type="dxa"/>
          </w:tcPr>
          <w:p w:rsidR="00761CCF" w:rsidRDefault="00761CCF" w:rsidP="0037234D">
            <w:pPr>
              <w:jc w:val="both"/>
              <w:rPr>
                <w:bCs/>
              </w:rPr>
            </w:pPr>
            <w:r>
              <w:rPr>
                <w:bCs/>
              </w:rPr>
              <w:t>II. Siūlomos priemonės</w:t>
            </w:r>
          </w:p>
        </w:tc>
        <w:tc>
          <w:tcPr>
            <w:tcW w:w="7335" w:type="dxa"/>
          </w:tcPr>
          <w:p w:rsidR="006867A1" w:rsidRDefault="006867A1" w:rsidP="006867A1">
            <w:pPr>
              <w:jc w:val="both"/>
              <w:rPr>
                <w:bCs/>
              </w:rPr>
            </w:pPr>
            <w:r>
              <w:rPr>
                <w:bCs/>
              </w:rPr>
              <w:t>Siekiant perkelti Direktyvos 2019/</w:t>
            </w:r>
            <w:r w:rsidR="00C559A3">
              <w:rPr>
                <w:bCs/>
              </w:rPr>
              <w:t>2034 ir įgyventi Reglamento 2019/2033 nuostatas, siūloma:</w:t>
            </w:r>
          </w:p>
          <w:p w:rsidR="00C559A3" w:rsidRDefault="00C559A3" w:rsidP="00C559A3">
            <w:pPr>
              <w:pStyle w:val="Sraopastraipa"/>
              <w:numPr>
                <w:ilvl w:val="0"/>
                <w:numId w:val="11"/>
              </w:numPr>
              <w:jc w:val="both"/>
              <w:rPr>
                <w:bCs/>
              </w:rPr>
            </w:pPr>
            <w:r>
              <w:rPr>
                <w:bCs/>
              </w:rPr>
              <w:t>nustatyti finansų ma</w:t>
            </w:r>
            <w:r w:rsidR="00EC5FE3">
              <w:rPr>
                <w:bCs/>
              </w:rPr>
              <w:t>klerio įmonių pradinio kapitalo</w:t>
            </w:r>
            <w:r>
              <w:rPr>
                <w:bCs/>
              </w:rPr>
              <w:t>, kuris būtų</w:t>
            </w:r>
            <w:r w:rsidRPr="00C559A3">
              <w:rPr>
                <w:bCs/>
              </w:rPr>
              <w:t xml:space="preserve"> grindžiamas paslaugomis ir veikla, kurioms teikti ir kurią vykdyti finansų maklerio įmonė turi licenciją</w:t>
            </w:r>
            <w:r w:rsidR="00EC5FE3">
              <w:rPr>
                <w:bCs/>
              </w:rPr>
              <w:t>, dydžius</w:t>
            </w:r>
            <w:r>
              <w:rPr>
                <w:bCs/>
              </w:rPr>
              <w:t>;</w:t>
            </w:r>
          </w:p>
          <w:p w:rsidR="00C559A3" w:rsidRDefault="00C559A3" w:rsidP="00C559A3">
            <w:pPr>
              <w:pStyle w:val="Sraopastraipa"/>
              <w:numPr>
                <w:ilvl w:val="0"/>
                <w:numId w:val="11"/>
              </w:numPr>
              <w:jc w:val="both"/>
              <w:rPr>
                <w:bCs/>
              </w:rPr>
            </w:pPr>
            <w:r w:rsidRPr="00C559A3">
              <w:rPr>
                <w:bCs/>
              </w:rPr>
              <w:t xml:space="preserve">nustatyti, kad </w:t>
            </w:r>
            <w:r>
              <w:rPr>
                <w:bCs/>
              </w:rPr>
              <w:t xml:space="preserve">finansų maklerio įmonės </w:t>
            </w:r>
            <w:r w:rsidRPr="00C559A3">
              <w:rPr>
                <w:bCs/>
              </w:rPr>
              <w:t>atlygio politika, kintamojo atlygio apskaičiavimo modeliai būtų aiškiai dokumentuoti ir proporcingi finansų maklerio įmonės dydžiui, vidaus organizacinei struktūrai, veiklos mastui ir sudėtingumui</w:t>
            </w:r>
            <w:r>
              <w:rPr>
                <w:bCs/>
              </w:rPr>
              <w:t>;</w:t>
            </w:r>
          </w:p>
          <w:p w:rsidR="00C559A3" w:rsidRDefault="00C559A3" w:rsidP="006867A1">
            <w:pPr>
              <w:pStyle w:val="Sraopastraipa"/>
              <w:numPr>
                <w:ilvl w:val="0"/>
                <w:numId w:val="11"/>
              </w:numPr>
              <w:jc w:val="both"/>
              <w:rPr>
                <w:bCs/>
              </w:rPr>
            </w:pPr>
            <w:r w:rsidRPr="00C559A3">
              <w:rPr>
                <w:bCs/>
              </w:rPr>
              <w:t xml:space="preserve">nustatyti, kad finansų maklerio įmonė taikytų patikimas rizikos </w:t>
            </w:r>
            <w:r w:rsidRPr="00C559A3">
              <w:rPr>
                <w:bCs/>
              </w:rPr>
              <w:lastRenderedPageBreak/>
              <w:t>valdymo politikas ir strategijas, o rizikos, su kuriomis ji susiduria, būtų visiškai padengtos</w:t>
            </w:r>
            <w:r>
              <w:rPr>
                <w:bCs/>
              </w:rPr>
              <w:t>;</w:t>
            </w:r>
          </w:p>
          <w:p w:rsidR="00C559A3" w:rsidRDefault="00C559A3" w:rsidP="00C559A3">
            <w:pPr>
              <w:pStyle w:val="Sraopastraipa"/>
              <w:numPr>
                <w:ilvl w:val="0"/>
                <w:numId w:val="11"/>
              </w:numPr>
              <w:jc w:val="both"/>
              <w:rPr>
                <w:bCs/>
              </w:rPr>
            </w:pPr>
            <w:r w:rsidRPr="00C559A3">
              <w:rPr>
                <w:bCs/>
              </w:rPr>
              <w:t>nustatyti reikalavimą finansų maklerio įmonei nustatyti vidaus procedūras savo likvidumo reikalavimams stebėti ir valdyti.</w:t>
            </w:r>
          </w:p>
          <w:p w:rsidR="006867A1" w:rsidRPr="00C559A3" w:rsidRDefault="006867A1" w:rsidP="00C559A3">
            <w:pPr>
              <w:jc w:val="both"/>
              <w:rPr>
                <w:bCs/>
              </w:rPr>
            </w:pPr>
            <w:r w:rsidRPr="00C559A3">
              <w:rPr>
                <w:bCs/>
              </w:rPr>
              <w:t>Siekiant įgyvendinti Regla</w:t>
            </w:r>
            <w:r w:rsidR="00C559A3" w:rsidRPr="00C559A3">
              <w:rPr>
                <w:bCs/>
              </w:rPr>
              <w:t>mento 2020/1503 nuostatas, siūloma</w:t>
            </w:r>
            <w:r w:rsidRPr="00C559A3">
              <w:rPr>
                <w:bCs/>
              </w:rPr>
              <w:t>:</w:t>
            </w:r>
          </w:p>
          <w:p w:rsidR="006867A1" w:rsidRPr="006867A1" w:rsidRDefault="006867A1" w:rsidP="006867A1">
            <w:pPr>
              <w:numPr>
                <w:ilvl w:val="0"/>
                <w:numId w:val="10"/>
              </w:numPr>
              <w:jc w:val="both"/>
              <w:rPr>
                <w:bCs/>
              </w:rPr>
            </w:pPr>
            <w:r w:rsidRPr="006867A1">
              <w:rPr>
                <w:bCs/>
              </w:rPr>
              <w:t>nustatyti, kad Lietuvos bankas įgyvendina Reglamente 2020/1503 kompetentingai institucijai nustatytas teises ir pareigas;</w:t>
            </w:r>
          </w:p>
          <w:p w:rsidR="006867A1" w:rsidRPr="006867A1" w:rsidRDefault="006867A1" w:rsidP="006867A1">
            <w:pPr>
              <w:numPr>
                <w:ilvl w:val="0"/>
                <w:numId w:val="10"/>
              </w:numPr>
              <w:jc w:val="both"/>
              <w:rPr>
                <w:bCs/>
              </w:rPr>
            </w:pPr>
            <w:r w:rsidRPr="006867A1">
              <w:rPr>
                <w:bCs/>
              </w:rPr>
              <w:t>atsižvelgiant į tai, kad Lietuvos bankas paskiriamas atlikti kompetentingos institucijos funkcijas pagal Reglamentą 2020/1503, papildyti galiojančiuose įstatymuose įtvirtintus priežiūros institucijos įgaliojimus;</w:t>
            </w:r>
          </w:p>
          <w:p w:rsidR="00761CCF" w:rsidRDefault="006867A1" w:rsidP="0037234D">
            <w:pPr>
              <w:numPr>
                <w:ilvl w:val="0"/>
                <w:numId w:val="10"/>
              </w:numPr>
              <w:jc w:val="both"/>
              <w:rPr>
                <w:bCs/>
              </w:rPr>
            </w:pPr>
            <w:r w:rsidRPr="006867A1">
              <w:rPr>
                <w:bCs/>
              </w:rPr>
              <w:t xml:space="preserve">įtvirtinti poveikio priemones (įskaitant pinigines baudas) asmenims, pažeidžiantiems Reglamente 2020/1503 nustatytus reikalavimus, bei poveikio priemonių tokiems asmenims taikymo pagrindus ir kt. </w:t>
            </w:r>
          </w:p>
          <w:p w:rsidR="004331CC" w:rsidRPr="006867A1" w:rsidRDefault="004331CC" w:rsidP="004331CC">
            <w:pPr>
              <w:jc w:val="both"/>
              <w:rPr>
                <w:bCs/>
              </w:rPr>
            </w:pPr>
            <w:r w:rsidRPr="004331CC">
              <w:rPr>
                <w:bCs/>
              </w:rPr>
              <w:t>Siekiant įgyvendinti Reglamentą 2019/2088 ir Reglamentą 2020/852, FPRĮ būtina nustatyti, kad Lietuvos bankas įgyvendina šiuose reglamentuose kompetentingai institucijai nustatytas teises ir pareigas.</w:t>
            </w:r>
          </w:p>
        </w:tc>
      </w:tr>
      <w:tr w:rsidR="00761CCF" w:rsidTr="0037234D">
        <w:tc>
          <w:tcPr>
            <w:tcW w:w="2802" w:type="dxa"/>
          </w:tcPr>
          <w:p w:rsidR="00761CCF" w:rsidRDefault="00761CCF" w:rsidP="0037234D">
            <w:pPr>
              <w:jc w:val="both"/>
              <w:rPr>
                <w:bCs/>
              </w:rPr>
            </w:pPr>
            <w:r>
              <w:rPr>
                <w:bCs/>
              </w:rPr>
              <w:lastRenderedPageBreak/>
              <w:t>III. Priemonių kaštai</w:t>
            </w:r>
          </w:p>
        </w:tc>
        <w:tc>
          <w:tcPr>
            <w:tcW w:w="7335" w:type="dxa"/>
          </w:tcPr>
          <w:p w:rsidR="00761CCF" w:rsidRDefault="00761CCF" w:rsidP="0037234D">
            <w:pPr>
              <w:jc w:val="both"/>
              <w:rPr>
                <w:bCs/>
              </w:rPr>
            </w:pPr>
            <w:r>
              <w:rPr>
                <w:bCs/>
              </w:rPr>
              <w:t>Įstatymų projektams įgyvendinti Lietuvos Respublikos biudžeto lėšų nereikės.</w:t>
            </w:r>
          </w:p>
        </w:tc>
      </w:tr>
      <w:tr w:rsidR="00761CCF" w:rsidTr="0037234D">
        <w:tc>
          <w:tcPr>
            <w:tcW w:w="2802" w:type="dxa"/>
          </w:tcPr>
          <w:p w:rsidR="00761CCF" w:rsidRDefault="00761CCF" w:rsidP="0037234D">
            <w:pPr>
              <w:jc w:val="both"/>
              <w:rPr>
                <w:bCs/>
              </w:rPr>
            </w:pPr>
            <w:r>
              <w:rPr>
                <w:bCs/>
              </w:rPr>
              <w:t>IV. Nauda visuomenei</w:t>
            </w:r>
          </w:p>
        </w:tc>
        <w:tc>
          <w:tcPr>
            <w:tcW w:w="7335" w:type="dxa"/>
          </w:tcPr>
          <w:p w:rsidR="00757705" w:rsidRPr="00757705" w:rsidRDefault="00757705" w:rsidP="00757705">
            <w:pPr>
              <w:jc w:val="both"/>
              <w:rPr>
                <w:bCs/>
              </w:rPr>
            </w:pPr>
            <w:r w:rsidRPr="00757705">
              <w:rPr>
                <w:bCs/>
              </w:rPr>
              <w:t xml:space="preserve">Reglamentavimas bus labiau pritaikytas finansų maklerio įmonių veiklos specifikai. Naujos taisyklės leis geriau valdyti finansų maklerio įmonių riziką, kurią jos gali kelti visai finansų sistemai.  </w:t>
            </w:r>
          </w:p>
          <w:p w:rsidR="00757705" w:rsidRPr="00757705" w:rsidRDefault="00757705" w:rsidP="00757705">
            <w:pPr>
              <w:jc w:val="both"/>
              <w:rPr>
                <w:bCs/>
              </w:rPr>
            </w:pPr>
            <w:r w:rsidRPr="00757705">
              <w:rPr>
                <w:bCs/>
              </w:rPr>
              <w:t>Siekiama išvengti neproporcingos naštos finansų maklerio įmonėms nustatymo, pasiekti pusiausvyrą užtikrinant įmonių saugumą ir patikimumą ir vengiant pernelyg didelių išlaidų, kurios galėtų pakenkti tų įmonių verslo veiklos gyvybingumui.</w:t>
            </w:r>
          </w:p>
          <w:p w:rsidR="00761CCF" w:rsidRDefault="00757705" w:rsidP="0037234D">
            <w:pPr>
              <w:jc w:val="both"/>
              <w:rPr>
                <w:bCs/>
              </w:rPr>
            </w:pPr>
            <w:r w:rsidRPr="00757705">
              <w:rPr>
                <w:bCs/>
              </w:rPr>
              <w:t>Padidės sutelktinio finansavimo paslaugų teikėjų konkurencija, bus sudarytos geresnės galimybės smulkiajam ir vidutiniam verslui gauti finansavimą ir pritraukti daugiau investicijų. Taip pat bus užtikrintas aukštesnis investuotojų apsaugos lygis. Lietuvos sutelktinio finansavimo platformų operatoriams bus sudaryta galimybė plėsti veiklą ir sutelktinio finansavimo paslaugas teikti kitose E</w:t>
            </w:r>
            <w:r w:rsidR="00834D79">
              <w:rPr>
                <w:bCs/>
              </w:rPr>
              <w:t xml:space="preserve">uropos </w:t>
            </w:r>
            <w:r w:rsidRPr="00757705">
              <w:rPr>
                <w:bCs/>
              </w:rPr>
              <w:t>S</w:t>
            </w:r>
            <w:r w:rsidR="00834D79">
              <w:rPr>
                <w:bCs/>
              </w:rPr>
              <w:t>ąjungos</w:t>
            </w:r>
            <w:r w:rsidRPr="00757705">
              <w:rPr>
                <w:bCs/>
              </w:rPr>
              <w:t xml:space="preserve"> valstybėse narėse.</w:t>
            </w:r>
          </w:p>
        </w:tc>
      </w:tr>
    </w:tbl>
    <w:p w:rsidR="00761CCF" w:rsidRDefault="00761CCF" w:rsidP="00761CCF">
      <w:pPr>
        <w:jc w:val="both"/>
        <w:rPr>
          <w:bCs/>
        </w:rPr>
      </w:pPr>
    </w:p>
    <w:p w:rsidR="00757705" w:rsidRPr="00757705" w:rsidRDefault="00757705" w:rsidP="00757705">
      <w:pPr>
        <w:ind w:firstLine="720"/>
        <w:jc w:val="both"/>
      </w:pPr>
      <w:r w:rsidRPr="00757705">
        <w:t>Įstatymų projektai neprieštarauja Aštuonioliktosios Lietuvos Respublikos Vyriausybės programai.</w:t>
      </w:r>
    </w:p>
    <w:p w:rsidR="00761CCF" w:rsidRDefault="00761CCF" w:rsidP="00761CCF">
      <w:pPr>
        <w:ind w:firstLine="720"/>
        <w:jc w:val="both"/>
      </w:pPr>
      <w:r>
        <w:t xml:space="preserve">Dėl įstatymų projektų konsultuotasi su visuomene, paskelbiant įstatymų projektus Lietuvos Respublikos Seimo </w:t>
      </w:r>
      <w:r w:rsidR="00CA3EAD">
        <w:t xml:space="preserve">kanceliarijos </w:t>
      </w:r>
      <w:r>
        <w:t>teisės aktų informacinės sistemos (TAIS) Projektų registravimo posistemėje. Iš visuomenės pastabų ir pasiūlymų nebuvo gauta.</w:t>
      </w:r>
    </w:p>
    <w:p w:rsidR="003F5110" w:rsidRPr="003F5110" w:rsidRDefault="00761CCF" w:rsidP="003F5110">
      <w:pPr>
        <w:ind w:firstLine="720"/>
        <w:jc w:val="both"/>
      </w:pPr>
      <w:r>
        <w:t xml:space="preserve">Įstatymų projektai buvo teikiami </w:t>
      </w:r>
      <w:r w:rsidRPr="00D905C6">
        <w:t>Lietuvos Respublikos teisingumo ministerija</w:t>
      </w:r>
      <w:r>
        <w:t xml:space="preserve">i, </w:t>
      </w:r>
      <w:r w:rsidRPr="00D905C6">
        <w:t xml:space="preserve">Lietuvos Respublikos </w:t>
      </w:r>
      <w:r>
        <w:t>ekonomikos ir inovacijų ministerij</w:t>
      </w:r>
      <w:r w:rsidR="00757705">
        <w:t>ai</w:t>
      </w:r>
      <w:r>
        <w:t xml:space="preserve">, Lietuvos bankui, </w:t>
      </w:r>
      <w:r w:rsidRPr="00D905C6">
        <w:t xml:space="preserve">Lietuvos Respublikos </w:t>
      </w:r>
      <w:r>
        <w:t>s</w:t>
      </w:r>
      <w:r w:rsidRPr="00D905C6">
        <w:t>pecialiųjų tyrimų tarnyba</w:t>
      </w:r>
      <w:r>
        <w:t xml:space="preserve">i, </w:t>
      </w:r>
      <w:r w:rsidRPr="00D905C6">
        <w:t>Finansinių nusikaltimų tyrim</w:t>
      </w:r>
      <w:r>
        <w:t>o</w:t>
      </w:r>
      <w:r w:rsidRPr="00D905C6">
        <w:t xml:space="preserve"> tarnyba</w:t>
      </w:r>
      <w:r>
        <w:t xml:space="preserve">i prie </w:t>
      </w:r>
      <w:r w:rsidR="00834D79">
        <w:t>Lietuvos Respublikos v</w:t>
      </w:r>
      <w:r>
        <w:t xml:space="preserve">idaus reikalų ministerijos, </w:t>
      </w:r>
      <w:r w:rsidRPr="00D905C6">
        <w:t>Lietuvos finansų maklerių asociacija</w:t>
      </w:r>
      <w:r>
        <w:t xml:space="preserve">i, </w:t>
      </w:r>
      <w:r w:rsidRPr="00D905C6">
        <w:t>Investuotojų asociacija</w:t>
      </w:r>
      <w:r>
        <w:t xml:space="preserve">i, </w:t>
      </w:r>
      <w:r w:rsidRPr="00D905C6">
        <w:t>Lietuvos bankų asociacija</w:t>
      </w:r>
      <w:r>
        <w:t>i, Valstybinei</w:t>
      </w:r>
      <w:r w:rsidRPr="00D905C6">
        <w:t xml:space="preserve"> duomenų apsaugos inspekcija</w:t>
      </w:r>
      <w:r>
        <w:t xml:space="preserve">i, </w:t>
      </w:r>
      <w:r w:rsidRPr="00D905C6">
        <w:t>Lietuvos pramonininkų konfederacija</w:t>
      </w:r>
      <w:r>
        <w:t xml:space="preserve">i, </w:t>
      </w:r>
      <w:r w:rsidRPr="00D905C6">
        <w:t>Lietuvos rizikos ir privataus kapitalo asociacija</w:t>
      </w:r>
      <w:r>
        <w:t>i, AB „</w:t>
      </w:r>
      <w:proofErr w:type="spellStart"/>
      <w:r w:rsidRPr="00D905C6">
        <w:t>Nasdaq</w:t>
      </w:r>
      <w:proofErr w:type="spellEnd"/>
      <w:r w:rsidRPr="00D905C6">
        <w:t xml:space="preserve"> Vilnius</w:t>
      </w:r>
      <w:r>
        <w:t>“, a</w:t>
      </w:r>
      <w:r w:rsidRPr="00D905C6">
        <w:t>sociacija</w:t>
      </w:r>
      <w:r>
        <w:t>i</w:t>
      </w:r>
      <w:r w:rsidRPr="00D905C6">
        <w:t xml:space="preserve"> „</w:t>
      </w:r>
      <w:proofErr w:type="spellStart"/>
      <w:r w:rsidRPr="00D905C6">
        <w:t>Investor</w:t>
      </w:r>
      <w:r>
        <w:t>ʼ</w:t>
      </w:r>
      <w:r w:rsidRPr="00D905C6">
        <w:t>s</w:t>
      </w:r>
      <w:proofErr w:type="spellEnd"/>
      <w:r w:rsidRPr="00D905C6">
        <w:t xml:space="preserve"> </w:t>
      </w:r>
      <w:proofErr w:type="spellStart"/>
      <w:r w:rsidRPr="00D905C6">
        <w:t>Forum</w:t>
      </w:r>
      <w:proofErr w:type="spellEnd"/>
      <w:r w:rsidRPr="00D905C6">
        <w:t>“</w:t>
      </w:r>
      <w:r>
        <w:t xml:space="preserve">, </w:t>
      </w:r>
      <w:r w:rsidR="00757705">
        <w:t xml:space="preserve">Lietuvos investicinių ir pensijų fondų asociacijai, </w:t>
      </w:r>
      <w:r w:rsidR="00757705" w:rsidRPr="00757705">
        <w:t>UAB „In</w:t>
      </w:r>
      <w:r w:rsidR="00757705">
        <w:t xml:space="preserve">vesticijų ir verslo garantijos“, </w:t>
      </w:r>
      <w:r w:rsidRPr="00D905C6">
        <w:t>Lietuvos investicijų valdymo asociacija</w:t>
      </w:r>
      <w:r>
        <w:t xml:space="preserve">i ir </w:t>
      </w:r>
      <w:r w:rsidRPr="00D905C6">
        <w:t>Tarpusavio skolinimo asociacija</w:t>
      </w:r>
      <w:r>
        <w:t xml:space="preserve">i. </w:t>
      </w:r>
      <w:r w:rsidR="003F5110" w:rsidRPr="003F5110">
        <w:t xml:space="preserve">Įstatymų projektai buvo patikslinti pagal suinteresuotųjų institucijų ir Lietuvos Respublikos Vyriausybės Teisės grupės pateiktas pastabas ir suderinti darbo tvarka. </w:t>
      </w:r>
    </w:p>
    <w:p w:rsidR="00757705" w:rsidRPr="00757705" w:rsidRDefault="00757705" w:rsidP="00757705">
      <w:pPr>
        <w:ind w:firstLine="720"/>
        <w:jc w:val="both"/>
        <w:rPr>
          <w:color w:val="000000"/>
          <w:szCs w:val="24"/>
        </w:rPr>
      </w:pPr>
      <w:r w:rsidRPr="00757705">
        <w:rPr>
          <w:color w:val="000000"/>
          <w:szCs w:val="24"/>
        </w:rPr>
        <w:t xml:space="preserve">Įstatymų projektus parengė Finansų ministerijos Finansų rinkų politikos departamento (direktorė Vilma </w:t>
      </w:r>
      <w:proofErr w:type="spellStart"/>
      <w:r w:rsidRPr="00757705">
        <w:rPr>
          <w:color w:val="000000"/>
          <w:szCs w:val="24"/>
        </w:rPr>
        <w:t>Mačerauskienė</w:t>
      </w:r>
      <w:proofErr w:type="spellEnd"/>
      <w:r w:rsidRPr="00757705">
        <w:rPr>
          <w:color w:val="000000"/>
          <w:szCs w:val="24"/>
        </w:rPr>
        <w:t xml:space="preserve">, tel. (8 5) 239 0174) Kapitalo rinkų skyriaus (vedėja Ramunė </w:t>
      </w:r>
      <w:proofErr w:type="spellStart"/>
      <w:r w:rsidRPr="00757705">
        <w:rPr>
          <w:color w:val="000000"/>
          <w:szCs w:val="24"/>
        </w:rPr>
        <w:t>Radvilienė</w:t>
      </w:r>
      <w:proofErr w:type="spellEnd"/>
      <w:r w:rsidRPr="00757705">
        <w:rPr>
          <w:color w:val="000000"/>
          <w:szCs w:val="24"/>
        </w:rPr>
        <w:t xml:space="preserve">, tel. (8 5) 239 0170, el. p. </w:t>
      </w:r>
      <w:hyperlink r:id="rId15" w:history="1">
        <w:r w:rsidRPr="003B464C">
          <w:rPr>
            <w:rStyle w:val="Hipersaitas"/>
            <w:color w:val="auto"/>
            <w:szCs w:val="24"/>
            <w:u w:val="none"/>
          </w:rPr>
          <w:t>ramune.radviliene@finmin.lt</w:t>
        </w:r>
      </w:hyperlink>
      <w:r w:rsidRPr="003B464C">
        <w:rPr>
          <w:szCs w:val="24"/>
        </w:rPr>
        <w:t xml:space="preserve">) vyriausioji specialistė Neringa </w:t>
      </w:r>
      <w:proofErr w:type="spellStart"/>
      <w:r w:rsidRPr="003B464C">
        <w:rPr>
          <w:szCs w:val="24"/>
        </w:rPr>
        <w:t>Černiauskė</w:t>
      </w:r>
      <w:proofErr w:type="spellEnd"/>
      <w:r w:rsidRPr="003B464C">
        <w:rPr>
          <w:szCs w:val="24"/>
        </w:rPr>
        <w:t xml:space="preserve"> (tel. (8 5) 239 0141, el. p. </w:t>
      </w:r>
      <w:hyperlink r:id="rId16" w:history="1">
        <w:r w:rsidRPr="003B464C">
          <w:rPr>
            <w:rStyle w:val="Hipersaitas"/>
            <w:color w:val="auto"/>
            <w:szCs w:val="24"/>
            <w:u w:val="none"/>
          </w:rPr>
          <w:t>neringa.cerniauske</w:t>
        </w:r>
        <w:r w:rsidRPr="003B464C">
          <w:rPr>
            <w:rStyle w:val="Hipersaitas"/>
            <w:color w:val="auto"/>
            <w:szCs w:val="24"/>
            <w:u w:val="none"/>
            <w:lang w:val="en-US"/>
          </w:rPr>
          <w:t>@finmin.lt</w:t>
        </w:r>
      </w:hyperlink>
      <w:r w:rsidRPr="003B464C">
        <w:rPr>
          <w:szCs w:val="24"/>
          <w:lang w:val="en-US"/>
        </w:rPr>
        <w:t xml:space="preserve">) </w:t>
      </w:r>
      <w:r w:rsidRPr="003B464C">
        <w:rPr>
          <w:szCs w:val="24"/>
        </w:rPr>
        <w:t xml:space="preserve">ir vyriausiasis specialistas </w:t>
      </w:r>
      <w:r w:rsidRPr="003B464C">
        <w:rPr>
          <w:szCs w:val="24"/>
        </w:rPr>
        <w:lastRenderedPageBreak/>
        <w:t xml:space="preserve">Evaldas </w:t>
      </w:r>
      <w:proofErr w:type="spellStart"/>
      <w:r w:rsidRPr="003B464C">
        <w:rPr>
          <w:szCs w:val="24"/>
        </w:rPr>
        <w:t>Kovalenkovas</w:t>
      </w:r>
      <w:proofErr w:type="spellEnd"/>
      <w:r w:rsidRPr="003B464C">
        <w:rPr>
          <w:szCs w:val="24"/>
        </w:rPr>
        <w:t xml:space="preserve">, tel. (8 5) 239 0037, el. p. </w:t>
      </w:r>
      <w:hyperlink r:id="rId17" w:history="1">
        <w:r w:rsidRPr="003B464C">
          <w:rPr>
            <w:rStyle w:val="Hipersaitas"/>
            <w:color w:val="auto"/>
            <w:szCs w:val="24"/>
            <w:u w:val="none"/>
          </w:rPr>
          <w:t>evaldas.kovalenkovas@finmin.lt</w:t>
        </w:r>
      </w:hyperlink>
      <w:r w:rsidRPr="003B464C">
        <w:rPr>
          <w:szCs w:val="24"/>
        </w:rPr>
        <w:t xml:space="preserve">) kartu su Lietuvos banko Finansų rinkos priežiūros tarnybos Teisės ir licencijavimo departamento Teisės taikymo ir teisėkūros skyriaus (viršininkė Eglė Lukošienė, tel. +370 699 85 923) vyriausiąja specialiste </w:t>
      </w:r>
      <w:proofErr w:type="spellStart"/>
      <w:r w:rsidRPr="003B464C">
        <w:rPr>
          <w:szCs w:val="24"/>
        </w:rPr>
        <w:t>Romena</w:t>
      </w:r>
      <w:proofErr w:type="spellEnd"/>
      <w:r w:rsidRPr="003B464C">
        <w:rPr>
          <w:szCs w:val="24"/>
        </w:rPr>
        <w:t xml:space="preserve"> Urbonaite (tel. +370 668 77 039, el. p. </w:t>
      </w:r>
      <w:hyperlink r:id="rId18" w:history="1">
        <w:r w:rsidRPr="003B464C">
          <w:rPr>
            <w:rStyle w:val="Hipersaitas"/>
            <w:color w:val="auto"/>
            <w:szCs w:val="24"/>
            <w:u w:val="none"/>
          </w:rPr>
          <w:t>RUrbonaite</w:t>
        </w:r>
        <w:r w:rsidRPr="003B464C">
          <w:rPr>
            <w:rStyle w:val="Hipersaitas"/>
            <w:color w:val="auto"/>
            <w:szCs w:val="24"/>
            <w:u w:val="none"/>
            <w:lang w:val="en-US"/>
          </w:rPr>
          <w:t>@lb.lt</w:t>
        </w:r>
      </w:hyperlink>
      <w:r w:rsidRPr="003B464C">
        <w:rPr>
          <w:szCs w:val="24"/>
        </w:rPr>
        <w:t xml:space="preserve">) </w:t>
      </w:r>
      <w:r w:rsidRPr="00757705">
        <w:rPr>
          <w:color w:val="000000"/>
          <w:szCs w:val="24"/>
        </w:rPr>
        <w:t xml:space="preserve">ir vyriausiąja teisininke Kristina </w:t>
      </w:r>
      <w:proofErr w:type="spellStart"/>
      <w:r w:rsidRPr="00757705">
        <w:rPr>
          <w:color w:val="000000"/>
          <w:szCs w:val="24"/>
        </w:rPr>
        <w:t>Sačilkiene</w:t>
      </w:r>
      <w:proofErr w:type="spellEnd"/>
      <w:r w:rsidRPr="00757705">
        <w:rPr>
          <w:color w:val="000000"/>
          <w:szCs w:val="24"/>
        </w:rPr>
        <w:t xml:space="preserve"> (el. p. </w:t>
      </w:r>
      <w:proofErr w:type="spellStart"/>
      <w:r w:rsidRPr="00757705">
        <w:rPr>
          <w:color w:val="000000"/>
          <w:szCs w:val="24"/>
        </w:rPr>
        <w:t>KSacilkiene@lb.lt</w:t>
      </w:r>
      <w:proofErr w:type="spellEnd"/>
      <w:r w:rsidRPr="00757705">
        <w:rPr>
          <w:color w:val="000000"/>
          <w:szCs w:val="24"/>
        </w:rPr>
        <w:t xml:space="preserve">) bei Finansinių paslaugų ir rinkų priežiūros departamento Investicinių paslaugų ir bendrovių priežiūros skyriaus (vadovas Audrius </w:t>
      </w:r>
      <w:proofErr w:type="spellStart"/>
      <w:r w:rsidRPr="00757705">
        <w:rPr>
          <w:color w:val="000000"/>
          <w:szCs w:val="24"/>
        </w:rPr>
        <w:t>Šilgalis</w:t>
      </w:r>
      <w:proofErr w:type="spellEnd"/>
      <w:r w:rsidRPr="00757705">
        <w:rPr>
          <w:color w:val="000000"/>
          <w:szCs w:val="24"/>
        </w:rPr>
        <w:t xml:space="preserve">, tel. +370 652 61 643, el. p. </w:t>
      </w:r>
      <w:proofErr w:type="spellStart"/>
      <w:r w:rsidRPr="00757705">
        <w:rPr>
          <w:color w:val="000000"/>
          <w:szCs w:val="24"/>
        </w:rPr>
        <w:t>ASilgalis@lb.lt</w:t>
      </w:r>
      <w:proofErr w:type="spellEnd"/>
      <w:r w:rsidRPr="00757705">
        <w:rPr>
          <w:color w:val="000000"/>
          <w:szCs w:val="24"/>
        </w:rPr>
        <w:t>) vyriausiąja juriskonsulte Jovita Aleksiūne (el. p. </w:t>
      </w:r>
      <w:proofErr w:type="spellStart"/>
      <w:r w:rsidRPr="00757705">
        <w:rPr>
          <w:color w:val="000000"/>
          <w:szCs w:val="24"/>
        </w:rPr>
        <w:t>JAleksiune@lb.lt</w:t>
      </w:r>
      <w:proofErr w:type="spellEnd"/>
      <w:r w:rsidRPr="00757705">
        <w:rPr>
          <w:color w:val="000000"/>
          <w:szCs w:val="24"/>
        </w:rPr>
        <w:t xml:space="preserve">). </w:t>
      </w:r>
    </w:p>
    <w:p w:rsidR="00757705" w:rsidRPr="00015D8E" w:rsidRDefault="00761CCF" w:rsidP="00757705">
      <w:pPr>
        <w:ind w:firstLine="720"/>
        <w:jc w:val="both"/>
      </w:pPr>
      <w:r w:rsidRPr="00015D8E">
        <w:t>PRIDEDAMA:</w:t>
      </w:r>
    </w:p>
    <w:p w:rsidR="006527CF" w:rsidRPr="00015D8E" w:rsidRDefault="006527CF" w:rsidP="006527CF">
      <w:pPr>
        <w:numPr>
          <w:ilvl w:val="0"/>
          <w:numId w:val="12"/>
        </w:numPr>
        <w:tabs>
          <w:tab w:val="left" w:pos="993"/>
        </w:tabs>
        <w:ind w:left="0" w:firstLine="720"/>
        <w:jc w:val="both"/>
        <w:rPr>
          <w:szCs w:val="24"/>
        </w:rPr>
      </w:pPr>
      <w:r w:rsidRPr="00015D8E">
        <w:rPr>
          <w:szCs w:val="24"/>
        </w:rPr>
        <w:t>Lietuvos Respublikos Vyriausybės nutarimo projektas, 1 lapas.</w:t>
      </w:r>
    </w:p>
    <w:p w:rsidR="006527CF" w:rsidRPr="00015D8E" w:rsidRDefault="006527CF" w:rsidP="006527CF">
      <w:pPr>
        <w:numPr>
          <w:ilvl w:val="0"/>
          <w:numId w:val="12"/>
        </w:numPr>
        <w:tabs>
          <w:tab w:val="left" w:pos="993"/>
        </w:tabs>
        <w:ind w:left="0" w:firstLine="720"/>
        <w:jc w:val="both"/>
        <w:rPr>
          <w:szCs w:val="24"/>
        </w:rPr>
      </w:pPr>
      <w:r w:rsidRPr="00015D8E">
        <w:rPr>
          <w:szCs w:val="24"/>
        </w:rPr>
        <w:t xml:space="preserve">Lietuvos Respublikos finansinių priemonių rinkų įstatymo Nr. X-1024 </w:t>
      </w:r>
      <w:r w:rsidR="00375361" w:rsidRPr="00375361">
        <w:rPr>
          <w:bCs/>
          <w:szCs w:val="24"/>
        </w:rPr>
        <w:t>2, 3, 6, 8, 9, 13, 14, 15, 16, 29, 30, 31,</w:t>
      </w:r>
      <w:r w:rsidR="00FA583F">
        <w:rPr>
          <w:bCs/>
          <w:szCs w:val="24"/>
        </w:rPr>
        <w:t xml:space="preserve"> 33,</w:t>
      </w:r>
      <w:r w:rsidR="00375361" w:rsidRPr="00375361">
        <w:rPr>
          <w:bCs/>
          <w:szCs w:val="24"/>
        </w:rPr>
        <w:t xml:space="preserve"> 35, 39, 49, 50, 51, 72, 73, 76, 93, 97, 99, 102, 107, 111, 112, 114</w:t>
      </w:r>
      <w:r w:rsidRPr="00015D8E">
        <w:rPr>
          <w:bCs/>
          <w:szCs w:val="24"/>
        </w:rPr>
        <w:t xml:space="preserve"> straipsnių ir priedo pakeitimo, Įstatymo papildymo 14</w:t>
      </w:r>
      <w:r w:rsidRPr="00015D8E">
        <w:rPr>
          <w:bCs/>
          <w:szCs w:val="24"/>
          <w:vertAlign w:val="superscript"/>
        </w:rPr>
        <w:t>1</w:t>
      </w:r>
      <w:r w:rsidRPr="00015D8E">
        <w:rPr>
          <w:bCs/>
          <w:szCs w:val="24"/>
        </w:rPr>
        <w:t>, 14</w:t>
      </w:r>
      <w:r w:rsidRPr="00015D8E">
        <w:rPr>
          <w:bCs/>
          <w:szCs w:val="24"/>
          <w:vertAlign w:val="superscript"/>
        </w:rPr>
        <w:t>2</w:t>
      </w:r>
      <w:r w:rsidRPr="00015D8E">
        <w:rPr>
          <w:bCs/>
          <w:szCs w:val="24"/>
        </w:rPr>
        <w:t>, 15</w:t>
      </w:r>
      <w:r w:rsidRPr="00015D8E">
        <w:rPr>
          <w:bCs/>
          <w:szCs w:val="24"/>
          <w:vertAlign w:val="superscript"/>
        </w:rPr>
        <w:t>1</w:t>
      </w:r>
      <w:r w:rsidRPr="00015D8E">
        <w:rPr>
          <w:bCs/>
          <w:szCs w:val="24"/>
        </w:rPr>
        <w:t>, 15</w:t>
      </w:r>
      <w:r w:rsidRPr="00015D8E">
        <w:rPr>
          <w:bCs/>
          <w:szCs w:val="24"/>
          <w:vertAlign w:val="superscript"/>
        </w:rPr>
        <w:t>2</w:t>
      </w:r>
      <w:r w:rsidRPr="00015D8E">
        <w:rPr>
          <w:bCs/>
          <w:szCs w:val="24"/>
        </w:rPr>
        <w:t>, 15</w:t>
      </w:r>
      <w:r w:rsidRPr="00015D8E">
        <w:rPr>
          <w:bCs/>
          <w:szCs w:val="24"/>
          <w:vertAlign w:val="superscript"/>
        </w:rPr>
        <w:t>3</w:t>
      </w:r>
      <w:r w:rsidRPr="00015D8E">
        <w:rPr>
          <w:bCs/>
          <w:szCs w:val="24"/>
        </w:rPr>
        <w:t>, 15</w:t>
      </w:r>
      <w:r w:rsidRPr="00015D8E">
        <w:rPr>
          <w:bCs/>
          <w:szCs w:val="24"/>
          <w:vertAlign w:val="superscript"/>
        </w:rPr>
        <w:t>4</w:t>
      </w:r>
      <w:r w:rsidRPr="00015D8E">
        <w:rPr>
          <w:bCs/>
          <w:szCs w:val="24"/>
        </w:rPr>
        <w:t>, 15</w:t>
      </w:r>
      <w:r w:rsidRPr="00015D8E">
        <w:rPr>
          <w:bCs/>
          <w:szCs w:val="24"/>
          <w:vertAlign w:val="superscript"/>
        </w:rPr>
        <w:t>5</w:t>
      </w:r>
      <w:r w:rsidRPr="00015D8E">
        <w:rPr>
          <w:bCs/>
          <w:szCs w:val="24"/>
        </w:rPr>
        <w:t>, 15</w:t>
      </w:r>
      <w:r w:rsidRPr="00015D8E">
        <w:rPr>
          <w:bCs/>
          <w:szCs w:val="24"/>
          <w:vertAlign w:val="superscript"/>
        </w:rPr>
        <w:t>6</w:t>
      </w:r>
      <w:r w:rsidRPr="00015D8E">
        <w:rPr>
          <w:bCs/>
          <w:szCs w:val="24"/>
        </w:rPr>
        <w:t>, 44</w:t>
      </w:r>
      <w:r w:rsidRPr="00015D8E">
        <w:rPr>
          <w:bCs/>
          <w:szCs w:val="24"/>
          <w:vertAlign w:val="superscript"/>
        </w:rPr>
        <w:t>1</w:t>
      </w:r>
      <w:r w:rsidRPr="00015D8E">
        <w:rPr>
          <w:bCs/>
          <w:szCs w:val="24"/>
        </w:rPr>
        <w:t>, 107</w:t>
      </w:r>
      <w:r w:rsidRPr="00015D8E">
        <w:rPr>
          <w:bCs/>
          <w:szCs w:val="24"/>
          <w:vertAlign w:val="superscript"/>
        </w:rPr>
        <w:t>1</w:t>
      </w:r>
      <w:r w:rsidRPr="00015D8E">
        <w:rPr>
          <w:bCs/>
          <w:szCs w:val="24"/>
        </w:rPr>
        <w:t>, 111</w:t>
      </w:r>
      <w:r w:rsidRPr="00015D8E">
        <w:rPr>
          <w:bCs/>
          <w:szCs w:val="24"/>
          <w:vertAlign w:val="superscript"/>
        </w:rPr>
        <w:t>1</w:t>
      </w:r>
      <w:r w:rsidRPr="00015D8E">
        <w:rPr>
          <w:szCs w:val="24"/>
        </w:rPr>
        <w:t xml:space="preserve"> straipsniais ir V skyriaus pripažinimo netekusiu galios įstatymo</w:t>
      </w:r>
      <w:r w:rsidRPr="00015D8E">
        <w:rPr>
          <w:bCs/>
          <w:szCs w:val="24"/>
        </w:rPr>
        <w:t xml:space="preserve"> projektas</w:t>
      </w:r>
      <w:r w:rsidR="00D639B6">
        <w:rPr>
          <w:szCs w:val="24"/>
        </w:rPr>
        <w:t xml:space="preserve"> ir jo lyginamasis variantas, 64</w:t>
      </w:r>
      <w:r w:rsidR="00CA3EAD">
        <w:rPr>
          <w:szCs w:val="24"/>
        </w:rPr>
        <w:t xml:space="preserve"> lapai</w:t>
      </w:r>
      <w:r w:rsidRPr="00015D8E">
        <w:rPr>
          <w:szCs w:val="24"/>
        </w:rPr>
        <w:t xml:space="preserve">. </w:t>
      </w:r>
    </w:p>
    <w:p w:rsidR="006527CF" w:rsidRPr="00015D8E" w:rsidRDefault="006527CF" w:rsidP="006527CF">
      <w:pPr>
        <w:numPr>
          <w:ilvl w:val="0"/>
          <w:numId w:val="12"/>
        </w:numPr>
        <w:tabs>
          <w:tab w:val="left" w:pos="993"/>
        </w:tabs>
        <w:ind w:left="0" w:firstLine="720"/>
        <w:jc w:val="both"/>
        <w:rPr>
          <w:szCs w:val="24"/>
        </w:rPr>
      </w:pPr>
      <w:r w:rsidRPr="00015D8E">
        <w:rPr>
          <w:szCs w:val="24"/>
        </w:rPr>
        <w:t>Lietuvos Respublikos Lietuvos banko įstatymo Nr.</w:t>
      </w:r>
      <w:r w:rsidRPr="00015D8E">
        <w:rPr>
          <w:b/>
          <w:bCs/>
          <w:szCs w:val="24"/>
        </w:rPr>
        <w:t> </w:t>
      </w:r>
      <w:r w:rsidRPr="00015D8E">
        <w:rPr>
          <w:bCs/>
          <w:szCs w:val="24"/>
        </w:rPr>
        <w:t>I-678 11, 42, 43, 43</w:t>
      </w:r>
      <w:r w:rsidRPr="00015D8E">
        <w:rPr>
          <w:bCs/>
          <w:szCs w:val="24"/>
          <w:vertAlign w:val="superscript"/>
        </w:rPr>
        <w:t>1</w:t>
      </w:r>
      <w:r w:rsidRPr="00015D8E">
        <w:rPr>
          <w:bCs/>
          <w:szCs w:val="24"/>
        </w:rPr>
        <w:t>, 43</w:t>
      </w:r>
      <w:r w:rsidRPr="00015D8E">
        <w:rPr>
          <w:bCs/>
          <w:szCs w:val="24"/>
          <w:vertAlign w:val="superscript"/>
        </w:rPr>
        <w:t>2</w:t>
      </w:r>
      <w:r w:rsidRPr="00015D8E">
        <w:rPr>
          <w:bCs/>
          <w:szCs w:val="24"/>
        </w:rPr>
        <w:t>, 43</w:t>
      </w:r>
      <w:r w:rsidRPr="00015D8E">
        <w:rPr>
          <w:bCs/>
          <w:szCs w:val="24"/>
          <w:vertAlign w:val="superscript"/>
        </w:rPr>
        <w:t>3</w:t>
      </w:r>
      <w:r w:rsidRPr="00015D8E">
        <w:rPr>
          <w:bCs/>
          <w:szCs w:val="24"/>
        </w:rPr>
        <w:t>, 43</w:t>
      </w:r>
      <w:r w:rsidRPr="00015D8E">
        <w:rPr>
          <w:bCs/>
          <w:szCs w:val="24"/>
          <w:vertAlign w:val="superscript"/>
        </w:rPr>
        <w:t>7</w:t>
      </w:r>
      <w:r w:rsidRPr="00015D8E">
        <w:rPr>
          <w:b/>
          <w:bCs/>
          <w:szCs w:val="24"/>
        </w:rPr>
        <w:t xml:space="preserve"> </w:t>
      </w:r>
      <w:r w:rsidRPr="00015D8E">
        <w:rPr>
          <w:szCs w:val="24"/>
        </w:rPr>
        <w:t>straipsnių ir 1, 3 priedų pakeitimo įstatymo projektas ir jo lyginamasis variantas, 10 lapų.</w:t>
      </w:r>
    </w:p>
    <w:p w:rsidR="006527CF" w:rsidRPr="00015D8E" w:rsidRDefault="006527CF" w:rsidP="006527CF">
      <w:pPr>
        <w:numPr>
          <w:ilvl w:val="0"/>
          <w:numId w:val="12"/>
        </w:numPr>
        <w:tabs>
          <w:tab w:val="left" w:pos="993"/>
        </w:tabs>
        <w:ind w:left="0" w:firstLine="720"/>
        <w:jc w:val="both"/>
        <w:rPr>
          <w:szCs w:val="24"/>
        </w:rPr>
      </w:pPr>
      <w:r w:rsidRPr="00015D8E">
        <w:rPr>
          <w:szCs w:val="24"/>
        </w:rPr>
        <w:t xml:space="preserve">Lietuvos Respublikos sutelktinio finansavimo įstatymo </w:t>
      </w:r>
      <w:r w:rsidRPr="00015D8E">
        <w:rPr>
          <w:bCs/>
          <w:szCs w:val="24"/>
        </w:rPr>
        <w:t>Nr. XII-2690 pripažinimo netekusiu galios</w:t>
      </w:r>
      <w:r w:rsidRPr="00015D8E">
        <w:rPr>
          <w:b/>
          <w:bCs/>
          <w:szCs w:val="24"/>
        </w:rPr>
        <w:t xml:space="preserve"> </w:t>
      </w:r>
      <w:r w:rsidRPr="00015D8E">
        <w:rPr>
          <w:szCs w:val="24"/>
        </w:rPr>
        <w:t>įstatymo projektas, 2 lapai.</w:t>
      </w:r>
    </w:p>
    <w:p w:rsidR="006527CF" w:rsidRPr="00015D8E" w:rsidRDefault="006527CF" w:rsidP="006527CF">
      <w:pPr>
        <w:numPr>
          <w:ilvl w:val="0"/>
          <w:numId w:val="12"/>
        </w:numPr>
        <w:tabs>
          <w:tab w:val="left" w:pos="993"/>
        </w:tabs>
        <w:ind w:left="0" w:firstLine="720"/>
        <w:jc w:val="both"/>
        <w:rPr>
          <w:szCs w:val="24"/>
        </w:rPr>
      </w:pPr>
      <w:r w:rsidRPr="00015D8E">
        <w:rPr>
          <w:szCs w:val="24"/>
        </w:rPr>
        <w:t xml:space="preserve">Lietuvos Respublikos bankų įstatymo Nr. IX-2085 </w:t>
      </w:r>
      <w:r w:rsidRPr="00015D8E">
        <w:rPr>
          <w:bCs/>
          <w:szCs w:val="24"/>
        </w:rPr>
        <w:t>9, 10, 73</w:t>
      </w:r>
      <w:r w:rsidRPr="00015D8E">
        <w:rPr>
          <w:b/>
          <w:szCs w:val="24"/>
        </w:rPr>
        <w:t xml:space="preserve"> </w:t>
      </w:r>
      <w:r w:rsidRPr="00015D8E">
        <w:rPr>
          <w:szCs w:val="24"/>
        </w:rPr>
        <w:t>straipsnių pakeitimo įstatymo projektas ir jo lyginamasis variantas, 4 lapai.</w:t>
      </w:r>
    </w:p>
    <w:p w:rsidR="006527CF" w:rsidRPr="00015D8E" w:rsidRDefault="006527CF" w:rsidP="006527CF">
      <w:pPr>
        <w:numPr>
          <w:ilvl w:val="0"/>
          <w:numId w:val="12"/>
        </w:numPr>
        <w:tabs>
          <w:tab w:val="left" w:pos="992"/>
          <w:tab w:val="left" w:pos="7605"/>
        </w:tabs>
        <w:ind w:left="0" w:firstLine="720"/>
        <w:jc w:val="both"/>
        <w:rPr>
          <w:szCs w:val="24"/>
        </w:rPr>
      </w:pPr>
      <w:r w:rsidRPr="00015D8E">
        <w:rPr>
          <w:szCs w:val="24"/>
        </w:rPr>
        <w:t>Lietuvos Respublikos kolektyvinio investavimo subjektų įstatymo Nr. IX-1709 5, 35 straipsnių ir priedo pakeitimo įstatymo projektas ir jo lyginamasis variantas, 4 lapai.</w:t>
      </w:r>
    </w:p>
    <w:p w:rsidR="006527CF" w:rsidRPr="00015D8E" w:rsidRDefault="006527CF" w:rsidP="006527CF">
      <w:pPr>
        <w:numPr>
          <w:ilvl w:val="0"/>
          <w:numId w:val="12"/>
        </w:numPr>
        <w:tabs>
          <w:tab w:val="left" w:pos="992"/>
          <w:tab w:val="left" w:pos="7605"/>
        </w:tabs>
        <w:ind w:left="0" w:firstLine="720"/>
        <w:jc w:val="both"/>
        <w:rPr>
          <w:szCs w:val="24"/>
        </w:rPr>
      </w:pPr>
      <w:r w:rsidRPr="00015D8E">
        <w:rPr>
          <w:szCs w:val="24"/>
        </w:rPr>
        <w:t>Lietuvos Respublikos alternatyviųjų kolektyvinio investavimo subjektų valdytojų įstatymo Nr. XII-1467 10, 24 straipsnių ir priedo pakeitimo įstatymo projektas ir jo lyginamasis variantas, 4 lapai.</w:t>
      </w:r>
    </w:p>
    <w:p w:rsidR="006527CF" w:rsidRPr="00015D8E" w:rsidRDefault="006527CF" w:rsidP="006527CF">
      <w:pPr>
        <w:numPr>
          <w:ilvl w:val="0"/>
          <w:numId w:val="12"/>
        </w:numPr>
        <w:tabs>
          <w:tab w:val="left" w:pos="992"/>
          <w:tab w:val="left" w:pos="7605"/>
        </w:tabs>
        <w:ind w:left="0" w:firstLine="720"/>
        <w:jc w:val="both"/>
        <w:rPr>
          <w:szCs w:val="24"/>
        </w:rPr>
      </w:pPr>
      <w:r w:rsidRPr="00015D8E">
        <w:rPr>
          <w:szCs w:val="24"/>
        </w:rPr>
        <w:t xml:space="preserve">Lietuvos Respublikos akcinių bendrovių įstatymo Nr. </w:t>
      </w:r>
      <w:r w:rsidRPr="00015D8E">
        <w:rPr>
          <w:bCs/>
          <w:szCs w:val="24"/>
        </w:rPr>
        <w:t>VIII-1835 2, 55, 78</w:t>
      </w:r>
      <w:r w:rsidRPr="00015D8E">
        <w:rPr>
          <w:b/>
          <w:bCs/>
          <w:szCs w:val="24"/>
        </w:rPr>
        <w:t xml:space="preserve"> </w:t>
      </w:r>
      <w:r w:rsidRPr="00015D8E">
        <w:rPr>
          <w:szCs w:val="24"/>
        </w:rPr>
        <w:t>straipsnių ir priedo pakeitimo įstatymo projektas ir jo lyginamasis variantas, 5 lapai.</w:t>
      </w:r>
    </w:p>
    <w:p w:rsidR="006527CF" w:rsidRPr="00015D8E" w:rsidRDefault="006527CF" w:rsidP="006527CF">
      <w:pPr>
        <w:numPr>
          <w:ilvl w:val="0"/>
          <w:numId w:val="12"/>
        </w:numPr>
        <w:tabs>
          <w:tab w:val="left" w:pos="992"/>
          <w:tab w:val="left" w:pos="7605"/>
        </w:tabs>
        <w:ind w:left="0" w:firstLine="720"/>
        <w:jc w:val="both"/>
        <w:rPr>
          <w:szCs w:val="24"/>
        </w:rPr>
      </w:pPr>
      <w:r w:rsidRPr="00015D8E">
        <w:rPr>
          <w:szCs w:val="24"/>
        </w:rPr>
        <w:t xml:space="preserve">Lietuvos Respublikos finansų įstaigų įstatymo Nr. </w:t>
      </w:r>
      <w:r w:rsidRPr="00015D8E">
        <w:rPr>
          <w:bCs/>
          <w:szCs w:val="24"/>
        </w:rPr>
        <w:t xml:space="preserve">IX-1068 2, 3, 4, 7, 9, 10, 14, 16, 19, 26 </w:t>
      </w:r>
      <w:r w:rsidRPr="00015D8E">
        <w:rPr>
          <w:szCs w:val="24"/>
        </w:rPr>
        <w:t xml:space="preserve">straipsnių ir priedo pakeitimo įstatymo projektas ir jo lyginamasis variantas, </w:t>
      </w:r>
      <w:r>
        <w:rPr>
          <w:szCs w:val="24"/>
        </w:rPr>
        <w:t>8 lapa</w:t>
      </w:r>
      <w:r w:rsidRPr="00015D8E">
        <w:rPr>
          <w:szCs w:val="24"/>
        </w:rPr>
        <w:t>i.</w:t>
      </w:r>
    </w:p>
    <w:p w:rsidR="006527CF" w:rsidRPr="00015D8E" w:rsidRDefault="006527CF" w:rsidP="006527CF">
      <w:pPr>
        <w:numPr>
          <w:ilvl w:val="0"/>
          <w:numId w:val="12"/>
        </w:numPr>
        <w:tabs>
          <w:tab w:val="left" w:pos="992"/>
          <w:tab w:val="left" w:pos="1134"/>
        </w:tabs>
        <w:ind w:left="0" w:firstLine="720"/>
        <w:jc w:val="both"/>
        <w:rPr>
          <w:szCs w:val="24"/>
        </w:rPr>
      </w:pPr>
      <w:r w:rsidRPr="00015D8E">
        <w:rPr>
          <w:szCs w:val="24"/>
        </w:rPr>
        <w:t xml:space="preserve">Lietuvos Respublikos </w:t>
      </w:r>
      <w:r w:rsidRPr="00015D8E">
        <w:rPr>
          <w:bCs/>
          <w:szCs w:val="24"/>
        </w:rPr>
        <w:t>gyventojų pajamų mokesčio įstatymo Nr. IX-1007 17 straipsnio ir priedo pakeitimo įstatymo projektas</w:t>
      </w:r>
      <w:r w:rsidRPr="00015D8E">
        <w:rPr>
          <w:szCs w:val="24"/>
        </w:rPr>
        <w:t xml:space="preserve"> ir jo lyginamasis variantas, 4 lapai.</w:t>
      </w:r>
    </w:p>
    <w:p w:rsidR="006527CF" w:rsidRPr="00015D8E" w:rsidRDefault="006527CF" w:rsidP="006527CF">
      <w:pPr>
        <w:numPr>
          <w:ilvl w:val="0"/>
          <w:numId w:val="12"/>
        </w:numPr>
        <w:tabs>
          <w:tab w:val="left" w:pos="992"/>
          <w:tab w:val="left" w:pos="1134"/>
        </w:tabs>
        <w:ind w:left="0" w:firstLine="720"/>
        <w:jc w:val="both"/>
        <w:rPr>
          <w:szCs w:val="24"/>
        </w:rPr>
      </w:pPr>
      <w:r w:rsidRPr="00015D8E">
        <w:rPr>
          <w:szCs w:val="24"/>
        </w:rPr>
        <w:t>Lietuvos Respublikos įmonių, priklausančių finansų konglomeratui, papildomos priežiūros įstatymo Nr. IX-2387 2, 19</w:t>
      </w:r>
      <w:r w:rsidRPr="00015D8E">
        <w:rPr>
          <w:b/>
          <w:szCs w:val="24"/>
        </w:rPr>
        <w:t xml:space="preserve"> </w:t>
      </w:r>
      <w:r w:rsidRPr="00015D8E">
        <w:rPr>
          <w:szCs w:val="24"/>
        </w:rPr>
        <w:t>straipsnių ir priedo pakeitimo įstatymo projektas ir jo lyginamasis variantas, 4 lapai.</w:t>
      </w:r>
    </w:p>
    <w:p w:rsidR="006527CF" w:rsidRPr="00015D8E" w:rsidRDefault="006527CF" w:rsidP="006527CF">
      <w:pPr>
        <w:numPr>
          <w:ilvl w:val="0"/>
          <w:numId w:val="12"/>
        </w:numPr>
        <w:tabs>
          <w:tab w:val="left" w:pos="992"/>
          <w:tab w:val="left" w:pos="1134"/>
        </w:tabs>
        <w:ind w:left="0" w:firstLine="720"/>
        <w:jc w:val="both"/>
        <w:rPr>
          <w:szCs w:val="24"/>
        </w:rPr>
      </w:pPr>
      <w:r w:rsidRPr="00015D8E">
        <w:rPr>
          <w:szCs w:val="24"/>
        </w:rPr>
        <w:t xml:space="preserve">Lietuvos Respublikos pinigų plovimo ir teroristų finansavimo prevencijos įstatymo Nr. </w:t>
      </w:r>
      <w:r w:rsidR="004B3754">
        <w:rPr>
          <w:bCs/>
          <w:szCs w:val="24"/>
        </w:rPr>
        <w:t>VIII-275 2, 4,</w:t>
      </w:r>
      <w:r w:rsidR="00E31126">
        <w:rPr>
          <w:bCs/>
          <w:szCs w:val="24"/>
        </w:rPr>
        <w:t xml:space="preserve"> 11, 14,</w:t>
      </w:r>
      <w:r w:rsidRPr="00015D8E">
        <w:rPr>
          <w:bCs/>
          <w:szCs w:val="24"/>
        </w:rPr>
        <w:t xml:space="preserve"> 15,</w:t>
      </w:r>
      <w:r w:rsidR="00FA583F">
        <w:rPr>
          <w:bCs/>
          <w:szCs w:val="24"/>
        </w:rPr>
        <w:t xml:space="preserve"> 36</w:t>
      </w:r>
      <w:r w:rsidRPr="00015D8E">
        <w:rPr>
          <w:b/>
          <w:bCs/>
          <w:szCs w:val="24"/>
        </w:rPr>
        <w:t xml:space="preserve"> </w:t>
      </w:r>
      <w:r w:rsidR="00FA583F">
        <w:rPr>
          <w:bCs/>
          <w:szCs w:val="24"/>
        </w:rPr>
        <w:t>straipsnių</w:t>
      </w:r>
      <w:r w:rsidRPr="00015D8E">
        <w:rPr>
          <w:bCs/>
          <w:szCs w:val="24"/>
        </w:rPr>
        <w:t xml:space="preserve"> pakeitimo įstatymo projektas</w:t>
      </w:r>
      <w:r w:rsidR="003801EE">
        <w:rPr>
          <w:bCs/>
          <w:szCs w:val="24"/>
        </w:rPr>
        <w:t xml:space="preserve"> ir jo lyginamasis variantas, 7</w:t>
      </w:r>
      <w:r w:rsidR="00CA3EAD">
        <w:rPr>
          <w:bCs/>
          <w:szCs w:val="24"/>
        </w:rPr>
        <w:t xml:space="preserve"> lapai</w:t>
      </w:r>
      <w:r w:rsidRPr="00015D8E">
        <w:rPr>
          <w:bCs/>
          <w:szCs w:val="24"/>
        </w:rPr>
        <w:t>.</w:t>
      </w:r>
    </w:p>
    <w:p w:rsidR="006527CF" w:rsidRPr="00015D8E" w:rsidRDefault="006527CF" w:rsidP="006527CF">
      <w:pPr>
        <w:numPr>
          <w:ilvl w:val="0"/>
          <w:numId w:val="12"/>
        </w:numPr>
        <w:tabs>
          <w:tab w:val="left" w:pos="992"/>
          <w:tab w:val="left" w:pos="1134"/>
        </w:tabs>
        <w:ind w:left="0" w:firstLine="720"/>
        <w:jc w:val="both"/>
        <w:rPr>
          <w:szCs w:val="24"/>
        </w:rPr>
      </w:pPr>
      <w:r w:rsidRPr="00015D8E">
        <w:rPr>
          <w:bCs/>
          <w:szCs w:val="24"/>
        </w:rPr>
        <w:t>Lietuvos Respublikos vertybinių popierių įstatymo Nr.</w:t>
      </w:r>
      <w:r w:rsidRPr="00015D8E">
        <w:rPr>
          <w:b/>
          <w:bCs/>
          <w:szCs w:val="24"/>
        </w:rPr>
        <w:t xml:space="preserve"> </w:t>
      </w:r>
      <w:r w:rsidRPr="00015D8E">
        <w:rPr>
          <w:bCs/>
          <w:szCs w:val="24"/>
        </w:rPr>
        <w:t xml:space="preserve">X-1023 2, 4, </w:t>
      </w:r>
      <w:r w:rsidR="004B3754">
        <w:rPr>
          <w:bCs/>
          <w:szCs w:val="24"/>
        </w:rPr>
        <w:t xml:space="preserve">12, </w:t>
      </w:r>
      <w:r w:rsidRPr="00015D8E">
        <w:rPr>
          <w:bCs/>
          <w:szCs w:val="24"/>
        </w:rPr>
        <w:t>15, 22</w:t>
      </w:r>
      <w:r w:rsidRPr="00015D8E">
        <w:rPr>
          <w:b/>
          <w:bCs/>
          <w:szCs w:val="24"/>
        </w:rPr>
        <w:t xml:space="preserve"> </w:t>
      </w:r>
      <w:r w:rsidRPr="00015D8E">
        <w:rPr>
          <w:szCs w:val="24"/>
        </w:rPr>
        <w:t>straipsnių ir priedo pakeitimo įstatymo projektas ir jo lyginamasis variantas, 6 lapai.</w:t>
      </w:r>
    </w:p>
    <w:p w:rsidR="006527CF" w:rsidRPr="00015D8E" w:rsidRDefault="006527CF" w:rsidP="006527CF">
      <w:pPr>
        <w:numPr>
          <w:ilvl w:val="0"/>
          <w:numId w:val="12"/>
        </w:numPr>
        <w:tabs>
          <w:tab w:val="left" w:pos="992"/>
          <w:tab w:val="left" w:pos="1134"/>
        </w:tabs>
        <w:ind w:left="0" w:firstLine="720"/>
        <w:jc w:val="both"/>
        <w:rPr>
          <w:szCs w:val="24"/>
        </w:rPr>
      </w:pPr>
      <w:r w:rsidRPr="00015D8E">
        <w:rPr>
          <w:bCs/>
          <w:szCs w:val="24"/>
        </w:rPr>
        <w:t>Lietuvos Respublikos informuotiesiems investuotojams skirtų kolektyvinio investavimo subjektų įstatymo Nr. XII-376 19 straipsnio pakeitimo įstatymo projektas ir jo lyginamasis variantas, 2 lapai.</w:t>
      </w:r>
    </w:p>
    <w:p w:rsidR="006527CF" w:rsidRPr="00015D8E" w:rsidRDefault="006527CF" w:rsidP="006527CF">
      <w:pPr>
        <w:numPr>
          <w:ilvl w:val="0"/>
          <w:numId w:val="12"/>
        </w:numPr>
        <w:tabs>
          <w:tab w:val="left" w:pos="992"/>
          <w:tab w:val="left" w:pos="1134"/>
        </w:tabs>
        <w:ind w:left="0" w:firstLine="720"/>
        <w:jc w:val="both"/>
        <w:rPr>
          <w:szCs w:val="24"/>
        </w:rPr>
      </w:pPr>
      <w:r w:rsidRPr="00015D8E">
        <w:rPr>
          <w:bCs/>
          <w:szCs w:val="24"/>
        </w:rPr>
        <w:t xml:space="preserve">Lietuvos Respublikos nacionalinių plėtros įstaigų įstatymo Nr. VIII-1257 6, 10 straipsnių pakeitimo įstatymo projektas ir jo lyginamasis variantas, 2 lapai. </w:t>
      </w:r>
    </w:p>
    <w:p w:rsidR="006527CF" w:rsidRPr="00015D8E" w:rsidRDefault="006527CF" w:rsidP="006527CF">
      <w:pPr>
        <w:numPr>
          <w:ilvl w:val="0"/>
          <w:numId w:val="12"/>
        </w:numPr>
        <w:tabs>
          <w:tab w:val="left" w:pos="992"/>
          <w:tab w:val="left" w:pos="1134"/>
        </w:tabs>
        <w:ind w:left="0" w:firstLine="720"/>
        <w:jc w:val="both"/>
        <w:rPr>
          <w:szCs w:val="24"/>
        </w:rPr>
      </w:pPr>
      <w:r w:rsidRPr="00015D8E">
        <w:rPr>
          <w:szCs w:val="24"/>
        </w:rPr>
        <w:t>Aiškinamasis raštas, 12 lapų.</w:t>
      </w:r>
    </w:p>
    <w:p w:rsidR="006527CF" w:rsidRPr="00015D8E" w:rsidRDefault="006527CF" w:rsidP="006527CF">
      <w:pPr>
        <w:numPr>
          <w:ilvl w:val="0"/>
          <w:numId w:val="12"/>
        </w:numPr>
        <w:tabs>
          <w:tab w:val="left" w:pos="992"/>
          <w:tab w:val="left" w:pos="1134"/>
        </w:tabs>
        <w:ind w:left="0" w:firstLine="720"/>
        <w:jc w:val="both"/>
        <w:rPr>
          <w:szCs w:val="24"/>
        </w:rPr>
      </w:pPr>
      <w:r w:rsidRPr="00015D8E">
        <w:rPr>
          <w:szCs w:val="24"/>
        </w:rPr>
        <w:t>Direktyvos (ES) 2</w:t>
      </w:r>
      <w:r w:rsidR="004B3754">
        <w:rPr>
          <w:szCs w:val="24"/>
        </w:rPr>
        <w:t>019/2034 atitikties lentelė, 136</w:t>
      </w:r>
      <w:r w:rsidRPr="00015D8E">
        <w:rPr>
          <w:szCs w:val="24"/>
        </w:rPr>
        <w:t xml:space="preserve"> lap</w:t>
      </w:r>
      <w:r w:rsidR="00952F34">
        <w:rPr>
          <w:szCs w:val="24"/>
        </w:rPr>
        <w:t>ai</w:t>
      </w:r>
      <w:r w:rsidRPr="00015D8E">
        <w:rPr>
          <w:szCs w:val="24"/>
        </w:rPr>
        <w:t>.</w:t>
      </w:r>
    </w:p>
    <w:p w:rsidR="006527CF" w:rsidRPr="00015D8E" w:rsidRDefault="006527CF" w:rsidP="006527CF">
      <w:pPr>
        <w:numPr>
          <w:ilvl w:val="0"/>
          <w:numId w:val="12"/>
        </w:numPr>
        <w:tabs>
          <w:tab w:val="left" w:pos="992"/>
          <w:tab w:val="left" w:pos="1134"/>
        </w:tabs>
        <w:ind w:left="0" w:firstLine="720"/>
        <w:jc w:val="both"/>
        <w:rPr>
          <w:szCs w:val="24"/>
        </w:rPr>
      </w:pPr>
      <w:r w:rsidRPr="00015D8E">
        <w:rPr>
          <w:szCs w:val="24"/>
        </w:rPr>
        <w:t>Direktyvos (ES) 2019/2177 atitikties lentelė, 25 lapai.</w:t>
      </w:r>
    </w:p>
    <w:p w:rsidR="006527CF" w:rsidRPr="00015D8E" w:rsidRDefault="006527CF" w:rsidP="006527CF">
      <w:pPr>
        <w:numPr>
          <w:ilvl w:val="0"/>
          <w:numId w:val="12"/>
        </w:numPr>
        <w:tabs>
          <w:tab w:val="left" w:pos="992"/>
          <w:tab w:val="left" w:pos="1134"/>
        </w:tabs>
        <w:ind w:left="0" w:firstLine="720"/>
        <w:jc w:val="both"/>
        <w:rPr>
          <w:szCs w:val="24"/>
        </w:rPr>
      </w:pPr>
      <w:r w:rsidRPr="00015D8E">
        <w:rPr>
          <w:szCs w:val="24"/>
        </w:rPr>
        <w:t>Direktyvos (ES) 2020/1504 atitikties lentelė, 1 lapas.</w:t>
      </w:r>
    </w:p>
    <w:p w:rsidR="006527CF" w:rsidRPr="00015D8E" w:rsidRDefault="006527CF" w:rsidP="006527CF">
      <w:pPr>
        <w:numPr>
          <w:ilvl w:val="0"/>
          <w:numId w:val="12"/>
        </w:numPr>
        <w:tabs>
          <w:tab w:val="left" w:pos="992"/>
          <w:tab w:val="left" w:pos="1134"/>
        </w:tabs>
        <w:ind w:left="0" w:firstLine="720"/>
        <w:jc w:val="both"/>
        <w:rPr>
          <w:szCs w:val="24"/>
        </w:rPr>
      </w:pPr>
      <w:r w:rsidRPr="00015D8E">
        <w:rPr>
          <w:szCs w:val="24"/>
        </w:rPr>
        <w:t>Reglamento (ES) 2019/2033 atitikties lentelė, 1 lapas.</w:t>
      </w:r>
    </w:p>
    <w:p w:rsidR="006527CF" w:rsidRDefault="006527CF" w:rsidP="006527CF">
      <w:pPr>
        <w:numPr>
          <w:ilvl w:val="0"/>
          <w:numId w:val="12"/>
        </w:numPr>
        <w:tabs>
          <w:tab w:val="left" w:pos="992"/>
          <w:tab w:val="left" w:pos="1134"/>
        </w:tabs>
        <w:ind w:left="0" w:firstLine="720"/>
        <w:jc w:val="both"/>
        <w:rPr>
          <w:szCs w:val="24"/>
        </w:rPr>
      </w:pPr>
      <w:r w:rsidRPr="00015D8E">
        <w:rPr>
          <w:szCs w:val="24"/>
        </w:rPr>
        <w:t>Reglamento (ES) 2020/1503 atitikties lentelė, 18 lapų.</w:t>
      </w:r>
    </w:p>
    <w:p w:rsidR="004B3754" w:rsidRDefault="004B3754" w:rsidP="006527CF">
      <w:pPr>
        <w:numPr>
          <w:ilvl w:val="0"/>
          <w:numId w:val="12"/>
        </w:numPr>
        <w:tabs>
          <w:tab w:val="left" w:pos="992"/>
          <w:tab w:val="left" w:pos="1134"/>
        </w:tabs>
        <w:ind w:left="0" w:firstLine="720"/>
        <w:jc w:val="both"/>
        <w:rPr>
          <w:szCs w:val="24"/>
        </w:rPr>
      </w:pPr>
      <w:r>
        <w:rPr>
          <w:szCs w:val="24"/>
        </w:rPr>
        <w:t>Reglamento (ES) 2019/2088 atitikties lentelė, 8 lapai.</w:t>
      </w:r>
    </w:p>
    <w:p w:rsidR="004B3754" w:rsidRDefault="004B3754" w:rsidP="006527CF">
      <w:pPr>
        <w:numPr>
          <w:ilvl w:val="0"/>
          <w:numId w:val="12"/>
        </w:numPr>
        <w:tabs>
          <w:tab w:val="left" w:pos="992"/>
          <w:tab w:val="left" w:pos="1134"/>
        </w:tabs>
        <w:ind w:left="0" w:firstLine="720"/>
        <w:jc w:val="both"/>
        <w:rPr>
          <w:szCs w:val="24"/>
        </w:rPr>
      </w:pPr>
      <w:r>
        <w:rPr>
          <w:szCs w:val="24"/>
        </w:rPr>
        <w:t>Reglamento (ES) 2020/852 atitikties lentelė, 8 lapai.</w:t>
      </w:r>
    </w:p>
    <w:p w:rsidR="004B3754" w:rsidRDefault="004B3754" w:rsidP="006527CF">
      <w:pPr>
        <w:numPr>
          <w:ilvl w:val="0"/>
          <w:numId w:val="12"/>
        </w:numPr>
        <w:tabs>
          <w:tab w:val="left" w:pos="992"/>
          <w:tab w:val="left" w:pos="1134"/>
        </w:tabs>
        <w:ind w:left="0" w:firstLine="720"/>
        <w:jc w:val="both"/>
        <w:rPr>
          <w:szCs w:val="24"/>
        </w:rPr>
      </w:pPr>
      <w:r>
        <w:rPr>
          <w:szCs w:val="24"/>
        </w:rPr>
        <w:t>Reglamento (ES) 2021/337 atitikties lentelė, 1 lapas.</w:t>
      </w:r>
    </w:p>
    <w:p w:rsidR="004B3754" w:rsidRPr="00015D8E" w:rsidRDefault="004B3754" w:rsidP="006527CF">
      <w:pPr>
        <w:numPr>
          <w:ilvl w:val="0"/>
          <w:numId w:val="12"/>
        </w:numPr>
        <w:tabs>
          <w:tab w:val="left" w:pos="992"/>
          <w:tab w:val="left" w:pos="1134"/>
        </w:tabs>
        <w:ind w:left="0" w:firstLine="720"/>
        <w:jc w:val="both"/>
        <w:rPr>
          <w:szCs w:val="24"/>
        </w:rPr>
      </w:pPr>
      <w:r>
        <w:rPr>
          <w:szCs w:val="24"/>
        </w:rPr>
        <w:t>Direktyvos (ES) 2021/338 atitikties lentelė, 19 lapų.</w:t>
      </w:r>
    </w:p>
    <w:p w:rsidR="006527CF" w:rsidRPr="00015D8E" w:rsidRDefault="006527CF" w:rsidP="006527CF">
      <w:pPr>
        <w:numPr>
          <w:ilvl w:val="0"/>
          <w:numId w:val="12"/>
        </w:numPr>
        <w:tabs>
          <w:tab w:val="left" w:pos="992"/>
          <w:tab w:val="left" w:pos="1134"/>
        </w:tabs>
        <w:ind w:left="0" w:firstLine="720"/>
        <w:jc w:val="both"/>
        <w:rPr>
          <w:szCs w:val="24"/>
        </w:rPr>
      </w:pPr>
      <w:r w:rsidRPr="00015D8E">
        <w:rPr>
          <w:bCs/>
          <w:szCs w:val="24"/>
        </w:rPr>
        <w:lastRenderedPageBreak/>
        <w:t>Lietuvos Respublikos finansinių priemonių rinkų įstatymo Nr. X-1024 2</w:t>
      </w:r>
      <w:r w:rsidR="00302BC3" w:rsidRPr="00302BC3">
        <w:rPr>
          <w:bCs/>
          <w:szCs w:val="24"/>
        </w:rPr>
        <w:t>2, 3, 6, 8, 9, 13, 14, 15, 16, 29, 30, 31, 33, 35, 39, 49, 50, 51, 72, 73, 76, 93, 97, 99, 102, 107, 111, 112, 114 straipsnių ir priedo pakeitimo, Įstatymo papildymo 14</w:t>
      </w:r>
      <w:r w:rsidR="00302BC3" w:rsidRPr="00302BC3">
        <w:rPr>
          <w:bCs/>
          <w:szCs w:val="24"/>
          <w:vertAlign w:val="superscript"/>
        </w:rPr>
        <w:t>1</w:t>
      </w:r>
      <w:r w:rsidR="00302BC3" w:rsidRPr="00302BC3">
        <w:rPr>
          <w:bCs/>
          <w:szCs w:val="24"/>
        </w:rPr>
        <w:t>, 14</w:t>
      </w:r>
      <w:r w:rsidR="00302BC3" w:rsidRPr="00302BC3">
        <w:rPr>
          <w:bCs/>
          <w:szCs w:val="24"/>
          <w:vertAlign w:val="superscript"/>
        </w:rPr>
        <w:t>2</w:t>
      </w:r>
      <w:r w:rsidR="00302BC3" w:rsidRPr="00302BC3">
        <w:rPr>
          <w:bCs/>
          <w:szCs w:val="24"/>
        </w:rPr>
        <w:t>, 15</w:t>
      </w:r>
      <w:r w:rsidR="00302BC3" w:rsidRPr="00302BC3">
        <w:rPr>
          <w:bCs/>
          <w:szCs w:val="24"/>
          <w:vertAlign w:val="superscript"/>
        </w:rPr>
        <w:t>1</w:t>
      </w:r>
      <w:r w:rsidR="00302BC3" w:rsidRPr="00302BC3">
        <w:rPr>
          <w:bCs/>
          <w:szCs w:val="24"/>
        </w:rPr>
        <w:t>, 15</w:t>
      </w:r>
      <w:r w:rsidR="00302BC3" w:rsidRPr="00302BC3">
        <w:rPr>
          <w:bCs/>
          <w:szCs w:val="24"/>
          <w:vertAlign w:val="superscript"/>
        </w:rPr>
        <w:t>2</w:t>
      </w:r>
      <w:r w:rsidR="00302BC3" w:rsidRPr="00302BC3">
        <w:rPr>
          <w:bCs/>
          <w:szCs w:val="24"/>
        </w:rPr>
        <w:t>, 15</w:t>
      </w:r>
      <w:r w:rsidR="00302BC3" w:rsidRPr="00302BC3">
        <w:rPr>
          <w:bCs/>
          <w:szCs w:val="24"/>
          <w:vertAlign w:val="superscript"/>
        </w:rPr>
        <w:t>3</w:t>
      </w:r>
      <w:r w:rsidR="00302BC3" w:rsidRPr="00302BC3">
        <w:rPr>
          <w:bCs/>
          <w:szCs w:val="24"/>
        </w:rPr>
        <w:t>, 15</w:t>
      </w:r>
      <w:r w:rsidR="00302BC3" w:rsidRPr="00302BC3">
        <w:rPr>
          <w:bCs/>
          <w:szCs w:val="24"/>
          <w:vertAlign w:val="superscript"/>
        </w:rPr>
        <w:t>4</w:t>
      </w:r>
      <w:r w:rsidR="00302BC3" w:rsidRPr="00302BC3">
        <w:rPr>
          <w:bCs/>
          <w:szCs w:val="24"/>
        </w:rPr>
        <w:t>, 15</w:t>
      </w:r>
      <w:r w:rsidR="00302BC3" w:rsidRPr="00302BC3">
        <w:rPr>
          <w:bCs/>
          <w:szCs w:val="24"/>
          <w:vertAlign w:val="superscript"/>
        </w:rPr>
        <w:t>5</w:t>
      </w:r>
      <w:r w:rsidR="00302BC3" w:rsidRPr="00302BC3">
        <w:rPr>
          <w:bCs/>
          <w:szCs w:val="24"/>
        </w:rPr>
        <w:t>, 15</w:t>
      </w:r>
      <w:r w:rsidR="00302BC3" w:rsidRPr="00302BC3">
        <w:rPr>
          <w:bCs/>
          <w:szCs w:val="24"/>
          <w:vertAlign w:val="superscript"/>
        </w:rPr>
        <w:t>6</w:t>
      </w:r>
      <w:r w:rsidR="00302BC3" w:rsidRPr="00302BC3">
        <w:rPr>
          <w:bCs/>
          <w:szCs w:val="24"/>
        </w:rPr>
        <w:t>, 44</w:t>
      </w:r>
      <w:r w:rsidR="00302BC3" w:rsidRPr="00302BC3">
        <w:rPr>
          <w:bCs/>
          <w:szCs w:val="24"/>
          <w:vertAlign w:val="superscript"/>
        </w:rPr>
        <w:t>1</w:t>
      </w:r>
      <w:r w:rsidR="00302BC3" w:rsidRPr="00302BC3">
        <w:rPr>
          <w:bCs/>
          <w:szCs w:val="24"/>
        </w:rPr>
        <w:t>, 107</w:t>
      </w:r>
      <w:r w:rsidR="00302BC3" w:rsidRPr="00302BC3">
        <w:rPr>
          <w:bCs/>
          <w:szCs w:val="24"/>
          <w:vertAlign w:val="superscript"/>
        </w:rPr>
        <w:t>1</w:t>
      </w:r>
      <w:r w:rsidR="00302BC3" w:rsidRPr="00302BC3">
        <w:rPr>
          <w:bCs/>
          <w:szCs w:val="24"/>
        </w:rPr>
        <w:t>, 111</w:t>
      </w:r>
      <w:r w:rsidR="00302BC3" w:rsidRPr="00302BC3">
        <w:rPr>
          <w:bCs/>
          <w:szCs w:val="24"/>
          <w:vertAlign w:val="superscript"/>
        </w:rPr>
        <w:t>1</w:t>
      </w:r>
      <w:r w:rsidR="00302BC3" w:rsidRPr="00302BC3">
        <w:rPr>
          <w:bCs/>
          <w:szCs w:val="24"/>
        </w:rPr>
        <w:t xml:space="preserve"> straipsniais ir V skyriaus pripažinimo netekusiu galios įstatymo </w:t>
      </w:r>
      <w:r w:rsidR="00302BC3">
        <w:rPr>
          <w:bCs/>
          <w:szCs w:val="24"/>
        </w:rPr>
        <w:t xml:space="preserve">projekto </w:t>
      </w:r>
      <w:bookmarkStart w:id="0" w:name="_GoBack"/>
      <w:bookmarkEnd w:id="0"/>
      <w:r w:rsidRPr="00015D8E">
        <w:rPr>
          <w:bCs/>
          <w:szCs w:val="24"/>
        </w:rPr>
        <w:t>antikorupcinio vertinimo pažyma, 5 lapai.</w:t>
      </w:r>
    </w:p>
    <w:p w:rsidR="008156D0" w:rsidRPr="00015D8E" w:rsidRDefault="008156D0" w:rsidP="00BF2834">
      <w:pPr>
        <w:rPr>
          <w:sz w:val="16"/>
          <w:szCs w:val="16"/>
        </w:rPr>
      </w:pPr>
    </w:p>
    <w:p w:rsidR="008156D0" w:rsidRPr="00015D8E" w:rsidRDefault="008156D0" w:rsidP="00BF2834">
      <w:pPr>
        <w:rPr>
          <w:sz w:val="16"/>
          <w:szCs w:val="16"/>
        </w:rPr>
      </w:pPr>
    </w:p>
    <w:p w:rsidR="00474FBC" w:rsidRPr="00015D8E" w:rsidRDefault="00474FBC" w:rsidP="00BF2834">
      <w:pPr>
        <w:rPr>
          <w:sz w:val="16"/>
          <w:szCs w:val="16"/>
        </w:rPr>
      </w:pPr>
    </w:p>
    <w:p w:rsidR="00474FBC" w:rsidRPr="00015D8E" w:rsidRDefault="00474FBC" w:rsidP="00BF2834">
      <w:pPr>
        <w:rPr>
          <w:sz w:val="16"/>
          <w:szCs w:val="16"/>
        </w:rPr>
      </w:pPr>
    </w:p>
    <w:p w:rsidR="00474FBC" w:rsidRPr="00015D8E" w:rsidRDefault="00474FBC" w:rsidP="00BF2834">
      <w:pPr>
        <w:rPr>
          <w:sz w:val="16"/>
          <w:szCs w:val="16"/>
        </w:rPr>
      </w:pPr>
    </w:p>
    <w:p w:rsidR="00AC6FB8" w:rsidRDefault="00AC6FB8"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6527CF" w:rsidRDefault="006527CF"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54479B" w:rsidRDefault="0054479B" w:rsidP="00BF2834">
      <w:pPr>
        <w:rPr>
          <w:sz w:val="16"/>
          <w:szCs w:val="16"/>
        </w:rPr>
      </w:pPr>
    </w:p>
    <w:p w:rsidR="00AC6FB8" w:rsidRPr="00015D8E" w:rsidRDefault="00AC6FB8" w:rsidP="00BF2834">
      <w:pPr>
        <w:rPr>
          <w:sz w:val="16"/>
          <w:szCs w:val="16"/>
        </w:rPr>
      </w:pPr>
    </w:p>
    <w:p w:rsidR="00AC6FB8" w:rsidRPr="00015D8E" w:rsidRDefault="00AC6FB8" w:rsidP="00BF2834">
      <w:pPr>
        <w:rPr>
          <w:sz w:val="16"/>
          <w:szCs w:val="16"/>
        </w:rPr>
      </w:pPr>
    </w:p>
    <w:p w:rsidR="00BF2834" w:rsidRPr="00015D8E" w:rsidRDefault="00BF2834" w:rsidP="00BF2834">
      <w:pPr>
        <w:rPr>
          <w:sz w:val="20"/>
        </w:rPr>
      </w:pPr>
    </w:p>
    <w:p w:rsidR="005568F0" w:rsidRPr="0054479B" w:rsidRDefault="00474FBC" w:rsidP="006F06A0">
      <w:pPr>
        <w:tabs>
          <w:tab w:val="left" w:pos="284"/>
          <w:tab w:val="left" w:pos="426"/>
        </w:tabs>
        <w:rPr>
          <w:sz w:val="20"/>
        </w:rPr>
      </w:pPr>
      <w:r w:rsidRPr="00015D8E">
        <w:rPr>
          <w:sz w:val="20"/>
        </w:rPr>
        <w:t xml:space="preserve">N. </w:t>
      </w:r>
      <w:proofErr w:type="spellStart"/>
      <w:r w:rsidRPr="00015D8E">
        <w:rPr>
          <w:sz w:val="20"/>
        </w:rPr>
        <w:t>Černiauskė</w:t>
      </w:r>
      <w:proofErr w:type="spellEnd"/>
      <w:r w:rsidRPr="00015D8E">
        <w:rPr>
          <w:sz w:val="20"/>
        </w:rPr>
        <w:t>, tel. (8 5) 2390 141</w:t>
      </w:r>
      <w:r w:rsidR="009D70FA" w:rsidRPr="00015D8E">
        <w:rPr>
          <w:sz w:val="20"/>
        </w:rPr>
        <w:t>, el. p</w:t>
      </w:r>
      <w:r w:rsidR="009D70FA" w:rsidRPr="0054479B">
        <w:rPr>
          <w:sz w:val="20"/>
        </w:rPr>
        <w:t xml:space="preserve">. </w:t>
      </w:r>
      <w:hyperlink r:id="rId19" w:history="1">
        <w:r w:rsidR="00A140D4" w:rsidRPr="0054479B">
          <w:rPr>
            <w:rStyle w:val="Hipersaitas"/>
            <w:color w:val="auto"/>
            <w:sz w:val="20"/>
            <w:u w:val="none"/>
          </w:rPr>
          <w:t>neringa.cerniauske@finmin.lt</w:t>
        </w:r>
      </w:hyperlink>
    </w:p>
    <w:sectPr w:rsidR="005568F0" w:rsidRPr="0054479B" w:rsidSect="002710C3">
      <w:footerReference w:type="default" r:id="rId20"/>
      <w:type w:val="continuous"/>
      <w:pgSz w:w="11906" w:h="16838" w:code="9"/>
      <w:pgMar w:top="851" w:right="567" w:bottom="568" w:left="1418"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30F" w:rsidRDefault="005E730F">
      <w:r>
        <w:separator/>
      </w:r>
    </w:p>
  </w:endnote>
  <w:endnote w:type="continuationSeparator" w:id="0">
    <w:p w:rsidR="005E730F" w:rsidRDefault="005E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20" w:rsidRDefault="00FE4F20">
    <w:pPr>
      <w:ind w:right="227"/>
      <w:jc w:val="right"/>
    </w:pPr>
    <w:r>
      <w:rPr>
        <w:sz w:val="10"/>
      </w:rPr>
      <w:fldChar w:fldCharType="begin"/>
    </w:r>
    <w:r>
      <w:rPr>
        <w:sz w:val="10"/>
      </w:rPr>
      <w:instrText xml:space="preserve"> FILENAME  \* MERGEFORMAT </w:instrText>
    </w:r>
    <w:r>
      <w:rPr>
        <w:sz w:val="10"/>
      </w:rPr>
      <w:fldChar w:fldCharType="separate"/>
    </w:r>
    <w:r w:rsidR="00972C33">
      <w:rPr>
        <w:noProof/>
        <w:sz w:val="10"/>
      </w:rPr>
      <w:t>0.1. Teikimas LRV</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FE4F20">
      <w:tc>
        <w:tcPr>
          <w:tcW w:w="3119" w:type="dxa"/>
        </w:tcPr>
        <w:p w:rsidR="00FE4F20" w:rsidRDefault="00FE4F20">
          <w:pPr>
            <w:pStyle w:val="Porat"/>
            <w:rPr>
              <w:sz w:val="16"/>
            </w:rPr>
          </w:pPr>
          <w:r>
            <w:rPr>
              <w:sz w:val="16"/>
            </w:rPr>
            <w:t xml:space="preserve">Kodas 8860165 </w:t>
          </w:r>
        </w:p>
      </w:tc>
      <w:tc>
        <w:tcPr>
          <w:tcW w:w="1615" w:type="dxa"/>
        </w:tcPr>
        <w:p w:rsidR="00FE4F20" w:rsidRDefault="00FE4F20">
          <w:pPr>
            <w:pStyle w:val="Porat"/>
            <w:rPr>
              <w:sz w:val="16"/>
            </w:rPr>
          </w:pPr>
          <w:r>
            <w:rPr>
              <w:sz w:val="16"/>
            </w:rPr>
            <w:t>Telefonas  39 00 05</w:t>
          </w:r>
        </w:p>
      </w:tc>
      <w:tc>
        <w:tcPr>
          <w:tcW w:w="2212" w:type="dxa"/>
        </w:tcPr>
        <w:p w:rsidR="00FE4F20" w:rsidRDefault="00FE4F20">
          <w:pPr>
            <w:pStyle w:val="Porat"/>
            <w:rPr>
              <w:sz w:val="16"/>
            </w:rPr>
          </w:pPr>
          <w:r>
            <w:rPr>
              <w:sz w:val="16"/>
            </w:rPr>
            <w:t>El. paštas: finmin@finmin.lt</w:t>
          </w:r>
        </w:p>
      </w:tc>
      <w:tc>
        <w:tcPr>
          <w:tcW w:w="2552" w:type="dxa"/>
        </w:tcPr>
        <w:p w:rsidR="00FE4F20" w:rsidRDefault="00FE4F20">
          <w:pPr>
            <w:pStyle w:val="Porat"/>
            <w:rPr>
              <w:sz w:val="16"/>
            </w:rPr>
          </w:pPr>
          <w:r>
            <w:rPr>
              <w:sz w:val="16"/>
            </w:rPr>
            <w:t>Atsiskait. sąsk. Nr. 253002007</w:t>
          </w:r>
        </w:p>
      </w:tc>
    </w:tr>
    <w:tr w:rsidR="00FE4F20">
      <w:tc>
        <w:tcPr>
          <w:tcW w:w="3119" w:type="dxa"/>
        </w:tcPr>
        <w:p w:rsidR="00FE4F20" w:rsidRDefault="00FE4F20">
          <w:pPr>
            <w:pStyle w:val="Porat"/>
            <w:rPr>
              <w:sz w:val="16"/>
            </w:rPr>
          </w:pPr>
          <w:r>
            <w:rPr>
              <w:sz w:val="16"/>
            </w:rPr>
            <w:t>J. Tumo-Vaižganto g. 8</w:t>
          </w:r>
          <w:r>
            <w:rPr>
              <w:sz w:val="16"/>
              <w:vertAlign w:val="superscript"/>
            </w:rPr>
            <w:t>A</w:t>
          </w:r>
          <w:r>
            <w:rPr>
              <w:sz w:val="16"/>
            </w:rPr>
            <w:t>/2 LT-2600 Vilnius</w:t>
          </w:r>
        </w:p>
      </w:tc>
      <w:tc>
        <w:tcPr>
          <w:tcW w:w="1615" w:type="dxa"/>
        </w:tcPr>
        <w:p w:rsidR="00FE4F20" w:rsidRDefault="00FE4F20">
          <w:pPr>
            <w:pStyle w:val="Porat"/>
            <w:rPr>
              <w:sz w:val="16"/>
            </w:rPr>
          </w:pPr>
          <w:r>
            <w:rPr>
              <w:sz w:val="16"/>
            </w:rPr>
            <w:t>Faksas     79 14 81</w:t>
          </w:r>
        </w:p>
      </w:tc>
      <w:tc>
        <w:tcPr>
          <w:tcW w:w="2212" w:type="dxa"/>
        </w:tcPr>
        <w:p w:rsidR="00FE4F20" w:rsidRDefault="00FE4F20">
          <w:pPr>
            <w:pStyle w:val="Porat"/>
            <w:rPr>
              <w:sz w:val="16"/>
            </w:rPr>
          </w:pPr>
          <w:r>
            <w:rPr>
              <w:sz w:val="16"/>
            </w:rPr>
            <w:t>http://www.finmin.lt</w:t>
          </w:r>
        </w:p>
      </w:tc>
      <w:tc>
        <w:tcPr>
          <w:tcW w:w="2552" w:type="dxa"/>
        </w:tcPr>
        <w:p w:rsidR="00FE4F20" w:rsidRDefault="00FE4F20">
          <w:pPr>
            <w:pStyle w:val="Porat"/>
            <w:rPr>
              <w:sz w:val="16"/>
            </w:rPr>
          </w:pPr>
          <w:r>
            <w:rPr>
              <w:sz w:val="16"/>
            </w:rPr>
            <w:t>LTB Sostinės skyrius, kodas 60111</w:t>
          </w:r>
        </w:p>
      </w:tc>
    </w:tr>
  </w:tbl>
  <w:p w:rsidR="00FE4F20" w:rsidRDefault="00FE4F2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20" w:rsidRPr="00775CB5" w:rsidRDefault="00FE4F20">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972C33">
      <w:rPr>
        <w:noProof/>
        <w:sz w:val="10"/>
      </w:rPr>
      <w:t>0.1. Teikimas LRV</w:t>
    </w:r>
    <w:r w:rsidRPr="00775CB5">
      <w:rPr>
        <w:sz w:val="10"/>
      </w:rPr>
      <w:fldChar w:fldCharType="end"/>
    </w:r>
  </w:p>
  <w:p w:rsidR="00FE4F20" w:rsidRPr="00775CB5" w:rsidRDefault="00FE4F20">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FE4F20" w:rsidRPr="00775CB5">
      <w:tc>
        <w:tcPr>
          <w:tcW w:w="3215" w:type="dxa"/>
        </w:tcPr>
        <w:p w:rsidR="00FE4F20" w:rsidRPr="00775CB5" w:rsidRDefault="00FE4F20">
          <w:pPr>
            <w:pStyle w:val="Porat"/>
            <w:rPr>
              <w:sz w:val="16"/>
            </w:rPr>
          </w:pPr>
          <w:r>
            <w:rPr>
              <w:sz w:val="16"/>
            </w:rPr>
            <w:t>B</w:t>
          </w:r>
          <w:r w:rsidRPr="00775CB5">
            <w:rPr>
              <w:sz w:val="16"/>
            </w:rPr>
            <w:t>iudžetinė įstaiga</w:t>
          </w:r>
        </w:p>
      </w:tc>
      <w:tc>
        <w:tcPr>
          <w:tcW w:w="1559" w:type="dxa"/>
        </w:tcPr>
        <w:p w:rsidR="00FE4F20" w:rsidRPr="00775CB5" w:rsidRDefault="00FE4F20">
          <w:pPr>
            <w:pStyle w:val="Porat"/>
            <w:tabs>
              <w:tab w:val="clear" w:pos="4153"/>
              <w:tab w:val="clear" w:pos="8306"/>
            </w:tabs>
            <w:rPr>
              <w:sz w:val="16"/>
            </w:rPr>
          </w:pPr>
          <w:r w:rsidRPr="00775CB5">
            <w:rPr>
              <w:sz w:val="16"/>
            </w:rPr>
            <w:t>Tel.   (8 5) 239 0000</w:t>
          </w:r>
        </w:p>
      </w:tc>
      <w:tc>
        <w:tcPr>
          <w:tcW w:w="1984" w:type="dxa"/>
        </w:tcPr>
        <w:p w:rsidR="00FE4F20" w:rsidRPr="00775CB5" w:rsidRDefault="00FE4F20">
          <w:pPr>
            <w:pStyle w:val="Porat"/>
            <w:rPr>
              <w:sz w:val="16"/>
            </w:rPr>
          </w:pPr>
          <w:r w:rsidRPr="00775CB5">
            <w:rPr>
              <w:sz w:val="16"/>
            </w:rPr>
            <w:t>El. paštas finmin@finmin.lt</w:t>
          </w:r>
        </w:p>
      </w:tc>
      <w:tc>
        <w:tcPr>
          <w:tcW w:w="2836" w:type="dxa"/>
        </w:tcPr>
        <w:p w:rsidR="00FE4F20" w:rsidRPr="00775CB5" w:rsidRDefault="00FE4F20">
          <w:pPr>
            <w:pStyle w:val="Porat"/>
            <w:rPr>
              <w:sz w:val="16"/>
            </w:rPr>
          </w:pPr>
          <w:r w:rsidRPr="00775CB5">
            <w:rPr>
              <w:sz w:val="16"/>
            </w:rPr>
            <w:t>Duomenys kaupiami ir saugomi</w:t>
          </w:r>
          <w:r>
            <w:rPr>
              <w:sz w:val="16"/>
            </w:rPr>
            <w:t xml:space="preserve"> </w:t>
          </w:r>
          <w:r w:rsidRPr="00775CB5">
            <w:rPr>
              <w:sz w:val="16"/>
            </w:rPr>
            <w:t>Juridinių</w:t>
          </w:r>
        </w:p>
      </w:tc>
    </w:tr>
    <w:tr w:rsidR="00FE4F20" w:rsidRPr="00775CB5">
      <w:tc>
        <w:tcPr>
          <w:tcW w:w="3215" w:type="dxa"/>
        </w:tcPr>
        <w:p w:rsidR="00FE4F20" w:rsidRPr="00775CB5" w:rsidRDefault="00FE4F20">
          <w:pPr>
            <w:pStyle w:val="Porat"/>
            <w:rPr>
              <w:sz w:val="16"/>
            </w:rPr>
          </w:pPr>
          <w:r>
            <w:rPr>
              <w:sz w:val="16"/>
            </w:rPr>
            <w:t xml:space="preserve">Lukiškių g. </w:t>
          </w:r>
          <w:r w:rsidRPr="00775CB5">
            <w:rPr>
              <w:sz w:val="16"/>
            </w:rPr>
            <w:t>2, LT-01512 Vilnius</w:t>
          </w:r>
        </w:p>
      </w:tc>
      <w:tc>
        <w:tcPr>
          <w:tcW w:w="1559" w:type="dxa"/>
        </w:tcPr>
        <w:p w:rsidR="00FE4F20" w:rsidRPr="00775CB5" w:rsidRDefault="00FE4F20">
          <w:pPr>
            <w:pStyle w:val="Porat"/>
            <w:rPr>
              <w:sz w:val="16"/>
            </w:rPr>
          </w:pPr>
          <w:r w:rsidRPr="00775CB5">
            <w:rPr>
              <w:sz w:val="16"/>
            </w:rPr>
            <w:t>Faks. (8 5) 279 1481</w:t>
          </w:r>
        </w:p>
      </w:tc>
      <w:tc>
        <w:tcPr>
          <w:tcW w:w="1984" w:type="dxa"/>
        </w:tcPr>
        <w:p w:rsidR="00FE4F20" w:rsidRPr="00775CB5" w:rsidRDefault="00FE4F20">
          <w:pPr>
            <w:pStyle w:val="Porat"/>
            <w:rPr>
              <w:sz w:val="16"/>
            </w:rPr>
          </w:pPr>
          <w:r w:rsidRPr="00775CB5">
            <w:rPr>
              <w:sz w:val="16"/>
            </w:rPr>
            <w:t>http://www.finmin.lt</w:t>
          </w:r>
        </w:p>
      </w:tc>
      <w:tc>
        <w:tcPr>
          <w:tcW w:w="2836" w:type="dxa"/>
        </w:tcPr>
        <w:p w:rsidR="00FE4F20" w:rsidRPr="00775CB5" w:rsidRDefault="00FE4F20" w:rsidP="00775CB5">
          <w:pPr>
            <w:pStyle w:val="Porat"/>
            <w:rPr>
              <w:sz w:val="16"/>
            </w:rPr>
          </w:pPr>
          <w:r w:rsidRPr="00775CB5">
            <w:rPr>
              <w:sz w:val="16"/>
            </w:rPr>
            <w:t>asmenų registre</w:t>
          </w:r>
          <w:r>
            <w:rPr>
              <w:sz w:val="16"/>
            </w:rPr>
            <w:t>, k</w:t>
          </w:r>
          <w:r w:rsidRPr="00775CB5">
            <w:rPr>
              <w:sz w:val="16"/>
            </w:rPr>
            <w:t>odas 288601650</w:t>
          </w:r>
        </w:p>
      </w:tc>
    </w:tr>
  </w:tbl>
  <w:p w:rsidR="00FE4F20" w:rsidRPr="00775CB5" w:rsidRDefault="00FE4F2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20" w:rsidRDefault="00FE4F20">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30F" w:rsidRDefault="005E730F">
      <w:r>
        <w:separator/>
      </w:r>
    </w:p>
  </w:footnote>
  <w:footnote w:type="continuationSeparator" w:id="0">
    <w:p w:rsidR="005E730F" w:rsidRDefault="005E7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20" w:rsidRDefault="00FE4F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E4F20" w:rsidRDefault="00FE4F20">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20" w:rsidRDefault="00FE4F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02BC3">
      <w:rPr>
        <w:rStyle w:val="Puslapionumeris"/>
        <w:noProof/>
      </w:rPr>
      <w:t>5</w:t>
    </w:r>
    <w:r>
      <w:rPr>
        <w:rStyle w:val="Puslapionumeris"/>
      </w:rPr>
      <w:fldChar w:fldCharType="end"/>
    </w:r>
  </w:p>
  <w:p w:rsidR="00FE4F20" w:rsidRDefault="00FE4F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20" w:rsidRDefault="00FE4F20">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B5F"/>
    <w:multiLevelType w:val="hybridMultilevel"/>
    <w:tmpl w:val="208E6EE6"/>
    <w:lvl w:ilvl="0" w:tplc="DC88F6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DF15AD"/>
    <w:multiLevelType w:val="hybridMultilevel"/>
    <w:tmpl w:val="468CF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7E5D6D"/>
    <w:multiLevelType w:val="hybridMultilevel"/>
    <w:tmpl w:val="D7FEEEAC"/>
    <w:lvl w:ilvl="0" w:tplc="F4062EA4">
      <w:start w:val="1"/>
      <w:numFmt w:val="upp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nsid w:val="132823CD"/>
    <w:multiLevelType w:val="hybridMultilevel"/>
    <w:tmpl w:val="92AE904E"/>
    <w:lvl w:ilvl="0" w:tplc="9D02C45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31F71F7C"/>
    <w:multiLevelType w:val="hybridMultilevel"/>
    <w:tmpl w:val="1DAC9F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9C66944"/>
    <w:multiLevelType w:val="hybridMultilevel"/>
    <w:tmpl w:val="C10A2D96"/>
    <w:lvl w:ilvl="0" w:tplc="61CC43B4">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565E2785"/>
    <w:multiLevelType w:val="hybridMultilevel"/>
    <w:tmpl w:val="DAA47A10"/>
    <w:lvl w:ilvl="0" w:tplc="A85EB852">
      <w:start w:val="2020"/>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nsid w:val="5B593AB5"/>
    <w:multiLevelType w:val="hybridMultilevel"/>
    <w:tmpl w:val="093CAC14"/>
    <w:lvl w:ilvl="0" w:tplc="CC64AA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CF734FE"/>
    <w:multiLevelType w:val="hybridMultilevel"/>
    <w:tmpl w:val="5A0CF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08941D9"/>
    <w:multiLevelType w:val="hybridMultilevel"/>
    <w:tmpl w:val="9FFE56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CD603D4"/>
    <w:multiLevelType w:val="hybridMultilevel"/>
    <w:tmpl w:val="BF001B52"/>
    <w:lvl w:ilvl="0" w:tplc="04270015">
      <w:start w:val="1"/>
      <w:numFmt w:val="upperLetter"/>
      <w:lvlText w:val="%1."/>
      <w:lvlJc w:val="left"/>
      <w:pPr>
        <w:ind w:left="720" w:hanging="360"/>
      </w:pPr>
      <w:rPr>
        <w:rFonts w:hint="default"/>
      </w:rPr>
    </w:lvl>
    <w:lvl w:ilvl="1" w:tplc="6B9CAB9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10"/>
  </w:num>
  <w:num w:numId="5">
    <w:abstractNumId w:val="4"/>
  </w:num>
  <w:num w:numId="6">
    <w:abstractNumId w:val="8"/>
  </w:num>
  <w:num w:numId="7">
    <w:abstractNumId w:val="2"/>
  </w:num>
  <w:num w:numId="8">
    <w:abstractNumId w:val="7"/>
  </w:num>
  <w:num w:numId="9">
    <w:abstractNumId w:val="0"/>
  </w:num>
  <w:num w:numId="10">
    <w:abstractNumId w:val="6"/>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b1jfM7VgEUpCxHSCBKZ0OPi9hs=" w:salt="QaPLFMnydiIOEPK8verEL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24"/>
    <w:rsid w:val="000000B8"/>
    <w:rsid w:val="00004242"/>
    <w:rsid w:val="000125A8"/>
    <w:rsid w:val="00015D8E"/>
    <w:rsid w:val="00032AF1"/>
    <w:rsid w:val="00032D90"/>
    <w:rsid w:val="0005207D"/>
    <w:rsid w:val="00056FCD"/>
    <w:rsid w:val="0006460C"/>
    <w:rsid w:val="00076760"/>
    <w:rsid w:val="00085E6F"/>
    <w:rsid w:val="000B56C4"/>
    <w:rsid w:val="000B571D"/>
    <w:rsid w:val="000C3E23"/>
    <w:rsid w:val="000D7E42"/>
    <w:rsid w:val="000E3B9D"/>
    <w:rsid w:val="000F690C"/>
    <w:rsid w:val="00106272"/>
    <w:rsid w:val="00110819"/>
    <w:rsid w:val="00150667"/>
    <w:rsid w:val="0015289D"/>
    <w:rsid w:val="00160501"/>
    <w:rsid w:val="00172BE5"/>
    <w:rsid w:val="001770F5"/>
    <w:rsid w:val="001A1D75"/>
    <w:rsid w:val="001B25B8"/>
    <w:rsid w:val="001B65E3"/>
    <w:rsid w:val="001D0927"/>
    <w:rsid w:val="001D6264"/>
    <w:rsid w:val="00214CDC"/>
    <w:rsid w:val="0024755D"/>
    <w:rsid w:val="002535C3"/>
    <w:rsid w:val="00254EF9"/>
    <w:rsid w:val="0026796A"/>
    <w:rsid w:val="002710C3"/>
    <w:rsid w:val="00273649"/>
    <w:rsid w:val="00277771"/>
    <w:rsid w:val="00283A23"/>
    <w:rsid w:val="00290AA9"/>
    <w:rsid w:val="002A6821"/>
    <w:rsid w:val="002B3751"/>
    <w:rsid w:val="002B60AF"/>
    <w:rsid w:val="002E6684"/>
    <w:rsid w:val="002F325D"/>
    <w:rsid w:val="00302BC3"/>
    <w:rsid w:val="00306F3E"/>
    <w:rsid w:val="00317D73"/>
    <w:rsid w:val="0032000C"/>
    <w:rsid w:val="00323395"/>
    <w:rsid w:val="00363D08"/>
    <w:rsid w:val="003742E2"/>
    <w:rsid w:val="00375361"/>
    <w:rsid w:val="003801EE"/>
    <w:rsid w:val="003A6518"/>
    <w:rsid w:val="003B464C"/>
    <w:rsid w:val="003D771F"/>
    <w:rsid w:val="003F4075"/>
    <w:rsid w:val="003F5110"/>
    <w:rsid w:val="003F5A20"/>
    <w:rsid w:val="00400EF6"/>
    <w:rsid w:val="004177D8"/>
    <w:rsid w:val="00417B39"/>
    <w:rsid w:val="00420080"/>
    <w:rsid w:val="004268CF"/>
    <w:rsid w:val="004331CC"/>
    <w:rsid w:val="00471A03"/>
    <w:rsid w:val="004728B8"/>
    <w:rsid w:val="00474FBC"/>
    <w:rsid w:val="004761B8"/>
    <w:rsid w:val="004A2157"/>
    <w:rsid w:val="004A5AA5"/>
    <w:rsid w:val="004B1C7D"/>
    <w:rsid w:val="004B3754"/>
    <w:rsid w:val="004C63D1"/>
    <w:rsid w:val="004D394C"/>
    <w:rsid w:val="004F04DF"/>
    <w:rsid w:val="004F1AE4"/>
    <w:rsid w:val="0051135E"/>
    <w:rsid w:val="00513402"/>
    <w:rsid w:val="005136E1"/>
    <w:rsid w:val="005327CF"/>
    <w:rsid w:val="0054479B"/>
    <w:rsid w:val="005568F0"/>
    <w:rsid w:val="00561879"/>
    <w:rsid w:val="0057037F"/>
    <w:rsid w:val="005719A8"/>
    <w:rsid w:val="00571BB0"/>
    <w:rsid w:val="005A1969"/>
    <w:rsid w:val="005C4E19"/>
    <w:rsid w:val="005E65D9"/>
    <w:rsid w:val="005E730F"/>
    <w:rsid w:val="005F3F32"/>
    <w:rsid w:val="005F7A8D"/>
    <w:rsid w:val="0060035D"/>
    <w:rsid w:val="006050C1"/>
    <w:rsid w:val="00607612"/>
    <w:rsid w:val="00607EE6"/>
    <w:rsid w:val="00631D50"/>
    <w:rsid w:val="00631EE0"/>
    <w:rsid w:val="006519F8"/>
    <w:rsid w:val="006527CF"/>
    <w:rsid w:val="00654131"/>
    <w:rsid w:val="00654754"/>
    <w:rsid w:val="00676E45"/>
    <w:rsid w:val="006867A1"/>
    <w:rsid w:val="006A45F7"/>
    <w:rsid w:val="006C74B0"/>
    <w:rsid w:val="006D0BD8"/>
    <w:rsid w:val="006D21E7"/>
    <w:rsid w:val="006E08CC"/>
    <w:rsid w:val="006E6496"/>
    <w:rsid w:val="006F06A0"/>
    <w:rsid w:val="00703E9A"/>
    <w:rsid w:val="007058D9"/>
    <w:rsid w:val="00732393"/>
    <w:rsid w:val="00741C12"/>
    <w:rsid w:val="00747B84"/>
    <w:rsid w:val="00751F4E"/>
    <w:rsid w:val="00757705"/>
    <w:rsid w:val="00761CCF"/>
    <w:rsid w:val="007646CD"/>
    <w:rsid w:val="0076529F"/>
    <w:rsid w:val="007728B7"/>
    <w:rsid w:val="00775CB5"/>
    <w:rsid w:val="0078527B"/>
    <w:rsid w:val="00797439"/>
    <w:rsid w:val="007A71C3"/>
    <w:rsid w:val="007B1606"/>
    <w:rsid w:val="007B1827"/>
    <w:rsid w:val="007B54B7"/>
    <w:rsid w:val="007B716F"/>
    <w:rsid w:val="007C435B"/>
    <w:rsid w:val="007D15CA"/>
    <w:rsid w:val="007D5424"/>
    <w:rsid w:val="007E2311"/>
    <w:rsid w:val="007F435C"/>
    <w:rsid w:val="0080094D"/>
    <w:rsid w:val="008151E8"/>
    <w:rsid w:val="008156D0"/>
    <w:rsid w:val="0082151B"/>
    <w:rsid w:val="00834D79"/>
    <w:rsid w:val="00846A02"/>
    <w:rsid w:val="00852D23"/>
    <w:rsid w:val="008611B9"/>
    <w:rsid w:val="00867D56"/>
    <w:rsid w:val="00880A66"/>
    <w:rsid w:val="0089529F"/>
    <w:rsid w:val="00897B15"/>
    <w:rsid w:val="008A5BEC"/>
    <w:rsid w:val="008B20FA"/>
    <w:rsid w:val="008B7560"/>
    <w:rsid w:val="008D0465"/>
    <w:rsid w:val="008D3F64"/>
    <w:rsid w:val="008E5FC0"/>
    <w:rsid w:val="008F2582"/>
    <w:rsid w:val="008F2B8A"/>
    <w:rsid w:val="008F620D"/>
    <w:rsid w:val="008F7F6B"/>
    <w:rsid w:val="009173EB"/>
    <w:rsid w:val="00917C2A"/>
    <w:rsid w:val="0092328C"/>
    <w:rsid w:val="00925D97"/>
    <w:rsid w:val="009426B8"/>
    <w:rsid w:val="00943D26"/>
    <w:rsid w:val="00952B3C"/>
    <w:rsid w:val="00952F34"/>
    <w:rsid w:val="0096013A"/>
    <w:rsid w:val="00971900"/>
    <w:rsid w:val="00972C33"/>
    <w:rsid w:val="0097620E"/>
    <w:rsid w:val="009A4B50"/>
    <w:rsid w:val="009D4B57"/>
    <w:rsid w:val="009D70FA"/>
    <w:rsid w:val="009D7311"/>
    <w:rsid w:val="009F199D"/>
    <w:rsid w:val="009F1D65"/>
    <w:rsid w:val="009F36A2"/>
    <w:rsid w:val="009F6E16"/>
    <w:rsid w:val="00A140D4"/>
    <w:rsid w:val="00A35FB4"/>
    <w:rsid w:val="00A45497"/>
    <w:rsid w:val="00A52DD1"/>
    <w:rsid w:val="00A63B2B"/>
    <w:rsid w:val="00A87380"/>
    <w:rsid w:val="00A943E0"/>
    <w:rsid w:val="00A94F80"/>
    <w:rsid w:val="00AA26E2"/>
    <w:rsid w:val="00AA7B37"/>
    <w:rsid w:val="00AB649A"/>
    <w:rsid w:val="00AC2247"/>
    <w:rsid w:val="00AC2A4E"/>
    <w:rsid w:val="00AC6FB8"/>
    <w:rsid w:val="00AE6530"/>
    <w:rsid w:val="00B01877"/>
    <w:rsid w:val="00B01EDC"/>
    <w:rsid w:val="00B56BC0"/>
    <w:rsid w:val="00B6191B"/>
    <w:rsid w:val="00B62CC5"/>
    <w:rsid w:val="00B75A9E"/>
    <w:rsid w:val="00B82E54"/>
    <w:rsid w:val="00B961E0"/>
    <w:rsid w:val="00BB16DF"/>
    <w:rsid w:val="00BC6D30"/>
    <w:rsid w:val="00BF2834"/>
    <w:rsid w:val="00BF32C5"/>
    <w:rsid w:val="00C230C2"/>
    <w:rsid w:val="00C37FC0"/>
    <w:rsid w:val="00C40819"/>
    <w:rsid w:val="00C41740"/>
    <w:rsid w:val="00C42950"/>
    <w:rsid w:val="00C4423B"/>
    <w:rsid w:val="00C559A3"/>
    <w:rsid w:val="00C66301"/>
    <w:rsid w:val="00C8139A"/>
    <w:rsid w:val="00C83182"/>
    <w:rsid w:val="00C84897"/>
    <w:rsid w:val="00CA3EAD"/>
    <w:rsid w:val="00CA6BA9"/>
    <w:rsid w:val="00CA7055"/>
    <w:rsid w:val="00CC560C"/>
    <w:rsid w:val="00CD322A"/>
    <w:rsid w:val="00CF7217"/>
    <w:rsid w:val="00D204A8"/>
    <w:rsid w:val="00D33153"/>
    <w:rsid w:val="00D40337"/>
    <w:rsid w:val="00D42DCA"/>
    <w:rsid w:val="00D5359A"/>
    <w:rsid w:val="00D639B6"/>
    <w:rsid w:val="00D665A0"/>
    <w:rsid w:val="00D905C6"/>
    <w:rsid w:val="00D925FB"/>
    <w:rsid w:val="00DA1599"/>
    <w:rsid w:val="00DA1E26"/>
    <w:rsid w:val="00DA6D32"/>
    <w:rsid w:val="00DE5EB3"/>
    <w:rsid w:val="00E17887"/>
    <w:rsid w:val="00E31126"/>
    <w:rsid w:val="00E36767"/>
    <w:rsid w:val="00E40837"/>
    <w:rsid w:val="00E43B49"/>
    <w:rsid w:val="00E5091A"/>
    <w:rsid w:val="00E66288"/>
    <w:rsid w:val="00E677D4"/>
    <w:rsid w:val="00E807CE"/>
    <w:rsid w:val="00E8361D"/>
    <w:rsid w:val="00E84DF5"/>
    <w:rsid w:val="00EB04ED"/>
    <w:rsid w:val="00EB64EF"/>
    <w:rsid w:val="00EC31A8"/>
    <w:rsid w:val="00EC3862"/>
    <w:rsid w:val="00EC586A"/>
    <w:rsid w:val="00EC5FE3"/>
    <w:rsid w:val="00ED2041"/>
    <w:rsid w:val="00EE1F39"/>
    <w:rsid w:val="00EF447B"/>
    <w:rsid w:val="00F02675"/>
    <w:rsid w:val="00F120E0"/>
    <w:rsid w:val="00F13E77"/>
    <w:rsid w:val="00F64FDA"/>
    <w:rsid w:val="00F710E6"/>
    <w:rsid w:val="00F82BF7"/>
    <w:rsid w:val="00FA583F"/>
    <w:rsid w:val="00FA5A25"/>
    <w:rsid w:val="00FC5DB1"/>
    <w:rsid w:val="00FD7B14"/>
    <w:rsid w:val="00FE0A3C"/>
    <w:rsid w:val="00FE1281"/>
    <w:rsid w:val="00FE21B0"/>
    <w:rsid w:val="00FE4F20"/>
    <w:rsid w:val="00FF7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BF28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2834"/>
    <w:rPr>
      <w:rFonts w:ascii="Tahoma" w:hAnsi="Tahoma" w:cs="Tahoma"/>
      <w:sz w:val="16"/>
      <w:szCs w:val="16"/>
    </w:rPr>
  </w:style>
  <w:style w:type="paragraph" w:styleId="Sraopastraipa">
    <w:name w:val="List Paragraph"/>
    <w:basedOn w:val="prastasis"/>
    <w:uiPriority w:val="34"/>
    <w:qFormat/>
    <w:rsid w:val="00BF2834"/>
    <w:pPr>
      <w:ind w:left="720"/>
      <w:contextualSpacing/>
    </w:pPr>
    <w:rPr>
      <w:szCs w:val="24"/>
    </w:rPr>
  </w:style>
  <w:style w:type="character" w:styleId="Hipersaitas">
    <w:name w:val="Hyperlink"/>
    <w:basedOn w:val="Numatytasispastraiposriftas"/>
    <w:uiPriority w:val="99"/>
    <w:unhideWhenUsed/>
    <w:rsid w:val="005568F0"/>
    <w:rPr>
      <w:color w:val="0000FF" w:themeColor="hyperlink"/>
      <w:u w:val="single"/>
    </w:rPr>
  </w:style>
  <w:style w:type="table" w:styleId="Lentelstinklelis">
    <w:name w:val="Table Grid"/>
    <w:basedOn w:val="prastojilentel"/>
    <w:uiPriority w:val="59"/>
    <w:rsid w:val="00747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F2582"/>
    <w:rPr>
      <w:sz w:val="16"/>
      <w:szCs w:val="16"/>
    </w:rPr>
  </w:style>
  <w:style w:type="paragraph" w:styleId="Komentarotekstas">
    <w:name w:val="annotation text"/>
    <w:basedOn w:val="prastasis"/>
    <w:link w:val="KomentarotekstasDiagrama"/>
    <w:uiPriority w:val="99"/>
    <w:semiHidden/>
    <w:unhideWhenUsed/>
    <w:rsid w:val="008F2582"/>
    <w:rPr>
      <w:sz w:val="20"/>
    </w:rPr>
  </w:style>
  <w:style w:type="character" w:customStyle="1" w:styleId="KomentarotekstasDiagrama">
    <w:name w:val="Komentaro tekstas Diagrama"/>
    <w:basedOn w:val="Numatytasispastraiposriftas"/>
    <w:link w:val="Komentarotekstas"/>
    <w:uiPriority w:val="99"/>
    <w:semiHidden/>
    <w:rsid w:val="008F2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BF28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2834"/>
    <w:rPr>
      <w:rFonts w:ascii="Tahoma" w:hAnsi="Tahoma" w:cs="Tahoma"/>
      <w:sz w:val="16"/>
      <w:szCs w:val="16"/>
    </w:rPr>
  </w:style>
  <w:style w:type="paragraph" w:styleId="Sraopastraipa">
    <w:name w:val="List Paragraph"/>
    <w:basedOn w:val="prastasis"/>
    <w:uiPriority w:val="34"/>
    <w:qFormat/>
    <w:rsid w:val="00BF2834"/>
    <w:pPr>
      <w:ind w:left="720"/>
      <w:contextualSpacing/>
    </w:pPr>
    <w:rPr>
      <w:szCs w:val="24"/>
    </w:rPr>
  </w:style>
  <w:style w:type="character" w:styleId="Hipersaitas">
    <w:name w:val="Hyperlink"/>
    <w:basedOn w:val="Numatytasispastraiposriftas"/>
    <w:uiPriority w:val="99"/>
    <w:unhideWhenUsed/>
    <w:rsid w:val="005568F0"/>
    <w:rPr>
      <w:color w:val="0000FF" w:themeColor="hyperlink"/>
      <w:u w:val="single"/>
    </w:rPr>
  </w:style>
  <w:style w:type="table" w:styleId="Lentelstinklelis">
    <w:name w:val="Table Grid"/>
    <w:basedOn w:val="prastojilentel"/>
    <w:uiPriority w:val="59"/>
    <w:rsid w:val="00747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F2582"/>
    <w:rPr>
      <w:sz w:val="16"/>
      <w:szCs w:val="16"/>
    </w:rPr>
  </w:style>
  <w:style w:type="paragraph" w:styleId="Komentarotekstas">
    <w:name w:val="annotation text"/>
    <w:basedOn w:val="prastasis"/>
    <w:link w:val="KomentarotekstasDiagrama"/>
    <w:uiPriority w:val="99"/>
    <w:semiHidden/>
    <w:unhideWhenUsed/>
    <w:rsid w:val="008F2582"/>
    <w:rPr>
      <w:sz w:val="20"/>
    </w:rPr>
  </w:style>
  <w:style w:type="character" w:customStyle="1" w:styleId="KomentarotekstasDiagrama">
    <w:name w:val="Komentaro tekstas Diagrama"/>
    <w:basedOn w:val="Numatytasispastraiposriftas"/>
    <w:link w:val="Komentarotekstas"/>
    <w:uiPriority w:val="99"/>
    <w:semiHidden/>
    <w:rsid w:val="008F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601158">
      <w:bodyDiv w:val="1"/>
      <w:marLeft w:val="0"/>
      <w:marRight w:val="0"/>
      <w:marTop w:val="0"/>
      <w:marBottom w:val="0"/>
      <w:divBdr>
        <w:top w:val="none" w:sz="0" w:space="0" w:color="auto"/>
        <w:left w:val="none" w:sz="0" w:space="0" w:color="auto"/>
        <w:bottom w:val="none" w:sz="0" w:space="0" w:color="auto"/>
        <w:right w:val="none" w:sz="0" w:space="0" w:color="auto"/>
      </w:divBdr>
    </w:div>
    <w:div w:id="1827285286">
      <w:bodyDiv w:val="1"/>
      <w:marLeft w:val="225"/>
      <w:marRight w:val="225"/>
      <w:marTop w:val="0"/>
      <w:marBottom w:val="0"/>
      <w:divBdr>
        <w:top w:val="none" w:sz="0" w:space="0" w:color="auto"/>
        <w:left w:val="none" w:sz="0" w:space="0" w:color="auto"/>
        <w:bottom w:val="none" w:sz="0" w:space="0" w:color="auto"/>
        <w:right w:val="none" w:sz="0" w:space="0" w:color="auto"/>
      </w:divBdr>
      <w:divsChild>
        <w:div w:id="537938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RUrbonaite@lb.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evaldas.kovalenkovas@finmin.lt" TargetMode="External"/><Relationship Id="rId2" Type="http://schemas.openxmlformats.org/officeDocument/2006/relationships/numbering" Target="numbering.xml"/><Relationship Id="rId16" Type="http://schemas.openxmlformats.org/officeDocument/2006/relationships/hyperlink" Target="mailto:neringa.cerniauske@finmin.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ramune.radviliene@finmin.lt" TargetMode="External"/><Relationship Id="rId10" Type="http://schemas.openxmlformats.org/officeDocument/2006/relationships/header" Target="header1.xml"/><Relationship Id="rId19" Type="http://schemas.openxmlformats.org/officeDocument/2006/relationships/hyperlink" Target="mailto:neringa.cerniauske@finmin.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6F579-9A99-4548-A0C0-6902FAAD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9943</Words>
  <Characters>5668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Stašaitytė</dc:creator>
  <cp:lastModifiedBy>Neringa Černiauskė</cp:lastModifiedBy>
  <cp:revision>11</cp:revision>
  <cp:lastPrinted>2016-03-09T07:15:00Z</cp:lastPrinted>
  <dcterms:created xsi:type="dcterms:W3CDTF">2021-09-28T07:13:00Z</dcterms:created>
  <dcterms:modified xsi:type="dcterms:W3CDTF">2021-10-21T11:08:00Z</dcterms:modified>
</cp:coreProperties>
</file>