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81042" w14:textId="77777777" w:rsidR="00AE53C8" w:rsidRPr="00F13AE8" w:rsidRDefault="00F13AE8" w:rsidP="00F13AE8">
      <w:pPr>
        <w:jc w:val="center"/>
        <w:rPr>
          <w:rFonts w:ascii="Times New Roman" w:hAnsi="Times New Roman" w:cs="Times New Roman"/>
          <w:b/>
          <w:caps/>
          <w:sz w:val="24"/>
          <w:szCs w:val="24"/>
          <w:lang w:eastAsia="lt-LT"/>
        </w:rPr>
      </w:pPr>
      <w:r w:rsidRPr="00F13AE8">
        <w:rPr>
          <w:rFonts w:ascii="Times New Roman" w:hAnsi="Times New Roman" w:cs="Times New Roman"/>
          <w:b/>
          <w:sz w:val="24"/>
          <w:szCs w:val="24"/>
        </w:rPr>
        <w:t>LIETUVOS R</w:t>
      </w:r>
      <w:r>
        <w:rPr>
          <w:rFonts w:ascii="Times New Roman" w:hAnsi="Times New Roman" w:cs="Times New Roman"/>
          <w:b/>
          <w:sz w:val="24"/>
          <w:szCs w:val="24"/>
        </w:rPr>
        <w:t>ESPUBLIKOS VY</w:t>
      </w:r>
      <w:r w:rsidRPr="00F13AE8">
        <w:rPr>
          <w:rFonts w:ascii="Times New Roman" w:hAnsi="Times New Roman" w:cs="Times New Roman"/>
          <w:b/>
          <w:sz w:val="24"/>
          <w:szCs w:val="24"/>
        </w:rPr>
        <w:t>RIAUSYBĖS NUTARIMO</w:t>
      </w:r>
      <w:r>
        <w:rPr>
          <w:rFonts w:ascii="Times New Roman" w:hAnsi="Times New Roman" w:cs="Times New Roman"/>
          <w:b/>
          <w:caps/>
          <w:sz w:val="24"/>
          <w:szCs w:val="24"/>
          <w:lang w:eastAsia="lt-LT"/>
        </w:rPr>
        <w:t xml:space="preserve"> „</w:t>
      </w:r>
      <w:r w:rsidRPr="00F13AE8">
        <w:rPr>
          <w:rFonts w:ascii="Times New Roman" w:hAnsi="Times New Roman" w:cs="Times New Roman"/>
          <w:b/>
          <w:caps/>
          <w:sz w:val="24"/>
          <w:szCs w:val="24"/>
          <w:lang w:eastAsia="lt-LT"/>
        </w:rPr>
        <w:t>DĖL</w:t>
      </w:r>
      <w:r w:rsidRPr="00F13AE8">
        <w:rPr>
          <w:rFonts w:ascii="Times New Roman" w:hAnsi="Times New Roman" w:cs="Times New Roman"/>
          <w:b/>
          <w:sz w:val="24"/>
          <w:szCs w:val="24"/>
          <w:lang w:eastAsia="lt-LT"/>
        </w:rPr>
        <w:t xml:space="preserve"> </w:t>
      </w:r>
      <w:r w:rsidRPr="00F13AE8">
        <w:rPr>
          <w:rFonts w:ascii="Times New Roman" w:hAnsi="Times New Roman" w:cs="Times New Roman"/>
          <w:b/>
          <w:sz w:val="24"/>
          <w:szCs w:val="24"/>
        </w:rPr>
        <w:t xml:space="preserve">LIETUVOS RESPUBLIKOS LOTERIJŲ IR LOŠIMŲ MOKESČIO ĮSTATYMO NR. IX-326 4 IR 5 STRAIPSNIŲ PAKEITIMO ĮSTATYMO PROJEKTO NR. XIVP-529, LIETUVOS RESPUBLIKOS LOTERIJŲ ĮSTATYMO NR. IX-1661 19 STRAIPSNIO PAKEITIMO ĮSTATYMO PROJEKTO NR. XIVP-530, </w:t>
      </w:r>
      <w:r w:rsidRPr="00F13AE8">
        <w:rPr>
          <w:rFonts w:ascii="Times New Roman" w:hAnsi="Times New Roman" w:cs="Times New Roman"/>
          <w:b/>
          <w:caps/>
          <w:sz w:val="24"/>
          <w:szCs w:val="24"/>
          <w:lang w:eastAsia="lt-LT"/>
        </w:rPr>
        <w:t>LIETUVOS RESPUBLIKOS AZARTINIŲ LOŠIMŲ ĮSTATYMO nR. IX-325 5, 8, 8</w:t>
      </w:r>
      <w:r w:rsidRPr="00F13AE8">
        <w:rPr>
          <w:rFonts w:ascii="Times New Roman" w:hAnsi="Times New Roman" w:cs="Times New Roman"/>
          <w:b/>
          <w:caps/>
          <w:sz w:val="24"/>
          <w:szCs w:val="24"/>
          <w:vertAlign w:val="superscript"/>
          <w:lang w:eastAsia="lt-LT"/>
        </w:rPr>
        <w:t>1</w:t>
      </w:r>
      <w:r w:rsidRPr="00F13AE8">
        <w:rPr>
          <w:rFonts w:ascii="Times New Roman" w:hAnsi="Times New Roman" w:cs="Times New Roman"/>
          <w:b/>
          <w:caps/>
          <w:sz w:val="24"/>
          <w:szCs w:val="24"/>
          <w:lang w:eastAsia="lt-LT"/>
        </w:rPr>
        <w:t>, 9, 13, 21 STRAIPSNIŲ PAKEITIMO IR ĮSTATYMO PAPILDYMO 24</w:t>
      </w:r>
      <w:r w:rsidRPr="00F13AE8">
        <w:rPr>
          <w:rFonts w:ascii="Times New Roman" w:hAnsi="Times New Roman" w:cs="Times New Roman"/>
          <w:b/>
          <w:caps/>
          <w:sz w:val="24"/>
          <w:szCs w:val="24"/>
          <w:vertAlign w:val="superscript"/>
          <w:lang w:eastAsia="lt-LT"/>
        </w:rPr>
        <w:t>1</w:t>
      </w:r>
      <w:r w:rsidRPr="00F13AE8">
        <w:rPr>
          <w:rFonts w:ascii="Times New Roman" w:hAnsi="Times New Roman" w:cs="Times New Roman"/>
          <w:b/>
          <w:caps/>
          <w:sz w:val="24"/>
          <w:szCs w:val="24"/>
          <w:lang w:eastAsia="lt-LT"/>
        </w:rPr>
        <w:t xml:space="preserve"> STRAIPSNIU ĮSTATYMO PROJEKTO NR. xivp-643(2),</w:t>
      </w:r>
      <w:r w:rsidRPr="00F13AE8">
        <w:rPr>
          <w:rFonts w:ascii="Times New Roman" w:hAnsi="Times New Roman" w:cs="Times New Roman"/>
          <w:b/>
          <w:sz w:val="24"/>
          <w:szCs w:val="24"/>
          <w:lang w:eastAsia="lt-LT"/>
        </w:rPr>
        <w:t xml:space="preserve"> </w:t>
      </w:r>
      <w:r w:rsidRPr="00F13AE8">
        <w:rPr>
          <w:rFonts w:ascii="Times New Roman" w:hAnsi="Times New Roman" w:cs="Times New Roman"/>
          <w:b/>
          <w:caps/>
          <w:sz w:val="24"/>
          <w:szCs w:val="24"/>
          <w:lang w:eastAsia="lt-LT"/>
        </w:rPr>
        <w:t>LIETUVOS RESPUBLIKOS LOTERIJŲ IR LOŠIMŲ MOKESČIO ĮSTATYMO NR. IX-326 1, 6, 8 STRAIPSNIŲ PAKEITIMO IR ĮSTATYMO PAPILDYMO 51 STRAIPSNIU ĮSTATYMO PROJEKTO NR. XIVP-644(2),</w:t>
      </w:r>
      <w:r w:rsidRPr="00F13AE8">
        <w:rPr>
          <w:rFonts w:ascii="Times New Roman" w:hAnsi="Times New Roman" w:cs="Times New Roman"/>
          <w:b/>
          <w:sz w:val="24"/>
          <w:szCs w:val="24"/>
          <w:lang w:eastAsia="lt-LT"/>
        </w:rPr>
        <w:t xml:space="preserve"> </w:t>
      </w:r>
      <w:r w:rsidRPr="00F13AE8">
        <w:rPr>
          <w:rFonts w:ascii="Times New Roman" w:hAnsi="Times New Roman" w:cs="Times New Roman"/>
          <w:b/>
          <w:caps/>
          <w:sz w:val="24"/>
          <w:szCs w:val="24"/>
          <w:lang w:eastAsia="lt-LT"/>
        </w:rPr>
        <w:t>LIETUVOS RESPUBLIKOS LOTERIJŲ ĮSTATYMO NR. IX-1661 18 IR</w:t>
      </w:r>
      <w:r w:rsidRPr="00F13AE8">
        <w:rPr>
          <w:rFonts w:ascii="Times New Roman" w:hAnsi="Times New Roman" w:cs="Times New Roman"/>
          <w:b/>
          <w:sz w:val="24"/>
          <w:szCs w:val="24"/>
          <w:lang w:eastAsia="lt-LT"/>
        </w:rPr>
        <w:t xml:space="preserve"> 31 STRAIPSNIŲ PAKEITIMO IR 19 STRAIPSNIO PRIPAŽINIMO NETEKUSIU GALIOS ĮSTATYMO PROJEKTO NR. XIVP-825 IR </w:t>
      </w:r>
      <w:r w:rsidRPr="00F13AE8">
        <w:rPr>
          <w:rFonts w:ascii="Times New Roman" w:hAnsi="Times New Roman" w:cs="Times New Roman"/>
          <w:b/>
          <w:caps/>
          <w:sz w:val="24"/>
          <w:szCs w:val="24"/>
          <w:lang w:eastAsia="lt-LT"/>
        </w:rPr>
        <w:t>LIETUVOS RESPUBLIKOS LOTERIJŲ IR LOŠIMŲ MOKESČIO ĮSTATYMO NR. IX-326 5 STRAIPSNIO PAKEITIMO ĮSTATYMO PROJEKTO NR. XIVP-826</w:t>
      </w:r>
      <w:r>
        <w:rPr>
          <w:rFonts w:ascii="Times New Roman" w:hAnsi="Times New Roman" w:cs="Times New Roman"/>
          <w:b/>
          <w:caps/>
          <w:sz w:val="24"/>
          <w:szCs w:val="24"/>
          <w:lang w:eastAsia="lt-LT"/>
        </w:rPr>
        <w:t xml:space="preserve">“ PROJEKTO </w:t>
      </w:r>
    </w:p>
    <w:p w14:paraId="3AF49529" w14:textId="77777777" w:rsidR="00AE53C8" w:rsidRDefault="00AE53C8" w:rsidP="00F32B8E">
      <w:pPr>
        <w:spacing w:after="0" w:line="240" w:lineRule="auto"/>
        <w:jc w:val="center"/>
        <w:rPr>
          <w:rFonts w:ascii="Times New Roman" w:hAnsi="Times New Roman" w:cs="Times New Roman"/>
          <w:b/>
          <w:sz w:val="24"/>
          <w:szCs w:val="24"/>
        </w:rPr>
      </w:pPr>
      <w:r w:rsidRPr="00F32B8E">
        <w:rPr>
          <w:rFonts w:ascii="Times New Roman" w:hAnsi="Times New Roman" w:cs="Times New Roman"/>
          <w:b/>
          <w:sz w:val="24"/>
          <w:szCs w:val="24"/>
        </w:rPr>
        <w:t>DERINIMO PAŽYMA</w:t>
      </w:r>
    </w:p>
    <w:p w14:paraId="540B0FEC" w14:textId="77777777" w:rsidR="00AE53C8" w:rsidRPr="00F32B8E" w:rsidRDefault="00AE53C8" w:rsidP="00F32B8E">
      <w:pPr>
        <w:spacing w:after="0" w:line="240" w:lineRule="auto"/>
        <w:jc w:val="center"/>
        <w:rPr>
          <w:rFonts w:ascii="Times New Roman" w:hAnsi="Times New Roman" w:cs="Times New Roman"/>
          <w:b/>
          <w:sz w:val="24"/>
          <w:szCs w:val="24"/>
        </w:rPr>
      </w:pPr>
    </w:p>
    <w:tbl>
      <w:tblPr>
        <w:tblStyle w:val="Lentelstinklelis"/>
        <w:tblW w:w="15134" w:type="dxa"/>
        <w:tblLook w:val="04A0" w:firstRow="1" w:lastRow="0" w:firstColumn="1" w:lastColumn="0" w:noHBand="0" w:noVBand="1"/>
      </w:tblPr>
      <w:tblGrid>
        <w:gridCol w:w="2093"/>
        <w:gridCol w:w="8080"/>
        <w:gridCol w:w="4961"/>
      </w:tblGrid>
      <w:tr w:rsidR="008106FD" w14:paraId="361C5866" w14:textId="77777777" w:rsidTr="0072465D">
        <w:tc>
          <w:tcPr>
            <w:tcW w:w="2093" w:type="dxa"/>
          </w:tcPr>
          <w:p w14:paraId="476EBC42" w14:textId="77777777" w:rsidR="00AB0E5F" w:rsidRPr="002466F0" w:rsidRDefault="00AB0E5F" w:rsidP="00AB0E5F">
            <w:pPr>
              <w:rPr>
                <w:rFonts w:ascii="Times New Roman" w:hAnsi="Times New Roman" w:cs="Times New Roman"/>
                <w:sz w:val="24"/>
                <w:szCs w:val="24"/>
              </w:rPr>
            </w:pPr>
            <w:r w:rsidRPr="002466F0">
              <w:rPr>
                <w:rFonts w:ascii="Times New Roman" w:hAnsi="Times New Roman" w:cs="Times New Roman"/>
                <w:sz w:val="24"/>
                <w:szCs w:val="24"/>
              </w:rPr>
              <w:t>Institucijos pavadinimas, rašto data ir numeris</w:t>
            </w:r>
          </w:p>
        </w:tc>
        <w:tc>
          <w:tcPr>
            <w:tcW w:w="8080" w:type="dxa"/>
          </w:tcPr>
          <w:p w14:paraId="7E38FC8D" w14:textId="77777777" w:rsidR="00AB0E5F" w:rsidRPr="002466F0" w:rsidRDefault="00AB0E5F">
            <w:pPr>
              <w:rPr>
                <w:rFonts w:ascii="Times New Roman" w:hAnsi="Times New Roman" w:cs="Times New Roman"/>
                <w:sz w:val="24"/>
                <w:szCs w:val="24"/>
              </w:rPr>
            </w:pPr>
            <w:r w:rsidRPr="002466F0">
              <w:rPr>
                <w:rFonts w:ascii="Times New Roman" w:hAnsi="Times New Roman" w:cs="Times New Roman"/>
                <w:sz w:val="24"/>
                <w:szCs w:val="24"/>
              </w:rPr>
              <w:t>Pastabos ir pasiūlymai</w:t>
            </w:r>
          </w:p>
        </w:tc>
        <w:tc>
          <w:tcPr>
            <w:tcW w:w="4961" w:type="dxa"/>
          </w:tcPr>
          <w:p w14:paraId="6B3D9F7C" w14:textId="77777777" w:rsidR="00AB0E5F" w:rsidRPr="002466F0" w:rsidRDefault="00924560">
            <w:pPr>
              <w:rPr>
                <w:rFonts w:ascii="Times New Roman" w:hAnsi="Times New Roman" w:cs="Times New Roman"/>
                <w:sz w:val="24"/>
                <w:szCs w:val="24"/>
              </w:rPr>
            </w:pPr>
            <w:r>
              <w:rPr>
                <w:rFonts w:ascii="Times New Roman" w:hAnsi="Times New Roman" w:cs="Times New Roman"/>
                <w:sz w:val="24"/>
                <w:szCs w:val="24"/>
              </w:rPr>
              <w:t>Argumentai dėl</w:t>
            </w:r>
            <w:r w:rsidR="00AB0E5F" w:rsidRPr="002466F0">
              <w:rPr>
                <w:rFonts w:ascii="Times New Roman" w:hAnsi="Times New Roman" w:cs="Times New Roman"/>
                <w:sz w:val="24"/>
                <w:szCs w:val="24"/>
              </w:rPr>
              <w:t xml:space="preserve"> nepriimtų (nurodyti motyvai) pastabų ir pasiūlymų</w:t>
            </w:r>
          </w:p>
        </w:tc>
      </w:tr>
      <w:tr w:rsidR="008106FD" w14:paraId="38A42716" w14:textId="77777777" w:rsidTr="0072465D">
        <w:tc>
          <w:tcPr>
            <w:tcW w:w="2093" w:type="dxa"/>
          </w:tcPr>
          <w:p w14:paraId="787820BC" w14:textId="77777777" w:rsidR="009F5533" w:rsidRDefault="009F5533">
            <w:pPr>
              <w:rPr>
                <w:rFonts w:ascii="Times New Roman" w:hAnsi="Times New Roman" w:cs="Times New Roman"/>
                <w:sz w:val="24"/>
                <w:szCs w:val="24"/>
              </w:rPr>
            </w:pPr>
            <w:r>
              <w:rPr>
                <w:rFonts w:ascii="Times New Roman" w:hAnsi="Times New Roman" w:cs="Times New Roman"/>
                <w:sz w:val="24"/>
                <w:szCs w:val="24"/>
              </w:rPr>
              <w:t>Ekonomikos ir inovacijų ministerijos</w:t>
            </w:r>
          </w:p>
          <w:p w14:paraId="338CCAC7" w14:textId="77777777" w:rsidR="009F5533" w:rsidRDefault="009F5533">
            <w:pPr>
              <w:rPr>
                <w:rFonts w:ascii="Times New Roman" w:hAnsi="Times New Roman" w:cs="Times New Roman"/>
                <w:sz w:val="24"/>
                <w:szCs w:val="24"/>
              </w:rPr>
            </w:pPr>
            <w:r>
              <w:rPr>
                <w:rFonts w:ascii="Times New Roman" w:hAnsi="Times New Roman" w:cs="Times New Roman"/>
                <w:sz w:val="24"/>
                <w:szCs w:val="24"/>
              </w:rPr>
              <w:t xml:space="preserve">2021-10-07 raštas </w:t>
            </w:r>
          </w:p>
          <w:p w14:paraId="3B4BFF26" w14:textId="77777777" w:rsidR="00AB0E5F" w:rsidRPr="00F32B8E" w:rsidRDefault="009F5533">
            <w:pPr>
              <w:rPr>
                <w:rFonts w:ascii="Times New Roman" w:hAnsi="Times New Roman" w:cs="Times New Roman"/>
                <w:sz w:val="24"/>
                <w:szCs w:val="24"/>
              </w:rPr>
            </w:pPr>
            <w:r>
              <w:rPr>
                <w:rFonts w:ascii="Times New Roman" w:hAnsi="Times New Roman" w:cs="Times New Roman"/>
                <w:sz w:val="24"/>
                <w:szCs w:val="24"/>
              </w:rPr>
              <w:t>Nr. (4.6-82Mr)-3-4394</w:t>
            </w:r>
          </w:p>
        </w:tc>
        <w:tc>
          <w:tcPr>
            <w:tcW w:w="8080" w:type="dxa"/>
          </w:tcPr>
          <w:p w14:paraId="6D8819E3" w14:textId="77777777" w:rsidR="009F5533" w:rsidRDefault="009F0318" w:rsidP="009F0318">
            <w:pPr>
              <w:pStyle w:val="Komentarotekstas"/>
              <w:jc w:val="both"/>
              <w:rPr>
                <w:sz w:val="24"/>
                <w:szCs w:val="24"/>
              </w:rPr>
            </w:pPr>
            <w:r>
              <w:rPr>
                <w:sz w:val="24"/>
                <w:szCs w:val="24"/>
                <w:lang w:val="en-US"/>
              </w:rPr>
              <w:t xml:space="preserve">1. </w:t>
            </w:r>
            <w:r w:rsidR="009F5533">
              <w:rPr>
                <w:sz w:val="24"/>
                <w:szCs w:val="24"/>
              </w:rPr>
              <w:t xml:space="preserve">Azartinių lošimų įstatymo projekto 6 straipsniu, kuriuo keičiama įstatymo 21 straipsnio 9 dalis, siūloma atsisakyti neriboto leidimo </w:t>
            </w:r>
            <w:r w:rsidR="009F5533" w:rsidRPr="00B952ED">
              <w:rPr>
                <w:sz w:val="24"/>
                <w:szCs w:val="24"/>
              </w:rPr>
              <w:t>atidaryti automatų ar bingo saloną, lošimo namus (kazino) arba organizuoti nuotolinius lošimus</w:t>
            </w:r>
            <w:r w:rsidR="009F5533">
              <w:rPr>
                <w:sz w:val="24"/>
                <w:szCs w:val="24"/>
              </w:rPr>
              <w:t xml:space="preserve"> galiojimo. Pažymėtina, kad Lietuvos Respublikos civilinio kodekso 2.79 straipsnio 1 dalyje yra nustatyta, kad licencija išduodama neterminuotam laikui, jei yra įvykdytos licencijavimo taisyklėse nustatytos sąlygos. Neaišku, kuo pagrįstas siūlymas Azartinių lošimų įstatymo projekto 7 straipsniu keičiamą įstatymą papildomo </w:t>
            </w:r>
            <w:r w:rsidR="009F5533" w:rsidRPr="003B0585">
              <w:rPr>
                <w:sz w:val="24"/>
                <w:szCs w:val="24"/>
              </w:rPr>
              <w:t>24</w:t>
            </w:r>
            <w:r w:rsidR="009F5533" w:rsidRPr="003B0585">
              <w:rPr>
                <w:sz w:val="24"/>
                <w:szCs w:val="24"/>
                <w:vertAlign w:val="superscript"/>
              </w:rPr>
              <w:t>1</w:t>
            </w:r>
            <w:r w:rsidR="009F5533" w:rsidRPr="003B0585">
              <w:rPr>
                <w:sz w:val="24"/>
                <w:szCs w:val="24"/>
              </w:rPr>
              <w:t xml:space="preserve"> straipsn</w:t>
            </w:r>
            <w:r w:rsidR="009F5533">
              <w:rPr>
                <w:sz w:val="24"/>
                <w:szCs w:val="24"/>
              </w:rPr>
              <w:t>io 1 dalyje</w:t>
            </w:r>
            <w:r w:rsidR="009F5533" w:rsidRPr="003B0585">
              <w:rPr>
                <w:sz w:val="24"/>
                <w:szCs w:val="24"/>
              </w:rPr>
              <w:t xml:space="preserve"> </w:t>
            </w:r>
            <w:r w:rsidR="009F5533">
              <w:rPr>
                <w:sz w:val="24"/>
                <w:szCs w:val="24"/>
              </w:rPr>
              <w:t>nustatyti 5 metų l</w:t>
            </w:r>
            <w:r w:rsidR="009F5533" w:rsidRPr="00407B15">
              <w:rPr>
                <w:sz w:val="24"/>
                <w:szCs w:val="24"/>
              </w:rPr>
              <w:t>eidim</w:t>
            </w:r>
            <w:r w:rsidR="009F5533">
              <w:rPr>
                <w:sz w:val="24"/>
                <w:szCs w:val="24"/>
              </w:rPr>
              <w:t>ų</w:t>
            </w:r>
            <w:r w:rsidR="009F5533" w:rsidRPr="00407B15">
              <w:rPr>
                <w:sz w:val="24"/>
                <w:szCs w:val="24"/>
              </w:rPr>
              <w:t xml:space="preserve"> atidaryti automatų ar bingo salonus, lošimo namus (kazino), leidim</w:t>
            </w:r>
            <w:r w:rsidR="009F5533">
              <w:rPr>
                <w:sz w:val="24"/>
                <w:szCs w:val="24"/>
              </w:rPr>
              <w:t>ų</w:t>
            </w:r>
            <w:r w:rsidR="009F5533" w:rsidRPr="00407B15">
              <w:rPr>
                <w:sz w:val="24"/>
                <w:szCs w:val="24"/>
              </w:rPr>
              <w:t xml:space="preserve"> steigti lažybų ir totalizatoriaus punktus, įskaitant žirgų totalizatoriaus punktus</w:t>
            </w:r>
            <w:r w:rsidR="009F5533">
              <w:rPr>
                <w:sz w:val="24"/>
                <w:szCs w:val="24"/>
              </w:rPr>
              <w:t xml:space="preserve"> galiojimo terminą. Jei bendrovė laikosi visų veiklos vykdymo reikalavimų, jos leidimas turėtų galioti neribotai. Siūlytume Nutarimo projektą papildyti atitinkama pastaba Azartinių lošimų įstatymo projektui.</w:t>
            </w:r>
          </w:p>
          <w:p w14:paraId="19560570" w14:textId="77777777" w:rsidR="00AB0E5F" w:rsidRPr="00641EA7" w:rsidRDefault="00AB0E5F" w:rsidP="00AB0E5F">
            <w:pPr>
              <w:ind w:firstLine="851"/>
              <w:jc w:val="both"/>
              <w:rPr>
                <w:rFonts w:ascii="Times New Roman" w:hAnsi="Times New Roman" w:cs="Times New Roman"/>
                <w:sz w:val="24"/>
                <w:szCs w:val="24"/>
              </w:rPr>
            </w:pPr>
          </w:p>
        </w:tc>
        <w:tc>
          <w:tcPr>
            <w:tcW w:w="4961" w:type="dxa"/>
          </w:tcPr>
          <w:p w14:paraId="141B69CA" w14:textId="77777777" w:rsidR="00262DA7" w:rsidRDefault="006E537D" w:rsidP="00262DA7">
            <w:pPr>
              <w:jc w:val="both"/>
              <w:rPr>
                <w:rFonts w:ascii="Times New Roman" w:hAnsi="Times New Roman" w:cs="Times New Roman"/>
                <w:sz w:val="24"/>
                <w:szCs w:val="24"/>
              </w:rPr>
            </w:pPr>
            <w:r w:rsidRPr="006E537D">
              <w:rPr>
                <w:rFonts w:ascii="Times New Roman" w:hAnsi="Times New Roman" w:cs="Times New Roman"/>
                <w:b/>
                <w:sz w:val="24"/>
                <w:szCs w:val="24"/>
              </w:rPr>
              <w:t>Nepritarti</w:t>
            </w:r>
            <w:r>
              <w:rPr>
                <w:rFonts w:ascii="Times New Roman" w:hAnsi="Times New Roman" w:cs="Times New Roman"/>
                <w:b/>
                <w:sz w:val="24"/>
                <w:szCs w:val="24"/>
              </w:rPr>
              <w:t>.</w:t>
            </w:r>
            <w:r>
              <w:rPr>
                <w:rFonts w:ascii="Times New Roman" w:hAnsi="Times New Roman" w:cs="Times New Roman"/>
                <w:sz w:val="24"/>
                <w:szCs w:val="24"/>
              </w:rPr>
              <w:t xml:space="preserve"> </w:t>
            </w:r>
            <w:r w:rsidR="00262DA7">
              <w:rPr>
                <w:rFonts w:ascii="Times New Roman" w:hAnsi="Times New Roman" w:cs="Times New Roman"/>
                <w:sz w:val="24"/>
                <w:szCs w:val="24"/>
              </w:rPr>
              <w:t>L</w:t>
            </w:r>
            <w:r w:rsidR="001D116C" w:rsidRPr="001D116C">
              <w:rPr>
                <w:rFonts w:ascii="Times New Roman" w:hAnsi="Times New Roman" w:cs="Times New Roman"/>
                <w:color w:val="000000"/>
                <w:sz w:val="24"/>
                <w:szCs w:val="24"/>
                <w:shd w:val="clear" w:color="auto" w:fill="FFFFFF"/>
              </w:rPr>
              <w:t>ošimų organizavimas yra specifinė verslo rūšis, kuri daro neigiamą poveikį i</w:t>
            </w:r>
            <w:r w:rsidR="00943305">
              <w:rPr>
                <w:rFonts w:ascii="Times New Roman" w:hAnsi="Times New Roman" w:cs="Times New Roman"/>
                <w:color w:val="000000"/>
                <w:sz w:val="24"/>
                <w:szCs w:val="24"/>
                <w:shd w:val="clear" w:color="auto" w:fill="FFFFFF"/>
              </w:rPr>
              <w:t>ndividui ir vi</w:t>
            </w:r>
            <w:r w:rsidR="0003200E">
              <w:rPr>
                <w:rFonts w:ascii="Times New Roman" w:hAnsi="Times New Roman" w:cs="Times New Roman"/>
                <w:color w:val="000000"/>
                <w:sz w:val="24"/>
                <w:szCs w:val="24"/>
                <w:shd w:val="clear" w:color="auto" w:fill="FFFFFF"/>
              </w:rPr>
              <w:t>suomenei. G</w:t>
            </w:r>
            <w:r w:rsidR="0003200E" w:rsidRPr="0003200E">
              <w:rPr>
                <w:rFonts w:ascii="Times New Roman" w:hAnsi="Times New Roman" w:cs="Times New Roman"/>
                <w:color w:val="000000"/>
                <w:sz w:val="24"/>
                <w:szCs w:val="24"/>
                <w:shd w:val="clear" w:color="auto" w:fill="FFFFFF"/>
              </w:rPr>
              <w:t xml:space="preserve">aliojantis </w:t>
            </w:r>
            <w:r w:rsidR="0003200E">
              <w:rPr>
                <w:rFonts w:ascii="Times New Roman" w:hAnsi="Times New Roman" w:cs="Times New Roman"/>
                <w:color w:val="000000"/>
                <w:sz w:val="24"/>
                <w:szCs w:val="24"/>
                <w:shd w:val="clear" w:color="auto" w:fill="FFFFFF"/>
              </w:rPr>
              <w:t>teisinis reglamentavimas</w:t>
            </w:r>
            <w:r w:rsidR="0003200E" w:rsidRPr="0003200E">
              <w:rPr>
                <w:rFonts w:ascii="Times New Roman" w:hAnsi="Times New Roman" w:cs="Times New Roman"/>
                <w:color w:val="000000"/>
                <w:sz w:val="24"/>
                <w:szCs w:val="24"/>
                <w:shd w:val="clear" w:color="auto" w:fill="FFFFFF"/>
              </w:rPr>
              <w:t xml:space="preserve"> nenumato galimybės išduoti terminuotus leidimus organizuoti lošimų veiklą, todėl toks reglamentavimas eliminuoja galimybę reaguoti į besikeičiančius visuomenės poreikius</w:t>
            </w:r>
            <w:r w:rsidR="00513026">
              <w:rPr>
                <w:rFonts w:ascii="Times New Roman" w:hAnsi="Times New Roman" w:cs="Times New Roman"/>
                <w:color w:val="000000"/>
                <w:sz w:val="24"/>
                <w:szCs w:val="24"/>
                <w:shd w:val="clear" w:color="auto" w:fill="FFFFFF"/>
              </w:rPr>
              <w:t xml:space="preserve">, kai pasikeičia lošimo vietą supanti infrastruktūra (atidaromi vaikų darželiai, kitos </w:t>
            </w:r>
            <w:r w:rsidR="00840CF0">
              <w:rPr>
                <w:rFonts w:ascii="Times New Roman" w:hAnsi="Times New Roman" w:cs="Times New Roman"/>
                <w:color w:val="000000"/>
                <w:sz w:val="24"/>
                <w:szCs w:val="24"/>
                <w:shd w:val="clear" w:color="auto" w:fill="FFFFFF"/>
              </w:rPr>
              <w:t xml:space="preserve">švietimo ir </w:t>
            </w:r>
            <w:r w:rsidR="00513026">
              <w:rPr>
                <w:rFonts w:ascii="Times New Roman" w:hAnsi="Times New Roman" w:cs="Times New Roman"/>
                <w:color w:val="000000"/>
                <w:sz w:val="24"/>
                <w:szCs w:val="24"/>
                <w:shd w:val="clear" w:color="auto" w:fill="FFFFFF"/>
              </w:rPr>
              <w:t>ugdymo įstaigos</w:t>
            </w:r>
            <w:r w:rsidR="00944697">
              <w:rPr>
                <w:rFonts w:ascii="Times New Roman" w:hAnsi="Times New Roman" w:cs="Times New Roman"/>
                <w:color w:val="000000"/>
                <w:sz w:val="24"/>
                <w:szCs w:val="24"/>
                <w:shd w:val="clear" w:color="auto" w:fill="FFFFFF"/>
              </w:rPr>
              <w:t xml:space="preserve"> ir pan.</w:t>
            </w:r>
            <w:r w:rsidR="00513026">
              <w:rPr>
                <w:rFonts w:ascii="Times New Roman" w:hAnsi="Times New Roman" w:cs="Times New Roman"/>
                <w:color w:val="000000"/>
                <w:sz w:val="24"/>
                <w:szCs w:val="24"/>
                <w:shd w:val="clear" w:color="auto" w:fill="FFFFFF"/>
              </w:rPr>
              <w:t>),</w:t>
            </w:r>
            <w:r w:rsidR="0003200E" w:rsidRPr="0003200E">
              <w:rPr>
                <w:rFonts w:ascii="Times New Roman" w:hAnsi="Times New Roman" w:cs="Times New Roman"/>
                <w:color w:val="000000"/>
                <w:sz w:val="24"/>
                <w:szCs w:val="24"/>
                <w:shd w:val="clear" w:color="auto" w:fill="FFFFFF"/>
              </w:rPr>
              <w:t xml:space="preserve"> ar sukel</w:t>
            </w:r>
            <w:r w:rsidR="0003200E">
              <w:rPr>
                <w:rFonts w:ascii="Times New Roman" w:hAnsi="Times New Roman" w:cs="Times New Roman"/>
                <w:color w:val="000000"/>
                <w:sz w:val="24"/>
                <w:szCs w:val="24"/>
                <w:shd w:val="clear" w:color="auto" w:fill="FFFFFF"/>
              </w:rPr>
              <w:t>iamas neigiamas lošimų pasekmes</w:t>
            </w:r>
            <w:r w:rsidR="00262DA7">
              <w:rPr>
                <w:rFonts w:ascii="Times New Roman" w:hAnsi="Times New Roman" w:cs="Times New Roman"/>
                <w:color w:val="000000"/>
                <w:sz w:val="24"/>
                <w:szCs w:val="24"/>
                <w:shd w:val="clear" w:color="auto" w:fill="FFFFFF"/>
              </w:rPr>
              <w:t>, t. y. lošimų verslo interesus iškelia aukščiau visuomenės intereso.</w:t>
            </w:r>
            <w:r w:rsidR="0003200E">
              <w:rPr>
                <w:rFonts w:ascii="Times New Roman" w:hAnsi="Times New Roman" w:cs="Times New Roman"/>
                <w:color w:val="000000"/>
                <w:sz w:val="24"/>
                <w:szCs w:val="24"/>
                <w:shd w:val="clear" w:color="auto" w:fill="FFFFFF"/>
              </w:rPr>
              <w:t xml:space="preserve"> A</w:t>
            </w:r>
            <w:r w:rsidR="0003200E" w:rsidRPr="0003200E">
              <w:rPr>
                <w:rFonts w:ascii="Times New Roman" w:hAnsi="Times New Roman" w:cs="Times New Roman"/>
                <w:color w:val="000000"/>
                <w:sz w:val="24"/>
                <w:szCs w:val="24"/>
                <w:shd w:val="clear" w:color="auto" w:fill="FFFFFF"/>
              </w:rPr>
              <w:t>tsižvelg</w:t>
            </w:r>
            <w:r w:rsidR="005A50F3">
              <w:rPr>
                <w:rFonts w:ascii="Times New Roman" w:hAnsi="Times New Roman" w:cs="Times New Roman"/>
                <w:color w:val="000000"/>
                <w:sz w:val="24"/>
                <w:szCs w:val="24"/>
                <w:shd w:val="clear" w:color="auto" w:fill="FFFFFF"/>
              </w:rPr>
              <w:t>iant į tai, p</w:t>
            </w:r>
            <w:r w:rsidR="0003200E" w:rsidRPr="0003200E">
              <w:rPr>
                <w:rFonts w:ascii="Times New Roman" w:hAnsi="Times New Roman" w:cs="Times New Roman"/>
                <w:color w:val="000000"/>
                <w:sz w:val="24"/>
                <w:szCs w:val="24"/>
                <w:shd w:val="clear" w:color="auto" w:fill="FFFFFF"/>
              </w:rPr>
              <w:t xml:space="preserve">rojektu </w:t>
            </w:r>
            <w:r w:rsidR="005A50F3">
              <w:rPr>
                <w:rFonts w:ascii="Times New Roman" w:hAnsi="Times New Roman" w:cs="Times New Roman"/>
                <w:sz w:val="24"/>
                <w:szCs w:val="24"/>
              </w:rPr>
              <w:t>Nr.</w:t>
            </w:r>
            <w:r w:rsidR="00C14D41" w:rsidRPr="00F13AE8">
              <w:rPr>
                <w:rFonts w:ascii="Times New Roman" w:hAnsi="Times New Roman" w:cs="Times New Roman"/>
                <w:b/>
                <w:sz w:val="24"/>
                <w:szCs w:val="24"/>
                <w:lang w:eastAsia="lt-LT"/>
              </w:rPr>
              <w:t> </w:t>
            </w:r>
            <w:r w:rsidR="00890224" w:rsidRPr="00890224">
              <w:rPr>
                <w:rFonts w:ascii="Times New Roman" w:hAnsi="Times New Roman" w:cs="Times New Roman"/>
                <w:sz w:val="24"/>
                <w:szCs w:val="24"/>
              </w:rPr>
              <w:t>XIVP-643(2)</w:t>
            </w:r>
            <w:r w:rsidR="005A50F3">
              <w:rPr>
                <w:rFonts w:ascii="Times New Roman" w:hAnsi="Times New Roman" w:cs="Times New Roman"/>
                <w:sz w:val="24"/>
                <w:szCs w:val="24"/>
              </w:rPr>
              <w:t xml:space="preserve"> </w:t>
            </w:r>
            <w:r w:rsidR="0003200E" w:rsidRPr="0003200E">
              <w:rPr>
                <w:rFonts w:ascii="Times New Roman" w:hAnsi="Times New Roman" w:cs="Times New Roman"/>
                <w:color w:val="000000"/>
                <w:sz w:val="24"/>
                <w:szCs w:val="24"/>
                <w:shd w:val="clear" w:color="auto" w:fill="FFFFFF"/>
              </w:rPr>
              <w:t>siūloma keisti esamą situaciją, nustatant leidimų galiojimo terminą</w:t>
            </w:r>
            <w:r w:rsidR="00513026">
              <w:rPr>
                <w:rFonts w:ascii="Times New Roman" w:hAnsi="Times New Roman" w:cs="Times New Roman"/>
                <w:color w:val="000000"/>
                <w:sz w:val="24"/>
                <w:szCs w:val="24"/>
                <w:shd w:val="clear" w:color="auto" w:fill="FFFFFF"/>
              </w:rPr>
              <w:t>,</w:t>
            </w:r>
            <w:r w:rsidR="0003200E" w:rsidRPr="0003200E">
              <w:rPr>
                <w:rFonts w:ascii="Times New Roman" w:hAnsi="Times New Roman" w:cs="Times New Roman"/>
                <w:color w:val="000000"/>
                <w:sz w:val="24"/>
                <w:szCs w:val="24"/>
                <w:shd w:val="clear" w:color="auto" w:fill="FFFFFF"/>
              </w:rPr>
              <w:t xml:space="preserve"> ir į leidimo išdavimo procesą įtraukti savivaldybių tarybas.</w:t>
            </w:r>
            <w:r w:rsidR="00262DA7">
              <w:rPr>
                <w:rFonts w:ascii="Times New Roman" w:hAnsi="Times New Roman" w:cs="Times New Roman"/>
                <w:sz w:val="24"/>
                <w:szCs w:val="24"/>
              </w:rPr>
              <w:t xml:space="preserve"> </w:t>
            </w:r>
          </w:p>
          <w:p w14:paraId="7AB62486" w14:textId="77777777" w:rsidR="0002482A" w:rsidRPr="006E537D" w:rsidRDefault="00262DA7" w:rsidP="00262DA7">
            <w:pPr>
              <w:jc w:val="both"/>
              <w:rPr>
                <w:rFonts w:ascii="Times New Roman" w:hAnsi="Times New Roman" w:cs="Times New Roman"/>
                <w:sz w:val="24"/>
                <w:szCs w:val="24"/>
              </w:rPr>
            </w:pPr>
            <w:r>
              <w:rPr>
                <w:rFonts w:ascii="Times New Roman" w:hAnsi="Times New Roman" w:cs="Times New Roman"/>
                <w:sz w:val="24"/>
                <w:szCs w:val="24"/>
              </w:rPr>
              <w:t xml:space="preserve">Pažymėtina, kad licencijos galiojimo terminas </w:t>
            </w:r>
            <w:r>
              <w:rPr>
                <w:rFonts w:ascii="Times New Roman" w:hAnsi="Times New Roman" w:cs="Times New Roman"/>
                <w:sz w:val="24"/>
                <w:szCs w:val="24"/>
              </w:rPr>
              <w:lastRenderedPageBreak/>
              <w:t>projektu Nr</w:t>
            </w:r>
            <w:r w:rsidRPr="00890224">
              <w:rPr>
                <w:rFonts w:ascii="Times New Roman" w:hAnsi="Times New Roman" w:cs="Times New Roman"/>
                <w:sz w:val="24"/>
                <w:szCs w:val="24"/>
              </w:rPr>
              <w:t>. XIVP-643(2)</w:t>
            </w:r>
            <w:r>
              <w:rPr>
                <w:rFonts w:ascii="Times New Roman" w:hAnsi="Times New Roman" w:cs="Times New Roman"/>
                <w:sz w:val="24"/>
                <w:szCs w:val="24"/>
              </w:rPr>
              <w:t xml:space="preserve"> nėra keičiamas ir licencija išduodama neterminuotam laikui.</w:t>
            </w:r>
          </w:p>
        </w:tc>
      </w:tr>
      <w:tr w:rsidR="008106FD" w14:paraId="28F0E584" w14:textId="77777777" w:rsidTr="00E04D9D">
        <w:tc>
          <w:tcPr>
            <w:tcW w:w="2093" w:type="dxa"/>
            <w:tcBorders>
              <w:bottom w:val="single" w:sz="4" w:space="0" w:color="auto"/>
            </w:tcBorders>
          </w:tcPr>
          <w:p w14:paraId="0C7C3AF5" w14:textId="77777777" w:rsidR="00006D45" w:rsidRDefault="00310763" w:rsidP="00000B64">
            <w:pPr>
              <w:rPr>
                <w:rFonts w:ascii="Times New Roman" w:hAnsi="Times New Roman" w:cs="Times New Roman"/>
                <w:sz w:val="24"/>
                <w:szCs w:val="24"/>
              </w:rPr>
            </w:pPr>
            <w:r>
              <w:rPr>
                <w:rFonts w:ascii="Times New Roman" w:hAnsi="Times New Roman" w:cs="Times New Roman"/>
                <w:sz w:val="24"/>
                <w:szCs w:val="24"/>
              </w:rPr>
              <w:lastRenderedPageBreak/>
              <w:t>Teisingumo ministerija</w:t>
            </w:r>
          </w:p>
          <w:p w14:paraId="14EE72D1" w14:textId="77777777" w:rsidR="00310763" w:rsidRDefault="00310763" w:rsidP="00000B64">
            <w:pPr>
              <w:rPr>
                <w:rFonts w:ascii="Times New Roman" w:hAnsi="Times New Roman" w:cs="Times New Roman"/>
                <w:sz w:val="24"/>
                <w:szCs w:val="24"/>
              </w:rPr>
            </w:pPr>
            <w:r>
              <w:rPr>
                <w:rFonts w:ascii="Times New Roman" w:hAnsi="Times New Roman" w:cs="Times New Roman"/>
                <w:sz w:val="24"/>
                <w:szCs w:val="24"/>
              </w:rPr>
              <w:t xml:space="preserve">2021-10-08 raštas </w:t>
            </w:r>
          </w:p>
          <w:p w14:paraId="1AB77D0B" w14:textId="77777777" w:rsidR="00310763" w:rsidRPr="00310763" w:rsidRDefault="00310763" w:rsidP="00000B64">
            <w:pPr>
              <w:rPr>
                <w:rFonts w:ascii="Times New Roman" w:hAnsi="Times New Roman" w:cs="Times New Roman"/>
                <w:sz w:val="24"/>
                <w:szCs w:val="24"/>
              </w:rPr>
            </w:pPr>
            <w:r>
              <w:rPr>
                <w:rFonts w:ascii="Times New Roman" w:hAnsi="Times New Roman" w:cs="Times New Roman"/>
                <w:sz w:val="24"/>
                <w:szCs w:val="24"/>
              </w:rPr>
              <w:t xml:space="preserve">Nr. </w:t>
            </w:r>
          </w:p>
        </w:tc>
        <w:tc>
          <w:tcPr>
            <w:tcW w:w="8080" w:type="dxa"/>
          </w:tcPr>
          <w:p w14:paraId="0C44BC8E" w14:textId="77777777" w:rsidR="00006D45" w:rsidRPr="00145162" w:rsidRDefault="00466F90" w:rsidP="00006D45">
            <w:pPr>
              <w:tabs>
                <w:tab w:val="left" w:pos="709"/>
                <w:tab w:val="left" w:pos="851"/>
                <w:tab w:val="left" w:pos="1134"/>
                <w:tab w:val="left" w:pos="1276"/>
              </w:tabs>
              <w:suppressAutoHyphens/>
              <w:jc w:val="both"/>
              <w:textAlignment w:val="top"/>
              <w:rPr>
                <w:rFonts w:ascii="Times New Roman" w:hAnsi="Times New Roman" w:cs="Times New Roman"/>
                <w:sz w:val="24"/>
                <w:szCs w:val="24"/>
              </w:rPr>
            </w:pPr>
            <w:r w:rsidRPr="00145162">
              <w:rPr>
                <w:rFonts w:ascii="Times New Roman" w:hAnsi="Times New Roman" w:cs="Times New Roman"/>
                <w:color w:val="000000"/>
                <w:sz w:val="24"/>
                <w:szCs w:val="24"/>
                <w:lang w:val="en-US"/>
              </w:rPr>
              <w:t xml:space="preserve">1. </w:t>
            </w:r>
            <w:r w:rsidRPr="00145162">
              <w:rPr>
                <w:rFonts w:ascii="Times New Roman" w:hAnsi="Times New Roman" w:cs="Times New Roman"/>
                <w:color w:val="000000"/>
                <w:sz w:val="24"/>
                <w:szCs w:val="24"/>
              </w:rPr>
              <w:t>Siūlytina įvertinti, ar Nutarimo projekto 2 ir 3 punktuose nurodomi įstatymų projektai atitinka Lietuvos Respublikos civilinio kodekso 2.79 straipsnio 1 dalį, kurioje nurodoma, kad licencija išduodama neterminuotam laikui, jei yra įvykdytos licencijavimo taisyklėse nustatytos sąlygos, bei Licencijavimo pagrindų aprašui, patvirtintam Lietuvos Respublikos Vyriausybės 2012 m. liepos 18 d. nutarimu Nr. 937 „Dėl Licencijavimo pagrindų aprašo ir Licencijų informacinės sistemos nuostatų patvirtinimo“, ir atitinkamai pagal poreikį tikslinti Nutarimo projekto 2 ir 3 punktus, suformuluojant Vyriausybės pasiūlymus Seimui dėl Nutarimo projekto 2 ir 3 punktuose nurodomų įstatymų projektų nuostatų tobulinimo</w:t>
            </w:r>
          </w:p>
        </w:tc>
        <w:tc>
          <w:tcPr>
            <w:tcW w:w="4961" w:type="dxa"/>
          </w:tcPr>
          <w:p w14:paraId="440257D8" w14:textId="77777777" w:rsidR="00006D45" w:rsidRPr="00466F90" w:rsidRDefault="00466F90" w:rsidP="000A491F">
            <w:pPr>
              <w:pStyle w:val="Komentarotekstas"/>
              <w:jc w:val="both"/>
              <w:rPr>
                <w:b/>
                <w:sz w:val="24"/>
                <w:szCs w:val="24"/>
                <w:lang w:val="en-US"/>
              </w:rPr>
            </w:pPr>
            <w:r>
              <w:rPr>
                <w:b/>
                <w:sz w:val="24"/>
                <w:szCs w:val="24"/>
              </w:rPr>
              <w:t xml:space="preserve">Nepritarti. </w:t>
            </w:r>
            <w:r w:rsidRPr="00466F90">
              <w:rPr>
                <w:sz w:val="24"/>
                <w:szCs w:val="24"/>
              </w:rPr>
              <w:t xml:space="preserve">Argumentai </w:t>
            </w:r>
            <w:r w:rsidR="00145162">
              <w:rPr>
                <w:sz w:val="24"/>
                <w:szCs w:val="24"/>
              </w:rPr>
              <w:t xml:space="preserve">dėl pastabos (patikslinto Nutarimo projekto </w:t>
            </w:r>
            <w:r w:rsidR="00145162" w:rsidRPr="00145162">
              <w:rPr>
                <w:sz w:val="24"/>
                <w:szCs w:val="24"/>
              </w:rPr>
              <w:t>3 ir 4 punktai atitinkamai</w:t>
            </w:r>
            <w:r w:rsidR="00145162">
              <w:rPr>
                <w:sz w:val="24"/>
                <w:szCs w:val="24"/>
                <w:lang w:val="en-US"/>
              </w:rPr>
              <w:t xml:space="preserve">) </w:t>
            </w:r>
            <w:r w:rsidRPr="00466F90">
              <w:rPr>
                <w:sz w:val="24"/>
                <w:szCs w:val="24"/>
              </w:rPr>
              <w:t xml:space="preserve">pateikiami prie Ekonomikos ir inovacijų ministerijos pastabos Nr. </w:t>
            </w:r>
            <w:r w:rsidRPr="00466F90">
              <w:rPr>
                <w:sz w:val="24"/>
                <w:szCs w:val="24"/>
                <w:lang w:val="en-US"/>
              </w:rPr>
              <w:t>1.</w:t>
            </w:r>
          </w:p>
        </w:tc>
      </w:tr>
      <w:tr w:rsidR="008106FD" w14:paraId="07411B69" w14:textId="77777777" w:rsidTr="00E04D9D">
        <w:tc>
          <w:tcPr>
            <w:tcW w:w="2093" w:type="dxa"/>
            <w:tcBorders>
              <w:top w:val="single" w:sz="4" w:space="0" w:color="auto"/>
              <w:bottom w:val="single" w:sz="4" w:space="0" w:color="auto"/>
            </w:tcBorders>
          </w:tcPr>
          <w:p w14:paraId="3CA1CFF2" w14:textId="77777777" w:rsidR="00C05575" w:rsidRPr="00F32B8E" w:rsidRDefault="00C05575">
            <w:pPr>
              <w:rPr>
                <w:rFonts w:ascii="Times New Roman" w:hAnsi="Times New Roman" w:cs="Times New Roman"/>
                <w:sz w:val="24"/>
                <w:szCs w:val="24"/>
              </w:rPr>
            </w:pPr>
          </w:p>
        </w:tc>
        <w:tc>
          <w:tcPr>
            <w:tcW w:w="8080" w:type="dxa"/>
          </w:tcPr>
          <w:p w14:paraId="26B34C56" w14:textId="77777777" w:rsidR="007762C0" w:rsidRPr="007762C0" w:rsidRDefault="007762C0" w:rsidP="007762C0">
            <w:pPr>
              <w:spacing w:line="280" w:lineRule="atLeast"/>
              <w:ind w:firstLine="900"/>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 xml:space="preserve">2. </w:t>
            </w:r>
            <w:r w:rsidRPr="007762C0">
              <w:rPr>
                <w:rFonts w:ascii="Times New Roman" w:eastAsia="Times New Roman" w:hAnsi="Times New Roman" w:cs="Times New Roman"/>
                <w:color w:val="000000"/>
                <w:sz w:val="24"/>
                <w:szCs w:val="24"/>
                <w:lang w:eastAsia="lt-LT"/>
              </w:rPr>
              <w:t>Diskutuotinas Nutarimo projekto 6 punkte teikiamo siūlymo Seimui įstatymo projektą Nr. XIVP-826 ir įstatymo projektą Nr. XIVP-825 svarstyti kartu su Lietuvos Respublikos 2022 metų valstybės biudžeto ir savivaldybių biudžetų finansinių rodiklių patvirtinimo įstatymo projektu, pagrįstumas, atsižvelgiant Konstitucinio Teismo 2021 m. gegužės 13 d. nutarimo Nr. KT67-N6/2021 nuostatas, kuriomis buvo pripažinta, kad Lietuvos Respublikos mokesčių administravimo įstatymo 3 straipsnio 4 dalies (2020 m. birželio 30 d. redakcija, TAR, 2020-07-16, Nr. 15875) nuostata „su atitinkamų metų valstybės biudžeto ir savivaldybių biudžetų finansinių rodiklių patvirtinimo įstatymu susijusiems Lietuvos Respublikos mokesčių įstatymų pakeitimams“ prieštarauja Lietuvos Respublikos Konstitucijos 5 straipsnio 2 daliai, 70 straipsnio 1 daliai, konstituciniams teisinės valstybės, atsakingo valdymo principams. </w:t>
            </w:r>
          </w:p>
          <w:p w14:paraId="4784356A" w14:textId="77777777" w:rsidR="00104382" w:rsidRPr="00660939" w:rsidRDefault="00104382" w:rsidP="00E422FE">
            <w:pPr>
              <w:tabs>
                <w:tab w:val="left" w:pos="709"/>
                <w:tab w:val="left" w:pos="851"/>
                <w:tab w:val="left" w:pos="1134"/>
                <w:tab w:val="left" w:pos="1276"/>
              </w:tabs>
              <w:suppressAutoHyphens/>
              <w:jc w:val="both"/>
              <w:textAlignment w:val="top"/>
              <w:rPr>
                <w:rFonts w:ascii="Times New Roman" w:hAnsi="Times New Roman" w:cs="Times New Roman"/>
                <w:sz w:val="24"/>
                <w:szCs w:val="24"/>
              </w:rPr>
            </w:pPr>
          </w:p>
        </w:tc>
        <w:tc>
          <w:tcPr>
            <w:tcW w:w="4961" w:type="dxa"/>
          </w:tcPr>
          <w:p w14:paraId="360209DC" w14:textId="77777777" w:rsidR="00104382" w:rsidRPr="005B0E3D" w:rsidRDefault="007762C0" w:rsidP="006C0279">
            <w:pPr>
              <w:pStyle w:val="Komentarotekstas"/>
              <w:jc w:val="both"/>
              <w:rPr>
                <w:sz w:val="24"/>
                <w:szCs w:val="24"/>
              </w:rPr>
            </w:pPr>
            <w:r>
              <w:rPr>
                <w:b/>
                <w:sz w:val="24"/>
                <w:szCs w:val="24"/>
              </w:rPr>
              <w:t xml:space="preserve">Nepritarti. </w:t>
            </w:r>
            <w:r w:rsidR="000856DE" w:rsidRPr="00E77EF4">
              <w:rPr>
                <w:sz w:val="24"/>
                <w:szCs w:val="24"/>
              </w:rPr>
              <w:t xml:space="preserve">Pastebėtina, kad pastaboje minimame Konstitucinio Teismo nutarime kalbama apie skubų mokesčius reglamentuojančių įstatymų įsigaliojimą kartu su atitinkamų metų valstybės biudžeto ir savivaldybių biudžetų rodiklių patvirtinimo įstatymu, tačiau ne apie šių įstatymų projektų svarstymą kartu. </w:t>
            </w:r>
            <w:r w:rsidR="000856DE">
              <w:rPr>
                <w:color w:val="000000"/>
                <w:sz w:val="24"/>
                <w:szCs w:val="24"/>
                <w:lang w:eastAsia="lt-LT"/>
              </w:rPr>
              <w:t xml:space="preserve">Atitinkamai </w:t>
            </w:r>
            <w:r w:rsidR="000856DE" w:rsidRPr="007762C0">
              <w:rPr>
                <w:color w:val="000000"/>
                <w:sz w:val="24"/>
                <w:szCs w:val="24"/>
                <w:lang w:eastAsia="lt-LT"/>
              </w:rPr>
              <w:t xml:space="preserve">įstatymo projektą Nr. XIVP-826 ir įstatymo projektą Nr. XIVP-825 </w:t>
            </w:r>
            <w:r w:rsidR="000856DE">
              <w:rPr>
                <w:color w:val="000000"/>
                <w:sz w:val="24"/>
                <w:szCs w:val="24"/>
                <w:lang w:eastAsia="lt-LT"/>
              </w:rPr>
              <w:t xml:space="preserve">siūloma svarstyti kartu su </w:t>
            </w:r>
            <w:r w:rsidR="000856DE" w:rsidRPr="007762C0">
              <w:rPr>
                <w:color w:val="000000"/>
                <w:sz w:val="24"/>
                <w:szCs w:val="24"/>
                <w:lang w:eastAsia="lt-LT"/>
              </w:rPr>
              <w:t>Lietuvos Respublikos 2022 metų valstybės biudžeto ir savivaldybių biudžetų finansinių rodiklių patvirtinimo įstatymo projektu</w:t>
            </w:r>
            <w:r w:rsidR="000856DE">
              <w:rPr>
                <w:color w:val="000000"/>
                <w:sz w:val="24"/>
                <w:szCs w:val="24"/>
                <w:lang w:eastAsia="lt-LT"/>
              </w:rPr>
              <w:t>, tačiau įsigaliojimo data būtų vėlesnė (</w:t>
            </w:r>
            <w:r w:rsidR="000856DE">
              <w:rPr>
                <w:sz w:val="24"/>
                <w:szCs w:val="24"/>
              </w:rPr>
              <w:t xml:space="preserve">Nutarimo projekto </w:t>
            </w:r>
            <w:r w:rsidR="000856DE">
              <w:rPr>
                <w:sz w:val="24"/>
                <w:szCs w:val="24"/>
                <w:lang w:val="en-US"/>
              </w:rPr>
              <w:t>7</w:t>
            </w:r>
            <w:r w:rsidR="000856DE">
              <w:rPr>
                <w:sz w:val="24"/>
                <w:szCs w:val="24"/>
              </w:rPr>
              <w:t xml:space="preserve"> punktas). Į</w:t>
            </w:r>
            <w:r w:rsidR="000856DE" w:rsidRPr="007762C0">
              <w:rPr>
                <w:color w:val="000000"/>
                <w:sz w:val="24"/>
                <w:szCs w:val="24"/>
                <w:lang w:eastAsia="lt-LT"/>
              </w:rPr>
              <w:t xml:space="preserve">statymo projektą Nr. XIVP-826 ir įstatymo projektą Nr. XIVP-825 </w:t>
            </w:r>
            <w:r w:rsidR="000856DE">
              <w:rPr>
                <w:sz w:val="24"/>
                <w:szCs w:val="24"/>
              </w:rPr>
              <w:t xml:space="preserve"> siūloma </w:t>
            </w:r>
            <w:r w:rsidR="000856DE">
              <w:rPr>
                <w:color w:val="000000"/>
                <w:sz w:val="24"/>
                <w:szCs w:val="24"/>
                <w:lang w:eastAsia="lt-LT"/>
              </w:rPr>
              <w:t xml:space="preserve"> svarstyti kartu su </w:t>
            </w:r>
            <w:r w:rsidR="000856DE" w:rsidRPr="007762C0">
              <w:rPr>
                <w:color w:val="000000"/>
                <w:sz w:val="24"/>
                <w:szCs w:val="24"/>
                <w:lang w:eastAsia="lt-LT"/>
              </w:rPr>
              <w:t>Lietuvos Respublikos 2022 metų valstybės biudžeto ir savivaldybių biudžetų finansinių rodiklių patvirtinimo įstatymo projektu</w:t>
            </w:r>
            <w:r w:rsidR="000856DE">
              <w:rPr>
                <w:color w:val="000000"/>
                <w:sz w:val="24"/>
                <w:szCs w:val="24"/>
                <w:lang w:eastAsia="lt-LT"/>
              </w:rPr>
              <w:t xml:space="preserve">, taip užtikrinant, kad iš esmės pakeitus olimpinio sporto šakų finansavimo modelį, būtų užtikrintas pakankamas olimpinių </w:t>
            </w:r>
            <w:r w:rsidR="000856DE">
              <w:rPr>
                <w:color w:val="000000"/>
                <w:sz w:val="24"/>
                <w:szCs w:val="24"/>
                <w:lang w:eastAsia="lt-LT"/>
              </w:rPr>
              <w:lastRenderedPageBreak/>
              <w:t>sporto šakų finansavimas iš vieno šaltinio, t. y., valstybės biudžeto.</w:t>
            </w:r>
          </w:p>
        </w:tc>
      </w:tr>
      <w:tr w:rsidR="008106FD" w14:paraId="597481C6" w14:textId="77777777" w:rsidTr="00D82695">
        <w:tc>
          <w:tcPr>
            <w:tcW w:w="2093" w:type="dxa"/>
            <w:tcBorders>
              <w:top w:val="single" w:sz="4" w:space="0" w:color="auto"/>
              <w:bottom w:val="single" w:sz="4" w:space="0" w:color="auto"/>
            </w:tcBorders>
          </w:tcPr>
          <w:p w14:paraId="67C5407E" w14:textId="77777777" w:rsidR="00104382" w:rsidRPr="00F32B8E" w:rsidRDefault="009F0318">
            <w:pPr>
              <w:rPr>
                <w:rFonts w:ascii="Times New Roman" w:hAnsi="Times New Roman" w:cs="Times New Roman"/>
                <w:sz w:val="24"/>
                <w:szCs w:val="24"/>
              </w:rPr>
            </w:pPr>
            <w:r>
              <w:rPr>
                <w:rFonts w:ascii="Times New Roman" w:hAnsi="Times New Roman" w:cs="Times New Roman"/>
                <w:sz w:val="24"/>
                <w:szCs w:val="24"/>
              </w:rPr>
              <w:lastRenderedPageBreak/>
              <w:t>Lietuvos lošimų verslo asociacijos 2021-10-04 raštas</w:t>
            </w:r>
          </w:p>
        </w:tc>
        <w:tc>
          <w:tcPr>
            <w:tcW w:w="8080" w:type="dxa"/>
          </w:tcPr>
          <w:p w14:paraId="15480834" w14:textId="77777777" w:rsidR="00104382" w:rsidRPr="00DD5DF4" w:rsidRDefault="00DD5DF4" w:rsidP="00DD5DF4">
            <w:pPr>
              <w:pStyle w:val="pasilymai2"/>
              <w:spacing w:before="0" w:beforeAutospacing="0" w:after="0" w:afterAutospacing="0"/>
              <w:jc w:val="both"/>
            </w:pPr>
            <w:r w:rsidRPr="00DD5DF4">
              <w:rPr>
                <w:color w:val="000000"/>
                <w:lang w:val="lt-LT"/>
              </w:rPr>
              <w:t xml:space="preserve">1. </w:t>
            </w:r>
            <w:r>
              <w:rPr>
                <w:color w:val="000000"/>
                <w:lang w:val="lt-LT"/>
              </w:rPr>
              <w:t>Įstatymų proje</w:t>
            </w:r>
            <w:r w:rsidRPr="00DD5DF4">
              <w:rPr>
                <w:color w:val="000000"/>
                <w:lang w:val="lt-LT"/>
              </w:rPr>
              <w:t xml:space="preserve">ktais </w:t>
            </w:r>
            <w:r>
              <w:rPr>
                <w:color w:val="000000"/>
                <w:lang w:val="lt-LT"/>
              </w:rPr>
              <w:t xml:space="preserve">siūloma nustatyti, kad leidimai visoms lošimų vietoms (ne tik lošimo namams (kazino)) galėtų būti išduoti tik gavus savivaldybės tarybos sutikimą ir tik 5 metų terminui. Siūlomas 5 metų savivaldybės tarybos sutikimo galiojimo terminas yra per trumpas ir niekuo nepagrįstas. Toks siūlymas nustatyti minėtą terminą iš esmės keičia šiuo metu egzistuojančią tvarką – nustato terminuotą minėto sutikimo galiojimą lošimo namų (kazino) steigimui (šiuo metu sutikimai išduodami neterminuotai) ir įveda naują reikalavimą kitų lošimo vietų steigimui. Pažymėtina, kad bendrovės, steigdamos lošimo vietas, sudaro ilgalaikes patalpų nuomos sutartis, investuoja į lošimo vietų įrengimą, pritaikymą veiklai, į lošimo įrangos </w:t>
            </w:r>
            <w:r w:rsidR="00A13DE1">
              <w:rPr>
                <w:color w:val="000000"/>
                <w:lang w:val="lt-LT"/>
              </w:rPr>
              <w:t>įsigijimą, darbuotojų parengimą, sudaro neterminuotas darbo sutartis ir kt., o investicijos daromos ne 5, o bent 10 ir daugiau metų laikotarpiui.</w:t>
            </w:r>
          </w:p>
        </w:tc>
        <w:tc>
          <w:tcPr>
            <w:tcW w:w="4961" w:type="dxa"/>
          </w:tcPr>
          <w:p w14:paraId="076F71FC" w14:textId="77777777" w:rsidR="00F6791B" w:rsidRPr="006E537D" w:rsidRDefault="005E633A" w:rsidP="00A13DE1">
            <w:pPr>
              <w:jc w:val="both"/>
              <w:rPr>
                <w:rFonts w:ascii="Times New Roman" w:hAnsi="Times New Roman" w:cs="Times New Roman"/>
                <w:sz w:val="24"/>
                <w:szCs w:val="24"/>
              </w:rPr>
            </w:pPr>
            <w:r>
              <w:rPr>
                <w:rFonts w:ascii="Times New Roman" w:hAnsi="Times New Roman" w:cs="Times New Roman"/>
                <w:b/>
                <w:sz w:val="24"/>
                <w:szCs w:val="24"/>
              </w:rPr>
              <w:t>Nepritarti</w:t>
            </w:r>
            <w:r>
              <w:rPr>
                <w:rFonts w:ascii="Times New Roman" w:hAnsi="Times New Roman" w:cs="Times New Roman"/>
                <w:sz w:val="24"/>
                <w:szCs w:val="24"/>
              </w:rPr>
              <w:t xml:space="preserve">. </w:t>
            </w:r>
            <w:r w:rsidR="00372F15">
              <w:rPr>
                <w:rFonts w:ascii="Times New Roman" w:hAnsi="Times New Roman" w:cs="Times New Roman"/>
                <w:sz w:val="24"/>
                <w:szCs w:val="24"/>
              </w:rPr>
              <w:t>Projekto Nr</w:t>
            </w:r>
            <w:r w:rsidR="00372F15" w:rsidRPr="00890224">
              <w:rPr>
                <w:rFonts w:ascii="Times New Roman" w:hAnsi="Times New Roman" w:cs="Times New Roman"/>
                <w:sz w:val="24"/>
                <w:szCs w:val="24"/>
              </w:rPr>
              <w:t>. XIVP-643(2)</w:t>
            </w:r>
            <w:r w:rsidR="00165DAA">
              <w:rPr>
                <w:rFonts w:ascii="Times New Roman" w:hAnsi="Times New Roman" w:cs="Times New Roman"/>
                <w:sz w:val="24"/>
                <w:szCs w:val="24"/>
                <w:shd w:val="clear" w:color="auto" w:fill="FFFFFF"/>
              </w:rPr>
              <w:t xml:space="preserve"> aiškinamajame rašte nurodoma</w:t>
            </w:r>
            <w:r w:rsidRPr="00FF7240">
              <w:rPr>
                <w:rFonts w:ascii="Times New Roman" w:hAnsi="Times New Roman" w:cs="Times New Roman"/>
                <w:sz w:val="24"/>
                <w:szCs w:val="24"/>
                <w:shd w:val="clear" w:color="auto" w:fill="FFFFFF"/>
              </w:rPr>
              <w:t xml:space="preserve">, kad </w:t>
            </w:r>
            <w:r w:rsidR="00372F15">
              <w:rPr>
                <w:rFonts w:ascii="Times New Roman" w:hAnsi="Times New Roman" w:cs="Times New Roman"/>
                <w:sz w:val="24"/>
                <w:szCs w:val="24"/>
                <w:shd w:val="clear" w:color="auto" w:fill="FFFFFF"/>
              </w:rPr>
              <w:t xml:space="preserve">šiuo </w:t>
            </w:r>
            <w:r w:rsidRPr="00FF7240">
              <w:rPr>
                <w:rFonts w:ascii="Times New Roman" w:hAnsi="Times New Roman" w:cs="Times New Roman"/>
                <w:sz w:val="24"/>
                <w:szCs w:val="24"/>
                <w:shd w:val="clear" w:color="auto" w:fill="FFFFFF"/>
              </w:rPr>
              <w:t>projektu siekiama sudaryti sąlygas vietos savivaldai dal</w:t>
            </w:r>
            <w:r>
              <w:rPr>
                <w:rFonts w:ascii="Times New Roman" w:hAnsi="Times New Roman" w:cs="Times New Roman"/>
                <w:sz w:val="24"/>
                <w:szCs w:val="24"/>
                <w:shd w:val="clear" w:color="auto" w:fill="FFFFFF"/>
              </w:rPr>
              <w:t>yvauti leidimų išdavimo procese.</w:t>
            </w:r>
            <w:r w:rsidRPr="00FF7240">
              <w:rPr>
                <w:rFonts w:ascii="Times New Roman" w:hAnsi="Times New Roman" w:cs="Times New Roman"/>
                <w:sz w:val="24"/>
                <w:szCs w:val="24"/>
                <w:shd w:val="clear" w:color="auto" w:fill="FFFFFF"/>
              </w:rPr>
              <w:t xml:space="preserve"> </w:t>
            </w:r>
            <w:r w:rsidR="00513026">
              <w:rPr>
                <w:rFonts w:ascii="Times New Roman" w:hAnsi="Times New Roman" w:cs="Times New Roman"/>
                <w:sz w:val="24"/>
                <w:szCs w:val="24"/>
              </w:rPr>
              <w:t>L</w:t>
            </w:r>
            <w:r w:rsidR="00513026" w:rsidRPr="001D116C">
              <w:rPr>
                <w:rFonts w:ascii="Times New Roman" w:hAnsi="Times New Roman" w:cs="Times New Roman"/>
                <w:color w:val="000000"/>
                <w:sz w:val="24"/>
                <w:szCs w:val="24"/>
                <w:shd w:val="clear" w:color="auto" w:fill="FFFFFF"/>
              </w:rPr>
              <w:t>ošimų organizavimas yra specifinė verslo rūšis, kuri daro neigiamą poveikį i</w:t>
            </w:r>
            <w:r w:rsidR="00513026">
              <w:rPr>
                <w:rFonts w:ascii="Times New Roman" w:hAnsi="Times New Roman" w:cs="Times New Roman"/>
                <w:color w:val="000000"/>
                <w:sz w:val="24"/>
                <w:szCs w:val="24"/>
                <w:shd w:val="clear" w:color="auto" w:fill="FFFFFF"/>
              </w:rPr>
              <w:t xml:space="preserve">ndividui ir visuomenei. </w:t>
            </w:r>
            <w:r>
              <w:rPr>
                <w:rFonts w:ascii="Times New Roman" w:hAnsi="Times New Roman" w:cs="Times New Roman"/>
                <w:sz w:val="24"/>
                <w:szCs w:val="24"/>
                <w:shd w:val="clear" w:color="auto" w:fill="FFFFFF"/>
              </w:rPr>
              <w:t xml:space="preserve">Savivaldos įtraukimas </w:t>
            </w:r>
            <w:r w:rsidRPr="00FF7240">
              <w:rPr>
                <w:rFonts w:ascii="Times New Roman" w:hAnsi="Times New Roman" w:cs="Times New Roman"/>
                <w:sz w:val="24"/>
                <w:szCs w:val="24"/>
                <w:shd w:val="clear" w:color="auto" w:fill="FFFFFF"/>
              </w:rPr>
              <w:t>leis geriau atsižvelgti į gyventojų interesus, įvertinti bendruomenės nuomonę į planuojamas steigti naujas ar veiklą siekiančias tęsti lošimų vietas.</w:t>
            </w:r>
            <w:r w:rsidRPr="00FF7240">
              <w:rPr>
                <w:rFonts w:ascii="Times New Roman" w:eastAsia="Times New Roman" w:hAnsi="Times New Roman" w:cs="Times New Roman"/>
                <w:color w:val="000000"/>
                <w:sz w:val="24"/>
                <w:szCs w:val="24"/>
                <w:shd w:val="clear" w:color="auto" w:fill="FFFFFF"/>
              </w:rPr>
              <w:t xml:space="preserve"> </w:t>
            </w:r>
            <w:r w:rsidR="00A13DE1">
              <w:rPr>
                <w:rFonts w:ascii="Times New Roman" w:eastAsia="Times New Roman" w:hAnsi="Times New Roman" w:cs="Times New Roman"/>
                <w:color w:val="000000"/>
                <w:sz w:val="24"/>
                <w:szCs w:val="24"/>
                <w:shd w:val="clear" w:color="auto" w:fill="FFFFFF"/>
              </w:rPr>
              <w:t xml:space="preserve">Projekte </w:t>
            </w:r>
            <w:r w:rsidR="00372F15">
              <w:rPr>
                <w:rFonts w:ascii="Times New Roman" w:hAnsi="Times New Roman" w:cs="Times New Roman"/>
                <w:sz w:val="24"/>
                <w:szCs w:val="24"/>
              </w:rPr>
              <w:t>Nr</w:t>
            </w:r>
            <w:r w:rsidR="00372F15" w:rsidRPr="00890224">
              <w:rPr>
                <w:rFonts w:ascii="Times New Roman" w:hAnsi="Times New Roman" w:cs="Times New Roman"/>
                <w:sz w:val="24"/>
                <w:szCs w:val="24"/>
              </w:rPr>
              <w:t>. XIVP-643(2)</w:t>
            </w:r>
            <w:r w:rsidR="00372F15">
              <w:rPr>
                <w:rFonts w:ascii="Times New Roman" w:hAnsi="Times New Roman" w:cs="Times New Roman"/>
                <w:sz w:val="24"/>
                <w:szCs w:val="24"/>
              </w:rPr>
              <w:t xml:space="preserve"> </w:t>
            </w:r>
            <w:r w:rsidR="00A13DE1">
              <w:rPr>
                <w:rFonts w:ascii="Times New Roman" w:eastAsia="Times New Roman" w:hAnsi="Times New Roman" w:cs="Times New Roman"/>
                <w:color w:val="000000"/>
                <w:sz w:val="24"/>
                <w:szCs w:val="24"/>
                <w:shd w:val="clear" w:color="auto" w:fill="FFFFFF"/>
              </w:rPr>
              <w:t>nustatytas savivaldybės tarybos sutikimo galiojimo terminas</w:t>
            </w:r>
            <w:r w:rsidR="00A13DE1" w:rsidRPr="00FF7240">
              <w:rPr>
                <w:rFonts w:ascii="Times New Roman" w:eastAsia="Times New Roman" w:hAnsi="Times New Roman" w:cs="Times New Roman"/>
                <w:color w:val="000000"/>
                <w:sz w:val="24"/>
                <w:szCs w:val="24"/>
                <w:shd w:val="clear" w:color="auto" w:fill="FFFFFF"/>
              </w:rPr>
              <w:t xml:space="preserve"> </w:t>
            </w:r>
            <w:r w:rsidR="00A13DE1" w:rsidRPr="00D839C8">
              <w:rPr>
                <w:rFonts w:ascii="Times New Roman" w:eastAsia="Times New Roman" w:hAnsi="Times New Roman" w:cs="Times New Roman"/>
                <w:color w:val="000000"/>
                <w:sz w:val="24"/>
                <w:szCs w:val="24"/>
                <w:shd w:val="clear" w:color="auto" w:fill="FFFFFF"/>
              </w:rPr>
              <w:t>suteikia galimybę</w:t>
            </w:r>
            <w:r w:rsidR="00A13DE1">
              <w:rPr>
                <w:rFonts w:ascii="Times New Roman" w:eastAsia="Times New Roman" w:hAnsi="Times New Roman" w:cs="Times New Roman"/>
                <w:color w:val="000000"/>
                <w:sz w:val="24"/>
                <w:szCs w:val="24"/>
                <w:shd w:val="clear" w:color="auto" w:fill="FFFFFF"/>
              </w:rPr>
              <w:t xml:space="preserve"> optimaliai</w:t>
            </w:r>
            <w:r w:rsidR="00A13DE1" w:rsidRPr="00D839C8">
              <w:rPr>
                <w:rFonts w:ascii="Times New Roman" w:eastAsia="Times New Roman" w:hAnsi="Times New Roman" w:cs="Times New Roman"/>
                <w:color w:val="000000"/>
                <w:sz w:val="24"/>
                <w:szCs w:val="24"/>
                <w:shd w:val="clear" w:color="auto" w:fill="FFFFFF"/>
              </w:rPr>
              <w:t xml:space="preserve"> reaguoti į besikeičiančius visuomenės poreikius</w:t>
            </w:r>
            <w:r w:rsidR="00A13DE1">
              <w:rPr>
                <w:rFonts w:ascii="Times New Roman" w:eastAsia="Times New Roman" w:hAnsi="Times New Roman" w:cs="Times New Roman"/>
                <w:color w:val="000000"/>
                <w:sz w:val="24"/>
                <w:szCs w:val="24"/>
                <w:shd w:val="clear" w:color="auto" w:fill="FFFFFF"/>
              </w:rPr>
              <w:t>, lošimų vietą supančios infrastruktūros pasikeitimus</w:t>
            </w:r>
            <w:r w:rsidR="00A13DE1" w:rsidRPr="00D839C8">
              <w:rPr>
                <w:rFonts w:ascii="Times New Roman" w:eastAsia="Times New Roman" w:hAnsi="Times New Roman" w:cs="Times New Roman"/>
                <w:color w:val="000000"/>
                <w:sz w:val="24"/>
                <w:szCs w:val="24"/>
                <w:shd w:val="clear" w:color="auto" w:fill="FFFFFF"/>
              </w:rPr>
              <w:t xml:space="preserve"> ar sukeliama</w:t>
            </w:r>
            <w:r w:rsidR="00A13DE1">
              <w:rPr>
                <w:rFonts w:ascii="Times New Roman" w:eastAsia="Times New Roman" w:hAnsi="Times New Roman" w:cs="Times New Roman"/>
                <w:color w:val="000000"/>
                <w:sz w:val="24"/>
                <w:szCs w:val="24"/>
                <w:shd w:val="clear" w:color="auto" w:fill="FFFFFF"/>
              </w:rPr>
              <w:t>s neigiamas lošimų pasekmes savivaldybės teritorijoje</w:t>
            </w:r>
            <w:r w:rsidR="00A13DE1" w:rsidRPr="00D839C8">
              <w:rPr>
                <w:rFonts w:ascii="Times New Roman" w:eastAsia="Times New Roman" w:hAnsi="Times New Roman" w:cs="Times New Roman"/>
                <w:color w:val="000000"/>
                <w:sz w:val="24"/>
                <w:szCs w:val="24"/>
                <w:shd w:val="clear" w:color="auto" w:fill="FFFFFF"/>
              </w:rPr>
              <w:t>.</w:t>
            </w:r>
            <w:r w:rsidR="00A13DE1">
              <w:rPr>
                <w:rFonts w:ascii="Times New Roman" w:eastAsia="Times New Roman" w:hAnsi="Times New Roman" w:cs="Times New Roman"/>
                <w:color w:val="000000"/>
                <w:sz w:val="24"/>
                <w:szCs w:val="24"/>
                <w:shd w:val="clear" w:color="auto" w:fill="FFFFFF"/>
              </w:rPr>
              <w:t xml:space="preserve"> </w:t>
            </w:r>
            <w:r w:rsidRPr="00D839C8">
              <w:rPr>
                <w:rFonts w:ascii="Times New Roman" w:eastAsia="Times New Roman" w:hAnsi="Times New Roman" w:cs="Times New Roman"/>
                <w:color w:val="000000"/>
                <w:sz w:val="24"/>
                <w:szCs w:val="24"/>
                <w:shd w:val="clear" w:color="auto" w:fill="FFFFFF"/>
              </w:rPr>
              <w:t>Nustačius savivaldybės tarybos sutikimo terminą 10 metų ar ilgesniam terminui</w:t>
            </w:r>
            <w:r>
              <w:rPr>
                <w:rFonts w:ascii="Times New Roman" w:eastAsia="Times New Roman" w:hAnsi="Times New Roman" w:cs="Times New Roman"/>
                <w:color w:val="000000"/>
                <w:sz w:val="24"/>
                <w:szCs w:val="24"/>
                <w:shd w:val="clear" w:color="auto" w:fill="FFFFFF"/>
              </w:rPr>
              <w:t xml:space="preserve">, </w:t>
            </w:r>
            <w:r w:rsidRPr="00D839C8">
              <w:rPr>
                <w:rFonts w:ascii="Times New Roman" w:eastAsia="Times New Roman" w:hAnsi="Times New Roman" w:cs="Times New Roman"/>
                <w:color w:val="000000"/>
                <w:sz w:val="24"/>
                <w:szCs w:val="24"/>
                <w:shd w:val="clear" w:color="auto" w:fill="FFFFFF"/>
              </w:rPr>
              <w:t>tokia galimybė būtų eliminuota</w:t>
            </w:r>
            <w:r w:rsidR="0041604F">
              <w:rPr>
                <w:rFonts w:ascii="Times New Roman" w:eastAsia="Times New Roman" w:hAnsi="Times New Roman" w:cs="Times New Roman"/>
                <w:color w:val="000000"/>
                <w:sz w:val="24"/>
                <w:szCs w:val="24"/>
                <w:shd w:val="clear" w:color="auto" w:fill="FFFFFF"/>
              </w:rPr>
              <w:t>, t. y. lošimų verslo interesai būtų iškeliami aukščiau visuomenės intereso.</w:t>
            </w:r>
            <w:r>
              <w:rPr>
                <w:rFonts w:ascii="Times New Roman" w:eastAsia="Times New Roman" w:hAnsi="Times New Roman" w:cs="Times New Roman"/>
                <w:color w:val="000000"/>
                <w:sz w:val="24"/>
                <w:szCs w:val="24"/>
                <w:shd w:val="clear" w:color="auto" w:fill="FFFFFF"/>
              </w:rPr>
              <w:t xml:space="preserve"> </w:t>
            </w:r>
          </w:p>
        </w:tc>
      </w:tr>
      <w:tr w:rsidR="008E22E2" w14:paraId="06284834" w14:textId="77777777" w:rsidTr="008E22E2">
        <w:tc>
          <w:tcPr>
            <w:tcW w:w="2093" w:type="dxa"/>
            <w:tcBorders>
              <w:top w:val="single" w:sz="4" w:space="0" w:color="auto"/>
              <w:bottom w:val="single" w:sz="4" w:space="0" w:color="auto"/>
            </w:tcBorders>
          </w:tcPr>
          <w:p w14:paraId="65A36FBB" w14:textId="77777777" w:rsidR="008E22E2" w:rsidRDefault="008E22E2">
            <w:pPr>
              <w:rPr>
                <w:rFonts w:ascii="Times New Roman" w:hAnsi="Times New Roman" w:cs="Times New Roman"/>
                <w:sz w:val="24"/>
                <w:szCs w:val="24"/>
              </w:rPr>
            </w:pPr>
          </w:p>
        </w:tc>
        <w:tc>
          <w:tcPr>
            <w:tcW w:w="8080" w:type="dxa"/>
          </w:tcPr>
          <w:p w14:paraId="4A023ADD" w14:textId="77777777" w:rsidR="002F2CB5" w:rsidRPr="00FA5E6E" w:rsidRDefault="00CC223C" w:rsidP="002F2CB5">
            <w:pPr>
              <w:pStyle w:val="pasilymai2"/>
              <w:spacing w:before="0" w:beforeAutospacing="0" w:after="0" w:afterAutospacing="0"/>
              <w:jc w:val="both"/>
              <w:rPr>
                <w:color w:val="000000"/>
                <w:lang w:val="lt-LT"/>
              </w:rPr>
            </w:pPr>
            <w:r>
              <w:rPr>
                <w:color w:val="000000"/>
                <w:lang w:val="lt-LT"/>
              </w:rPr>
              <w:t xml:space="preserve">2. </w:t>
            </w:r>
            <w:r w:rsidR="00685B54">
              <w:rPr>
                <w:color w:val="000000"/>
                <w:lang w:val="lt-LT"/>
              </w:rPr>
              <w:t xml:space="preserve">Bendrovės, dabar organizuojančios nuotolinius lošimus pagal išduotus leidimus, keisdamos leidimus į licencijas, turės sumokėti vienkartinį licencijos organizuoti nuotolinius lošimus išdavimo mokestį – 500 000 EUR. Asociacija pritaria Lietuvos Respublikos Seimo Teisės departamento siūlymui nustatyti, kad </w:t>
            </w:r>
            <w:r w:rsidR="00454876">
              <w:rPr>
                <w:color w:val="000000"/>
                <w:lang w:val="lt-LT"/>
              </w:rPr>
              <w:t xml:space="preserve">vienkartinis mokestis už licencijos išdavimą nebūtų imamas iš tų nuotolinių lošimų bendrovių, kurios nuotolinius lošimus pagal Lošimų priežiūros tarnybos išduotus leidimus jau organizavo iki šio, Loterijų ir lošimų mokesčio įstatymo  įsigaliojimo. Asociacijos nuomone, valstybė, nustatydama naują reguliavimą, neturėtų siekti papildomai iškelti sąlygas bei antrą kartą apmokestinti jau leidimus (licencijas) turinčias ir paslaugas teikiančias bendroves. Toks dvigubas apmokestinimas ir dvigubas licencijavimas neatitinka tvaraus ir teisingo valdymo </w:t>
            </w:r>
            <w:r w:rsidR="00454876">
              <w:rPr>
                <w:color w:val="000000"/>
                <w:lang w:val="lt-LT"/>
              </w:rPr>
              <w:lastRenderedPageBreak/>
              <w:t>principų. Siūloma atsisakyti tokio reikalavimo.</w:t>
            </w:r>
          </w:p>
          <w:p w14:paraId="529919A2" w14:textId="77777777" w:rsidR="008E22E2" w:rsidRPr="00660939" w:rsidRDefault="008E22E2" w:rsidP="00E422FE">
            <w:pPr>
              <w:tabs>
                <w:tab w:val="left" w:pos="709"/>
                <w:tab w:val="left" w:pos="851"/>
                <w:tab w:val="left" w:pos="1134"/>
                <w:tab w:val="left" w:pos="1276"/>
              </w:tabs>
              <w:suppressAutoHyphens/>
              <w:jc w:val="both"/>
              <w:textAlignment w:val="top"/>
              <w:rPr>
                <w:rFonts w:ascii="Times New Roman" w:hAnsi="Times New Roman" w:cs="Times New Roman"/>
                <w:sz w:val="24"/>
                <w:szCs w:val="24"/>
              </w:rPr>
            </w:pPr>
          </w:p>
        </w:tc>
        <w:tc>
          <w:tcPr>
            <w:tcW w:w="4961" w:type="dxa"/>
          </w:tcPr>
          <w:p w14:paraId="56794486" w14:textId="77777777" w:rsidR="00C804B6" w:rsidRPr="00C804B6" w:rsidRDefault="00C804B6" w:rsidP="00C804B6">
            <w:pPr>
              <w:pStyle w:val="pasilymai2"/>
              <w:spacing w:before="0" w:beforeAutospacing="0" w:after="0" w:afterAutospacing="0"/>
              <w:jc w:val="both"/>
              <w:rPr>
                <w:b/>
                <w:color w:val="000000"/>
                <w:lang w:val="lt-LT"/>
              </w:rPr>
            </w:pPr>
            <w:r w:rsidRPr="00FF7240">
              <w:rPr>
                <w:b/>
                <w:color w:val="000000"/>
                <w:lang w:val="lt-LT"/>
              </w:rPr>
              <w:lastRenderedPageBreak/>
              <w:t>Nepritarti</w:t>
            </w:r>
            <w:r>
              <w:rPr>
                <w:b/>
                <w:color w:val="000000"/>
                <w:lang w:val="lt-LT"/>
              </w:rPr>
              <w:t xml:space="preserve">. </w:t>
            </w:r>
            <w:r w:rsidR="00372F15">
              <w:rPr>
                <w:color w:val="000000"/>
                <w:lang w:val="lt-LT"/>
              </w:rPr>
              <w:t>P</w:t>
            </w:r>
            <w:r w:rsidRPr="00C804B6">
              <w:rPr>
                <w:color w:val="000000"/>
                <w:lang w:val="lt-LT"/>
              </w:rPr>
              <w:t xml:space="preserve">rojektu </w:t>
            </w:r>
            <w:r w:rsidR="00372F15">
              <w:t>Nr</w:t>
            </w:r>
            <w:r w:rsidR="00372F15" w:rsidRPr="00890224">
              <w:t>. XIVP-643(2)</w:t>
            </w:r>
            <w:r w:rsidR="00372F15">
              <w:t xml:space="preserve"> </w:t>
            </w:r>
            <w:r w:rsidRPr="00C804B6">
              <w:rPr>
                <w:color w:val="000000"/>
                <w:lang w:val="lt-LT"/>
              </w:rPr>
              <w:t xml:space="preserve">panaikinamas reikalavimas turėti antžemines lošimų organizavimo vietas šiuo metu lošimų </w:t>
            </w:r>
            <w:r>
              <w:rPr>
                <w:color w:val="000000"/>
                <w:lang w:val="lt-LT"/>
              </w:rPr>
              <w:t>veiklą vykdančioms bendrovėms,</w:t>
            </w:r>
            <w:r w:rsidR="00A13DE1">
              <w:rPr>
                <w:color w:val="000000"/>
                <w:lang w:val="lt-LT"/>
              </w:rPr>
              <w:t xml:space="preserve"> tokiu būdu yra lengvinamos</w:t>
            </w:r>
            <w:r w:rsidRPr="00C804B6">
              <w:rPr>
                <w:color w:val="000000"/>
                <w:lang w:val="lt-LT"/>
              </w:rPr>
              <w:t xml:space="preserve"> </w:t>
            </w:r>
            <w:r w:rsidR="0089567F">
              <w:rPr>
                <w:color w:val="000000"/>
                <w:lang w:val="lt-LT"/>
              </w:rPr>
              <w:t>patekimo į rinką</w:t>
            </w:r>
            <w:r w:rsidRPr="00C804B6">
              <w:rPr>
                <w:color w:val="000000"/>
                <w:lang w:val="lt-LT"/>
              </w:rPr>
              <w:t xml:space="preserve"> sąlygos. Projekte </w:t>
            </w:r>
            <w:r w:rsidR="00372F15">
              <w:t>Nr</w:t>
            </w:r>
            <w:r w:rsidR="00372F15" w:rsidRPr="00890224">
              <w:t xml:space="preserve">. </w:t>
            </w:r>
            <w:r w:rsidR="00454876">
              <w:t>XIVP-644</w:t>
            </w:r>
            <w:r w:rsidR="00372F15" w:rsidRPr="00890224">
              <w:t>(2)</w:t>
            </w:r>
            <w:r w:rsidR="00372F15">
              <w:t xml:space="preserve"> </w:t>
            </w:r>
            <w:r w:rsidRPr="00C804B6">
              <w:rPr>
                <w:color w:val="000000"/>
                <w:lang w:val="lt-LT"/>
              </w:rPr>
              <w:t xml:space="preserve">nustatytas mokestis nelaikytinas ūkio subjekto apmokestinimu antrą kartą, nes šiuo metu bendrovės, siekiančios gauti licenciją ir leidimą organizuoti nuotolinius lošimus licencijos ar leidimo išdavimo mokesčio nemoka. Lošimų organizatoriams nustatyta </w:t>
            </w:r>
            <w:r w:rsidRPr="00C804B6">
              <w:rPr>
                <w:color w:val="000000"/>
                <w:lang w:val="lt-LT"/>
              </w:rPr>
              <w:lastRenderedPageBreak/>
              <w:t>prievolė sumokėti tik rinkliavą už suteiktą administracinę paslaugą.</w:t>
            </w:r>
          </w:p>
          <w:p w14:paraId="0546BF5F" w14:textId="77777777" w:rsidR="008E22E2" w:rsidRPr="00372F15" w:rsidRDefault="00C804B6" w:rsidP="00372F15">
            <w:pPr>
              <w:pStyle w:val="pasilymai2"/>
              <w:spacing w:before="0" w:beforeAutospacing="0" w:after="0" w:afterAutospacing="0"/>
              <w:jc w:val="both"/>
              <w:rPr>
                <w:color w:val="000000"/>
                <w:lang w:val="lt-LT"/>
              </w:rPr>
            </w:pPr>
            <w:r w:rsidRPr="00C804B6">
              <w:rPr>
                <w:color w:val="000000"/>
                <w:lang w:val="lt-LT"/>
              </w:rPr>
              <w:t>Pagal galio</w:t>
            </w:r>
            <w:r w:rsidR="00372F15">
              <w:rPr>
                <w:color w:val="000000"/>
                <w:lang w:val="lt-LT"/>
              </w:rPr>
              <w:t>jantį Azartinių lošimų įstatymą</w:t>
            </w:r>
            <w:r w:rsidRPr="00C804B6">
              <w:rPr>
                <w:color w:val="000000"/>
                <w:lang w:val="lt-LT"/>
              </w:rPr>
              <w:t xml:space="preserve"> nuotolinių lošimų organizatoriai lošimus organizuoja išduoto leidimo pagrindu, o pagal </w:t>
            </w:r>
            <w:r w:rsidR="00372F15">
              <w:rPr>
                <w:color w:val="000000"/>
                <w:lang w:val="lt-LT"/>
              </w:rPr>
              <w:t>siūlomą teisinį reglamentavimą</w:t>
            </w:r>
            <w:r w:rsidR="00FB1B11">
              <w:rPr>
                <w:color w:val="000000"/>
                <w:lang w:val="lt-LT"/>
              </w:rPr>
              <w:t xml:space="preserve"> – </w:t>
            </w:r>
            <w:r w:rsidRPr="00C804B6">
              <w:rPr>
                <w:color w:val="000000"/>
                <w:lang w:val="lt-LT"/>
              </w:rPr>
              <w:t>bendrovės turėtų</w:t>
            </w:r>
            <w:r>
              <w:rPr>
                <w:color w:val="000000"/>
                <w:lang w:val="lt-LT"/>
              </w:rPr>
              <w:t xml:space="preserve"> mokėti nustatytą</w:t>
            </w:r>
            <w:r w:rsidRPr="00C804B6">
              <w:rPr>
                <w:color w:val="000000"/>
                <w:lang w:val="lt-LT"/>
              </w:rPr>
              <w:t xml:space="preserve"> mokestį už licenciją, kuri suteiktų teisę vykdyti savo veiklą kitomis sąlygomis</w:t>
            </w:r>
            <w:r w:rsidR="00372F15">
              <w:rPr>
                <w:color w:val="000000"/>
                <w:lang w:val="lt-LT"/>
              </w:rPr>
              <w:t>,</w:t>
            </w:r>
            <w:r w:rsidRPr="00C804B6">
              <w:rPr>
                <w:color w:val="000000"/>
                <w:lang w:val="lt-LT"/>
              </w:rPr>
              <w:t xml:space="preserve"> t.y. neišlaikant antžeminių lošimų vietų, išdavimą.</w:t>
            </w:r>
            <w:r w:rsidR="007E31E8">
              <w:rPr>
                <w:color w:val="000000"/>
                <w:lang w:val="lt-LT"/>
              </w:rPr>
              <w:t xml:space="preserve"> </w:t>
            </w:r>
            <w:r w:rsidRPr="00C804B6">
              <w:rPr>
                <w:color w:val="000000"/>
              </w:rPr>
              <w:t xml:space="preserve">Projektu </w:t>
            </w:r>
            <w:r w:rsidR="00372F15">
              <w:t>Nr</w:t>
            </w:r>
            <w:r w:rsidR="00372F15" w:rsidRPr="00890224">
              <w:t xml:space="preserve">. </w:t>
            </w:r>
            <w:r w:rsidR="00454876">
              <w:t>XIVP-644</w:t>
            </w:r>
            <w:r w:rsidR="00372F15" w:rsidRPr="00890224">
              <w:t>(2)</w:t>
            </w:r>
            <w:r w:rsidR="00372F15">
              <w:t xml:space="preserve"> </w:t>
            </w:r>
            <w:r w:rsidRPr="00C804B6">
              <w:rPr>
                <w:color w:val="000000"/>
              </w:rPr>
              <w:t xml:space="preserve">siekiama vienkartiniu mokesčiu už licencijų organizuoti azartinius lošimus išdavimą pakeisti šiuo metu egzistuojančias valstybės rinkliavas už licencijos ir leidimo išdavimą. Priėmus įstatymo projektą, valstybės rinkliava už licencijos išdavimą nebebūtų </w:t>
            </w:r>
            <w:r>
              <w:rPr>
                <w:color w:val="000000"/>
              </w:rPr>
              <w:t>renkama</w:t>
            </w:r>
            <w:r w:rsidRPr="00C804B6">
              <w:rPr>
                <w:color w:val="000000"/>
              </w:rPr>
              <w:t>.</w:t>
            </w:r>
          </w:p>
        </w:tc>
      </w:tr>
    </w:tbl>
    <w:p w14:paraId="52669834" w14:textId="77777777" w:rsidR="00D13804" w:rsidRDefault="002F2EC9" w:rsidP="002F2EC9">
      <w:pPr>
        <w:jc w:val="center"/>
      </w:pPr>
      <w:r>
        <w:lastRenderedPageBreak/>
        <w:t>______________________________________________</w:t>
      </w:r>
    </w:p>
    <w:sectPr w:rsidR="00D13804" w:rsidSect="00145EC6">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F1B"/>
    <w:multiLevelType w:val="hybridMultilevel"/>
    <w:tmpl w:val="28E09718"/>
    <w:lvl w:ilvl="0" w:tplc="F23EB9FC">
      <w:start w:val="1"/>
      <w:numFmt w:val="decimal"/>
      <w:lvlText w:val="%1."/>
      <w:lvlJc w:val="left"/>
      <w:pPr>
        <w:ind w:left="1110" w:hanging="390"/>
      </w:pPr>
      <w:rPr>
        <w:rFonts w:ascii="Times New Roman" w:hAnsi="Times New Roman" w:cs="Times New Roman" w:hint="default"/>
        <w:sz w:val="24"/>
        <w:szCs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8B434E6"/>
    <w:multiLevelType w:val="hybridMultilevel"/>
    <w:tmpl w:val="891676E8"/>
    <w:lvl w:ilvl="0" w:tplc="FDBEED4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 w15:restartNumberingAfterBreak="0">
    <w:nsid w:val="76B5542A"/>
    <w:multiLevelType w:val="hybridMultilevel"/>
    <w:tmpl w:val="7E32DF60"/>
    <w:lvl w:ilvl="0" w:tplc="DF7C241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A7A6707"/>
    <w:multiLevelType w:val="hybridMultilevel"/>
    <w:tmpl w:val="891676E8"/>
    <w:lvl w:ilvl="0" w:tplc="FDBEED48">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C6"/>
    <w:rsid w:val="00000B64"/>
    <w:rsid w:val="00006172"/>
    <w:rsid w:val="00006D45"/>
    <w:rsid w:val="0002482A"/>
    <w:rsid w:val="00027AE9"/>
    <w:rsid w:val="0003200E"/>
    <w:rsid w:val="00050F58"/>
    <w:rsid w:val="000553D3"/>
    <w:rsid w:val="00057CCA"/>
    <w:rsid w:val="000856DE"/>
    <w:rsid w:val="000A491F"/>
    <w:rsid w:val="000B0D6F"/>
    <w:rsid w:val="000B3107"/>
    <w:rsid w:val="000E3D25"/>
    <w:rsid w:val="00104382"/>
    <w:rsid w:val="00121E02"/>
    <w:rsid w:val="00122CC4"/>
    <w:rsid w:val="00124E86"/>
    <w:rsid w:val="00132E07"/>
    <w:rsid w:val="00134B04"/>
    <w:rsid w:val="00145162"/>
    <w:rsid w:val="00145EC6"/>
    <w:rsid w:val="00157C3B"/>
    <w:rsid w:val="00165DAA"/>
    <w:rsid w:val="00167C90"/>
    <w:rsid w:val="001A32F8"/>
    <w:rsid w:val="001A70D8"/>
    <w:rsid w:val="001B6405"/>
    <w:rsid w:val="001D116C"/>
    <w:rsid w:val="001D2963"/>
    <w:rsid w:val="001D6579"/>
    <w:rsid w:val="00206551"/>
    <w:rsid w:val="0021369C"/>
    <w:rsid w:val="00223EFE"/>
    <w:rsid w:val="002376F6"/>
    <w:rsid w:val="00241A44"/>
    <w:rsid w:val="002466F0"/>
    <w:rsid w:val="00246DDC"/>
    <w:rsid w:val="0026243B"/>
    <w:rsid w:val="00262DA7"/>
    <w:rsid w:val="002700FB"/>
    <w:rsid w:val="00277698"/>
    <w:rsid w:val="0029180E"/>
    <w:rsid w:val="00294EF6"/>
    <w:rsid w:val="002B5F18"/>
    <w:rsid w:val="002C5EF9"/>
    <w:rsid w:val="002F03D7"/>
    <w:rsid w:val="002F2CB5"/>
    <w:rsid w:val="002F2EC9"/>
    <w:rsid w:val="00310763"/>
    <w:rsid w:val="003268B5"/>
    <w:rsid w:val="00337730"/>
    <w:rsid w:val="00347811"/>
    <w:rsid w:val="00353D2D"/>
    <w:rsid w:val="0036068D"/>
    <w:rsid w:val="00372F15"/>
    <w:rsid w:val="003B06E0"/>
    <w:rsid w:val="003C2DEE"/>
    <w:rsid w:val="003D49AC"/>
    <w:rsid w:val="003E1F7B"/>
    <w:rsid w:val="00411E34"/>
    <w:rsid w:val="0041604F"/>
    <w:rsid w:val="00440A80"/>
    <w:rsid w:val="004425DF"/>
    <w:rsid w:val="00454876"/>
    <w:rsid w:val="00457581"/>
    <w:rsid w:val="00466F90"/>
    <w:rsid w:val="004706FA"/>
    <w:rsid w:val="00486B30"/>
    <w:rsid w:val="004C5170"/>
    <w:rsid w:val="004F2109"/>
    <w:rsid w:val="00510C1E"/>
    <w:rsid w:val="005111D2"/>
    <w:rsid w:val="00513026"/>
    <w:rsid w:val="005252AB"/>
    <w:rsid w:val="00525989"/>
    <w:rsid w:val="00543547"/>
    <w:rsid w:val="00544B96"/>
    <w:rsid w:val="00550738"/>
    <w:rsid w:val="00574CC5"/>
    <w:rsid w:val="00587246"/>
    <w:rsid w:val="005A50F3"/>
    <w:rsid w:val="005B0A9C"/>
    <w:rsid w:val="005B0E3D"/>
    <w:rsid w:val="005D0914"/>
    <w:rsid w:val="005E2B10"/>
    <w:rsid w:val="005E633A"/>
    <w:rsid w:val="005E6BDF"/>
    <w:rsid w:val="005F58F3"/>
    <w:rsid w:val="00600B8B"/>
    <w:rsid w:val="00603C15"/>
    <w:rsid w:val="00611333"/>
    <w:rsid w:val="0061679B"/>
    <w:rsid w:val="00641EA7"/>
    <w:rsid w:val="00644D9C"/>
    <w:rsid w:val="00660939"/>
    <w:rsid w:val="0066172F"/>
    <w:rsid w:val="006707E7"/>
    <w:rsid w:val="00685B54"/>
    <w:rsid w:val="0069160C"/>
    <w:rsid w:val="006A1748"/>
    <w:rsid w:val="006C0279"/>
    <w:rsid w:val="006C6C34"/>
    <w:rsid w:val="006C7BAB"/>
    <w:rsid w:val="006E1A5D"/>
    <w:rsid w:val="006E537D"/>
    <w:rsid w:val="006F7CE0"/>
    <w:rsid w:val="0072465D"/>
    <w:rsid w:val="00727A37"/>
    <w:rsid w:val="00751A6F"/>
    <w:rsid w:val="007762C0"/>
    <w:rsid w:val="007A4FFA"/>
    <w:rsid w:val="007A7A71"/>
    <w:rsid w:val="007B0301"/>
    <w:rsid w:val="007B2041"/>
    <w:rsid w:val="007B59A0"/>
    <w:rsid w:val="007C57D0"/>
    <w:rsid w:val="007C6673"/>
    <w:rsid w:val="007D0C6C"/>
    <w:rsid w:val="007E31E8"/>
    <w:rsid w:val="007E7B0D"/>
    <w:rsid w:val="008106FD"/>
    <w:rsid w:val="00811987"/>
    <w:rsid w:val="00840CF0"/>
    <w:rsid w:val="008445ED"/>
    <w:rsid w:val="00846BE7"/>
    <w:rsid w:val="00852BDB"/>
    <w:rsid w:val="0086561E"/>
    <w:rsid w:val="008742A0"/>
    <w:rsid w:val="00884948"/>
    <w:rsid w:val="00885D79"/>
    <w:rsid w:val="00890224"/>
    <w:rsid w:val="0089567F"/>
    <w:rsid w:val="008B70A1"/>
    <w:rsid w:val="008E22E2"/>
    <w:rsid w:val="008F0E0A"/>
    <w:rsid w:val="008F75C6"/>
    <w:rsid w:val="009166DD"/>
    <w:rsid w:val="00924560"/>
    <w:rsid w:val="00943305"/>
    <w:rsid w:val="00944697"/>
    <w:rsid w:val="0095325B"/>
    <w:rsid w:val="00961EE4"/>
    <w:rsid w:val="009739BA"/>
    <w:rsid w:val="00976D76"/>
    <w:rsid w:val="0099413E"/>
    <w:rsid w:val="009B5502"/>
    <w:rsid w:val="009C4364"/>
    <w:rsid w:val="009C6860"/>
    <w:rsid w:val="009F0318"/>
    <w:rsid w:val="009F5533"/>
    <w:rsid w:val="00A13DE1"/>
    <w:rsid w:val="00A65CDB"/>
    <w:rsid w:val="00AA01B3"/>
    <w:rsid w:val="00AB0E5F"/>
    <w:rsid w:val="00AC7C40"/>
    <w:rsid w:val="00AD0FE5"/>
    <w:rsid w:val="00AE40EF"/>
    <w:rsid w:val="00AE53C8"/>
    <w:rsid w:val="00B13DD1"/>
    <w:rsid w:val="00B6593E"/>
    <w:rsid w:val="00B822FD"/>
    <w:rsid w:val="00B93E5B"/>
    <w:rsid w:val="00B95E63"/>
    <w:rsid w:val="00BA2C7F"/>
    <w:rsid w:val="00BA3322"/>
    <w:rsid w:val="00BA33A2"/>
    <w:rsid w:val="00BE5891"/>
    <w:rsid w:val="00C05575"/>
    <w:rsid w:val="00C14D41"/>
    <w:rsid w:val="00C14F43"/>
    <w:rsid w:val="00C37D9C"/>
    <w:rsid w:val="00C73004"/>
    <w:rsid w:val="00C804B6"/>
    <w:rsid w:val="00C87185"/>
    <w:rsid w:val="00C916D6"/>
    <w:rsid w:val="00CC223C"/>
    <w:rsid w:val="00CC5CEF"/>
    <w:rsid w:val="00CC5E7E"/>
    <w:rsid w:val="00CE2741"/>
    <w:rsid w:val="00D13804"/>
    <w:rsid w:val="00D163F5"/>
    <w:rsid w:val="00D33AD2"/>
    <w:rsid w:val="00D40FE8"/>
    <w:rsid w:val="00D4118C"/>
    <w:rsid w:val="00D44000"/>
    <w:rsid w:val="00D62052"/>
    <w:rsid w:val="00D800D8"/>
    <w:rsid w:val="00D80FEE"/>
    <w:rsid w:val="00D82695"/>
    <w:rsid w:val="00DA5BBD"/>
    <w:rsid w:val="00DA6EF5"/>
    <w:rsid w:val="00DD258B"/>
    <w:rsid w:val="00DD5DF4"/>
    <w:rsid w:val="00DF727D"/>
    <w:rsid w:val="00E04D9D"/>
    <w:rsid w:val="00E256EC"/>
    <w:rsid w:val="00E31E36"/>
    <w:rsid w:val="00E32085"/>
    <w:rsid w:val="00E32486"/>
    <w:rsid w:val="00E378A2"/>
    <w:rsid w:val="00E422FE"/>
    <w:rsid w:val="00E46817"/>
    <w:rsid w:val="00E54602"/>
    <w:rsid w:val="00E610A4"/>
    <w:rsid w:val="00E71930"/>
    <w:rsid w:val="00E800BF"/>
    <w:rsid w:val="00E80ABC"/>
    <w:rsid w:val="00EA6221"/>
    <w:rsid w:val="00ED4188"/>
    <w:rsid w:val="00EE1811"/>
    <w:rsid w:val="00EF077D"/>
    <w:rsid w:val="00F13AE8"/>
    <w:rsid w:val="00F23FA8"/>
    <w:rsid w:val="00F25F3C"/>
    <w:rsid w:val="00F32B8E"/>
    <w:rsid w:val="00F363F9"/>
    <w:rsid w:val="00F56BBD"/>
    <w:rsid w:val="00F6791B"/>
    <w:rsid w:val="00F815E0"/>
    <w:rsid w:val="00F90AC7"/>
    <w:rsid w:val="00F92012"/>
    <w:rsid w:val="00F92EA1"/>
    <w:rsid w:val="00FA7AD8"/>
    <w:rsid w:val="00FB09DA"/>
    <w:rsid w:val="00FB1B11"/>
    <w:rsid w:val="00FB36D9"/>
    <w:rsid w:val="00FC4F06"/>
    <w:rsid w:val="00FE2F79"/>
    <w:rsid w:val="00FE7B94"/>
    <w:rsid w:val="00FF0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66557"/>
  <w15:docId w15:val="{9808DF96-C9BB-4A70-9475-549EC3D3C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145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B0E5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B0E5F"/>
    <w:rPr>
      <w:rFonts w:ascii="Tahoma" w:hAnsi="Tahoma" w:cs="Tahoma"/>
      <w:sz w:val="16"/>
      <w:szCs w:val="16"/>
    </w:rPr>
  </w:style>
  <w:style w:type="paragraph" w:customStyle="1" w:styleId="Standard">
    <w:name w:val="Standard"/>
    <w:rsid w:val="00457581"/>
    <w:pPr>
      <w:autoSpaceDN w:val="0"/>
      <w:spacing w:after="0" w:line="240" w:lineRule="auto"/>
      <w:textAlignment w:val="baseline"/>
    </w:pPr>
    <w:rPr>
      <w:rFonts w:ascii="Calibri" w:eastAsia="Calibri" w:hAnsi="Calibri" w:cs="Times New Roman"/>
      <w:sz w:val="20"/>
      <w:szCs w:val="20"/>
      <w:lang w:eastAsia="lt-LT"/>
    </w:rPr>
  </w:style>
  <w:style w:type="paragraph" w:customStyle="1" w:styleId="Default">
    <w:name w:val="Default"/>
    <w:rsid w:val="0066172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ekstas">
    <w:name w:val="Tekstas"/>
    <w:basedOn w:val="prastasis"/>
    <w:rsid w:val="007A7A71"/>
    <w:pPr>
      <w:spacing w:before="40" w:after="40" w:line="240" w:lineRule="auto"/>
      <w:ind w:right="40" w:firstLine="1247"/>
      <w:jc w:val="both"/>
    </w:pPr>
    <w:rPr>
      <w:rFonts w:ascii="Times New Roman" w:eastAsia="Times New Roman" w:hAnsi="Times New Roman" w:cs="Times New Roman"/>
      <w:sz w:val="24"/>
      <w:szCs w:val="24"/>
    </w:rPr>
  </w:style>
  <w:style w:type="paragraph" w:styleId="Sraopastraipa">
    <w:name w:val="List Paragraph"/>
    <w:basedOn w:val="prastasis"/>
    <w:uiPriority w:val="34"/>
    <w:qFormat/>
    <w:rsid w:val="006C7BAB"/>
    <w:pPr>
      <w:spacing w:after="0" w:line="240" w:lineRule="auto"/>
      <w:ind w:left="720"/>
      <w:contextualSpacing/>
    </w:pPr>
    <w:rPr>
      <w:rFonts w:ascii="Times New Roman" w:hAnsi="Times New Roman" w:cs="Times New Roman"/>
      <w:sz w:val="24"/>
      <w:szCs w:val="24"/>
      <w:lang w:val="en-US"/>
    </w:rPr>
  </w:style>
  <w:style w:type="paragraph" w:styleId="Komentarotekstas">
    <w:name w:val="annotation text"/>
    <w:basedOn w:val="prastasis"/>
    <w:link w:val="KomentarotekstasDiagrama"/>
    <w:unhideWhenUsed/>
    <w:rsid w:val="002C5EF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2C5EF9"/>
    <w:rPr>
      <w:rFonts w:ascii="Times New Roman" w:eastAsia="Times New Roman" w:hAnsi="Times New Roman" w:cs="Times New Roman"/>
      <w:sz w:val="20"/>
      <w:szCs w:val="20"/>
    </w:rPr>
  </w:style>
  <w:style w:type="character" w:styleId="Komentaronuoroda">
    <w:name w:val="annotation reference"/>
    <w:basedOn w:val="Numatytasispastraiposriftas"/>
    <w:uiPriority w:val="99"/>
    <w:semiHidden/>
    <w:unhideWhenUsed/>
    <w:rsid w:val="00AE53C8"/>
    <w:rPr>
      <w:sz w:val="16"/>
      <w:szCs w:val="16"/>
    </w:rPr>
  </w:style>
  <w:style w:type="paragraph" w:styleId="Komentarotema">
    <w:name w:val="annotation subject"/>
    <w:basedOn w:val="Komentarotekstas"/>
    <w:next w:val="Komentarotekstas"/>
    <w:link w:val="KomentarotemaDiagrama"/>
    <w:uiPriority w:val="99"/>
    <w:semiHidden/>
    <w:unhideWhenUsed/>
    <w:rsid w:val="00AE53C8"/>
    <w:pPr>
      <w:spacing w:after="20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AE53C8"/>
    <w:rPr>
      <w:rFonts w:ascii="Times New Roman" w:eastAsia="Times New Roman" w:hAnsi="Times New Roman" w:cs="Times New Roman"/>
      <w:b/>
      <w:bCs/>
      <w:sz w:val="20"/>
      <w:szCs w:val="20"/>
    </w:rPr>
  </w:style>
  <w:style w:type="paragraph" w:styleId="Pataisymai">
    <w:name w:val="Revision"/>
    <w:hidden/>
    <w:uiPriority w:val="99"/>
    <w:semiHidden/>
    <w:rsid w:val="00AE53C8"/>
    <w:pPr>
      <w:spacing w:after="0" w:line="240" w:lineRule="auto"/>
    </w:pPr>
  </w:style>
  <w:style w:type="paragraph" w:customStyle="1" w:styleId="pasilymai2">
    <w:name w:val="pasilymai2"/>
    <w:basedOn w:val="prastasis"/>
    <w:rsid w:val="008E22E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4670">
      <w:bodyDiv w:val="1"/>
      <w:marLeft w:val="0"/>
      <w:marRight w:val="0"/>
      <w:marTop w:val="0"/>
      <w:marBottom w:val="0"/>
      <w:divBdr>
        <w:top w:val="none" w:sz="0" w:space="0" w:color="auto"/>
        <w:left w:val="none" w:sz="0" w:space="0" w:color="auto"/>
        <w:bottom w:val="none" w:sz="0" w:space="0" w:color="auto"/>
        <w:right w:val="none" w:sz="0" w:space="0" w:color="auto"/>
      </w:divBdr>
      <w:divsChild>
        <w:div w:id="553659659">
          <w:marLeft w:val="0"/>
          <w:marRight w:val="0"/>
          <w:marTop w:val="0"/>
          <w:marBottom w:val="0"/>
          <w:divBdr>
            <w:top w:val="none" w:sz="0" w:space="0" w:color="auto"/>
            <w:left w:val="none" w:sz="0" w:space="0" w:color="auto"/>
            <w:bottom w:val="none" w:sz="0" w:space="0" w:color="auto"/>
            <w:right w:val="none" w:sz="0" w:space="0" w:color="auto"/>
          </w:divBdr>
          <w:divsChild>
            <w:div w:id="1340423380">
              <w:marLeft w:val="0"/>
              <w:marRight w:val="0"/>
              <w:marTop w:val="0"/>
              <w:marBottom w:val="0"/>
              <w:divBdr>
                <w:top w:val="none" w:sz="0" w:space="0" w:color="auto"/>
                <w:left w:val="none" w:sz="0" w:space="0" w:color="auto"/>
                <w:bottom w:val="none" w:sz="0" w:space="0" w:color="auto"/>
                <w:right w:val="none" w:sz="0" w:space="0" w:color="auto"/>
              </w:divBdr>
              <w:divsChild>
                <w:div w:id="2137796410">
                  <w:marLeft w:val="0"/>
                  <w:marRight w:val="0"/>
                  <w:marTop w:val="0"/>
                  <w:marBottom w:val="0"/>
                  <w:divBdr>
                    <w:top w:val="none" w:sz="0" w:space="0" w:color="auto"/>
                    <w:left w:val="none" w:sz="0" w:space="0" w:color="auto"/>
                    <w:bottom w:val="none" w:sz="0" w:space="0" w:color="auto"/>
                    <w:right w:val="none" w:sz="0" w:space="0" w:color="auto"/>
                  </w:divBdr>
                  <w:divsChild>
                    <w:div w:id="294986712">
                      <w:marLeft w:val="0"/>
                      <w:marRight w:val="0"/>
                      <w:marTop w:val="0"/>
                      <w:marBottom w:val="0"/>
                      <w:divBdr>
                        <w:top w:val="none" w:sz="0" w:space="0" w:color="auto"/>
                        <w:left w:val="none" w:sz="0" w:space="0" w:color="auto"/>
                        <w:bottom w:val="none" w:sz="0" w:space="0" w:color="auto"/>
                        <w:right w:val="none" w:sz="0" w:space="0" w:color="auto"/>
                      </w:divBdr>
                    </w:div>
                    <w:div w:id="446236406">
                      <w:marLeft w:val="0"/>
                      <w:marRight w:val="0"/>
                      <w:marTop w:val="0"/>
                      <w:marBottom w:val="0"/>
                      <w:divBdr>
                        <w:top w:val="none" w:sz="0" w:space="0" w:color="auto"/>
                        <w:left w:val="none" w:sz="0" w:space="0" w:color="auto"/>
                        <w:bottom w:val="none" w:sz="0" w:space="0" w:color="auto"/>
                        <w:right w:val="none" w:sz="0" w:space="0" w:color="auto"/>
                      </w:divBdr>
                    </w:div>
                    <w:div w:id="1175848951">
                      <w:marLeft w:val="0"/>
                      <w:marRight w:val="0"/>
                      <w:marTop w:val="0"/>
                      <w:marBottom w:val="0"/>
                      <w:divBdr>
                        <w:top w:val="none" w:sz="0" w:space="0" w:color="auto"/>
                        <w:left w:val="none" w:sz="0" w:space="0" w:color="auto"/>
                        <w:bottom w:val="none" w:sz="0" w:space="0" w:color="auto"/>
                        <w:right w:val="none" w:sz="0" w:space="0" w:color="auto"/>
                      </w:divBdr>
                      <w:divsChild>
                        <w:div w:id="383219072">
                          <w:marLeft w:val="0"/>
                          <w:marRight w:val="0"/>
                          <w:marTop w:val="0"/>
                          <w:marBottom w:val="0"/>
                          <w:divBdr>
                            <w:top w:val="none" w:sz="0" w:space="0" w:color="auto"/>
                            <w:left w:val="none" w:sz="0" w:space="0" w:color="auto"/>
                            <w:bottom w:val="none" w:sz="0" w:space="0" w:color="auto"/>
                            <w:right w:val="none" w:sz="0" w:space="0" w:color="auto"/>
                          </w:divBdr>
                        </w:div>
                        <w:div w:id="1409692004">
                          <w:marLeft w:val="0"/>
                          <w:marRight w:val="0"/>
                          <w:marTop w:val="0"/>
                          <w:marBottom w:val="0"/>
                          <w:divBdr>
                            <w:top w:val="none" w:sz="0" w:space="0" w:color="auto"/>
                            <w:left w:val="none" w:sz="0" w:space="0" w:color="auto"/>
                            <w:bottom w:val="none" w:sz="0" w:space="0" w:color="auto"/>
                            <w:right w:val="none" w:sz="0" w:space="0" w:color="auto"/>
                          </w:divBdr>
                        </w:div>
                        <w:div w:id="1579628185">
                          <w:marLeft w:val="0"/>
                          <w:marRight w:val="0"/>
                          <w:marTop w:val="0"/>
                          <w:marBottom w:val="0"/>
                          <w:divBdr>
                            <w:top w:val="none" w:sz="0" w:space="0" w:color="auto"/>
                            <w:left w:val="none" w:sz="0" w:space="0" w:color="auto"/>
                            <w:bottom w:val="none" w:sz="0" w:space="0" w:color="auto"/>
                            <w:right w:val="none" w:sz="0" w:space="0" w:color="auto"/>
                          </w:divBdr>
                        </w:div>
                        <w:div w:id="907226390">
                          <w:marLeft w:val="0"/>
                          <w:marRight w:val="0"/>
                          <w:marTop w:val="0"/>
                          <w:marBottom w:val="0"/>
                          <w:divBdr>
                            <w:top w:val="none" w:sz="0" w:space="0" w:color="auto"/>
                            <w:left w:val="none" w:sz="0" w:space="0" w:color="auto"/>
                            <w:bottom w:val="none" w:sz="0" w:space="0" w:color="auto"/>
                            <w:right w:val="none" w:sz="0" w:space="0" w:color="auto"/>
                          </w:divBdr>
                        </w:div>
                      </w:divsChild>
                    </w:div>
                    <w:div w:id="4320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3049260">
      <w:bodyDiv w:val="1"/>
      <w:marLeft w:val="0"/>
      <w:marRight w:val="0"/>
      <w:marTop w:val="0"/>
      <w:marBottom w:val="0"/>
      <w:divBdr>
        <w:top w:val="none" w:sz="0" w:space="0" w:color="auto"/>
        <w:left w:val="none" w:sz="0" w:space="0" w:color="auto"/>
        <w:bottom w:val="none" w:sz="0" w:space="0" w:color="auto"/>
        <w:right w:val="none" w:sz="0" w:space="0" w:color="auto"/>
      </w:divBdr>
    </w:div>
    <w:div w:id="2011787952">
      <w:bodyDiv w:val="1"/>
      <w:marLeft w:val="0"/>
      <w:marRight w:val="0"/>
      <w:marTop w:val="0"/>
      <w:marBottom w:val="0"/>
      <w:divBdr>
        <w:top w:val="none" w:sz="0" w:space="0" w:color="auto"/>
        <w:left w:val="none" w:sz="0" w:space="0" w:color="auto"/>
        <w:bottom w:val="none" w:sz="0" w:space="0" w:color="auto"/>
        <w:right w:val="none" w:sz="0" w:space="0" w:color="auto"/>
      </w:divBdr>
      <w:divsChild>
        <w:div w:id="18361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7C20-D1C3-4FE0-9768-148073504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6224</Words>
  <Characters>3549</Characters>
  <Application>Microsoft Office Word</Application>
  <DocSecurity>4</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Kliukienė</dc:creator>
  <cp:lastModifiedBy>Eurika Norkienė</cp:lastModifiedBy>
  <cp:revision>2</cp:revision>
  <cp:lastPrinted>2019-03-01T12:13:00Z</cp:lastPrinted>
  <dcterms:created xsi:type="dcterms:W3CDTF">2021-10-12T05:41:00Z</dcterms:created>
  <dcterms:modified xsi:type="dcterms:W3CDTF">2021-10-12T05:41:00Z</dcterms:modified>
</cp:coreProperties>
</file>