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44319" w14:textId="0C579090" w:rsidR="006B3464" w:rsidRPr="001A1B0D" w:rsidRDefault="002306C6" w:rsidP="00394A5E">
      <w:pPr>
        <w:ind w:right="-1"/>
        <w:jc w:val="center"/>
        <w:rPr>
          <w:b/>
          <w:sz w:val="24"/>
          <w:szCs w:val="24"/>
          <w:lang w:val="lt-LT"/>
        </w:rPr>
      </w:pPr>
      <w:bookmarkStart w:id="0" w:name="_Hlk56428478"/>
      <w:r w:rsidRPr="008B5768">
        <w:rPr>
          <w:b/>
          <w:bCs/>
          <w:sz w:val="24"/>
          <w:szCs w:val="24"/>
          <w:lang w:val="lt-LT"/>
        </w:rPr>
        <w:t>LIETUVOS RESPUBLIKOS AVIACIJOS ĮSTATYMO NR. VIII-2066 2, 5, 6, 8, 12, 16, 24, 28, 33, 35, 41, 45, 46, 47, 49, 52 STRAIPSNIŲ IR</w:t>
      </w:r>
      <w:r w:rsidR="006B3464">
        <w:rPr>
          <w:b/>
          <w:bCs/>
          <w:sz w:val="24"/>
          <w:szCs w:val="24"/>
          <w:lang w:val="lt-LT"/>
        </w:rPr>
        <w:br/>
      </w:r>
      <w:r w:rsidRPr="008B5768">
        <w:rPr>
          <w:b/>
          <w:bCs/>
          <w:sz w:val="24"/>
          <w:szCs w:val="24"/>
          <w:lang w:val="lt-LT"/>
        </w:rPr>
        <w:t xml:space="preserve"> 3 PRIEDO PAKEITIMO IR ĮSTATYMO PAPILDYMO 41</w:t>
      </w:r>
      <w:r w:rsidRPr="008B5768">
        <w:rPr>
          <w:b/>
          <w:bCs/>
          <w:sz w:val="24"/>
          <w:szCs w:val="24"/>
          <w:vertAlign w:val="superscript"/>
          <w:lang w:val="lt-LT"/>
        </w:rPr>
        <w:t>1</w:t>
      </w:r>
      <w:r w:rsidRPr="008B5768">
        <w:rPr>
          <w:b/>
          <w:bCs/>
          <w:sz w:val="24"/>
          <w:szCs w:val="24"/>
          <w:lang w:val="lt-LT"/>
        </w:rPr>
        <w:t xml:space="preserve"> STRAIPSNIU IR III SKYRIAUS DEŠIMTUOJU SKIRSNIU ĮSTATYMO PROJEKTO</w:t>
      </w:r>
      <w:r w:rsidR="00A00C82">
        <w:rPr>
          <w:b/>
          <w:sz w:val="24"/>
          <w:szCs w:val="24"/>
          <w:lang w:val="lt-LT"/>
        </w:rPr>
        <w:t xml:space="preserve"> </w:t>
      </w:r>
      <w:r w:rsidR="006B3464" w:rsidRPr="001A1B0D">
        <w:rPr>
          <w:b/>
          <w:sz w:val="24"/>
          <w:szCs w:val="24"/>
          <w:lang w:val="lt-LT"/>
        </w:rPr>
        <w:t>DERINIMO PAŽYMA</w:t>
      </w:r>
    </w:p>
    <w:p w14:paraId="127C47B5" w14:textId="77777777" w:rsidR="00291B42" w:rsidRPr="001A1B0D" w:rsidRDefault="00291B42" w:rsidP="00325DEC">
      <w:pPr>
        <w:rPr>
          <w:lang w:val="lt-LT"/>
        </w:rPr>
      </w:pPr>
    </w:p>
    <w:tbl>
      <w:tblPr>
        <w:tblStyle w:val="TableGrid"/>
        <w:tblW w:w="5000" w:type="pct"/>
        <w:tblLook w:val="04A0" w:firstRow="1" w:lastRow="0" w:firstColumn="1" w:lastColumn="0" w:noHBand="0" w:noVBand="1"/>
      </w:tblPr>
      <w:tblGrid>
        <w:gridCol w:w="2475"/>
        <w:gridCol w:w="4814"/>
        <w:gridCol w:w="7727"/>
      </w:tblGrid>
      <w:tr w:rsidR="007E20A5" w:rsidRPr="009D34CF" w14:paraId="127C47B9" w14:textId="77777777" w:rsidTr="00795A82">
        <w:trPr>
          <w:trHeight w:val="789"/>
        </w:trPr>
        <w:tc>
          <w:tcPr>
            <w:tcW w:w="824" w:type="pct"/>
            <w:vAlign w:val="center"/>
          </w:tcPr>
          <w:p w14:paraId="127C47B6" w14:textId="77777777" w:rsidR="00A2745B" w:rsidRPr="009D34CF" w:rsidRDefault="00A2745B" w:rsidP="009D34CF">
            <w:pPr>
              <w:jc w:val="center"/>
              <w:rPr>
                <w:b/>
                <w:sz w:val="24"/>
                <w:szCs w:val="24"/>
                <w:lang w:val="lt-LT"/>
              </w:rPr>
            </w:pPr>
            <w:r w:rsidRPr="009D34CF">
              <w:rPr>
                <w:b/>
                <w:sz w:val="24"/>
                <w:szCs w:val="24"/>
                <w:lang w:val="lt-LT"/>
              </w:rPr>
              <w:t>Institucijos pavadinimas, pastabų pateikimo data</w:t>
            </w:r>
          </w:p>
        </w:tc>
        <w:tc>
          <w:tcPr>
            <w:tcW w:w="1603" w:type="pct"/>
            <w:vAlign w:val="center"/>
          </w:tcPr>
          <w:p w14:paraId="127C47B7" w14:textId="77777777" w:rsidR="00A2745B" w:rsidRPr="009D34CF" w:rsidRDefault="00A2745B" w:rsidP="009D34CF">
            <w:pPr>
              <w:jc w:val="center"/>
              <w:rPr>
                <w:b/>
                <w:sz w:val="24"/>
                <w:szCs w:val="24"/>
                <w:lang w:val="lt-LT"/>
              </w:rPr>
            </w:pPr>
            <w:r w:rsidRPr="009D34CF">
              <w:rPr>
                <w:b/>
                <w:sz w:val="24"/>
                <w:szCs w:val="24"/>
                <w:lang w:val="lt-LT"/>
              </w:rPr>
              <w:t>Pastabos ir pasiūlymai</w:t>
            </w:r>
          </w:p>
        </w:tc>
        <w:tc>
          <w:tcPr>
            <w:tcW w:w="2573" w:type="pct"/>
            <w:vAlign w:val="center"/>
          </w:tcPr>
          <w:p w14:paraId="127C47B8" w14:textId="245F4447" w:rsidR="00A2745B" w:rsidRPr="009D34CF" w:rsidRDefault="006A13A5" w:rsidP="009D34CF">
            <w:pPr>
              <w:jc w:val="center"/>
              <w:rPr>
                <w:b/>
                <w:bCs/>
                <w:sz w:val="24"/>
                <w:szCs w:val="24"/>
                <w:lang w:val="lt-LT"/>
              </w:rPr>
            </w:pPr>
            <w:r w:rsidRPr="009D34CF">
              <w:rPr>
                <w:b/>
                <w:bCs/>
                <w:color w:val="000000" w:themeColor="text1"/>
                <w:sz w:val="24"/>
                <w:szCs w:val="24"/>
                <w:lang w:val="lt-LT"/>
              </w:rPr>
              <w:t>Argumentai, kodėl neatsižvelgta arba atsižvelgta iš dalies į pastabas ir pasiūlymus</w:t>
            </w:r>
          </w:p>
        </w:tc>
      </w:tr>
      <w:tr w:rsidR="007E20A5" w:rsidRPr="009D34CF" w14:paraId="127C47E3" w14:textId="77777777" w:rsidTr="00795A82">
        <w:tc>
          <w:tcPr>
            <w:tcW w:w="824" w:type="pct"/>
          </w:tcPr>
          <w:p w14:paraId="57C077C8" w14:textId="6D9A91E8" w:rsidR="00834865" w:rsidRPr="00351D6A" w:rsidRDefault="00D67551" w:rsidP="009D34CF">
            <w:pPr>
              <w:rPr>
                <w:b/>
                <w:bCs/>
                <w:sz w:val="24"/>
                <w:szCs w:val="24"/>
                <w:lang w:val="lt-LT"/>
              </w:rPr>
            </w:pPr>
            <w:r w:rsidRPr="00351D6A">
              <w:rPr>
                <w:b/>
                <w:bCs/>
                <w:sz w:val="24"/>
                <w:szCs w:val="24"/>
                <w:lang w:val="lt-LT"/>
              </w:rPr>
              <w:t>Valstybės sienos apsaugos tarnyb</w:t>
            </w:r>
            <w:r w:rsidR="009D34CF" w:rsidRPr="00351D6A">
              <w:rPr>
                <w:b/>
                <w:bCs/>
                <w:sz w:val="24"/>
                <w:szCs w:val="24"/>
                <w:lang w:val="lt-LT"/>
              </w:rPr>
              <w:t>os</w:t>
            </w:r>
            <w:r w:rsidRPr="00351D6A">
              <w:rPr>
                <w:b/>
                <w:bCs/>
                <w:sz w:val="24"/>
                <w:szCs w:val="24"/>
                <w:lang w:val="lt-LT"/>
              </w:rPr>
              <w:t xml:space="preserve"> prie Lietuvos Respublikos vidaus reikalų ministerijos</w:t>
            </w:r>
          </w:p>
          <w:p w14:paraId="4DC86356" w14:textId="77777777" w:rsidR="00795A82" w:rsidRDefault="00D67551" w:rsidP="009D34CF">
            <w:pPr>
              <w:rPr>
                <w:b/>
                <w:bCs/>
                <w:sz w:val="24"/>
                <w:szCs w:val="24"/>
                <w:lang w:val="lt-LT"/>
              </w:rPr>
            </w:pPr>
            <w:r w:rsidRPr="00351D6A">
              <w:rPr>
                <w:b/>
                <w:bCs/>
                <w:sz w:val="24"/>
                <w:szCs w:val="24"/>
                <w:lang w:val="lt-LT"/>
              </w:rPr>
              <w:t xml:space="preserve">2021-03-09 raštas </w:t>
            </w:r>
          </w:p>
          <w:p w14:paraId="127C47DF" w14:textId="2F4D9135" w:rsidR="00D67551" w:rsidRPr="009D34CF" w:rsidRDefault="00D67551" w:rsidP="009D34CF">
            <w:pPr>
              <w:rPr>
                <w:b/>
                <w:sz w:val="24"/>
                <w:szCs w:val="24"/>
                <w:lang w:val="lt-LT"/>
              </w:rPr>
            </w:pPr>
            <w:r w:rsidRPr="00351D6A">
              <w:rPr>
                <w:b/>
                <w:bCs/>
                <w:sz w:val="24"/>
                <w:szCs w:val="24"/>
                <w:lang w:val="lt-LT"/>
              </w:rPr>
              <w:t>Nr. 21-14-471</w:t>
            </w:r>
          </w:p>
        </w:tc>
        <w:tc>
          <w:tcPr>
            <w:tcW w:w="1603" w:type="pct"/>
          </w:tcPr>
          <w:p w14:paraId="2E602281" w14:textId="1C04856C" w:rsidR="00D67551" w:rsidRPr="009D34CF" w:rsidRDefault="00D67551" w:rsidP="00351D6A">
            <w:pPr>
              <w:pStyle w:val="Style2"/>
              <w:shd w:val="clear" w:color="auto" w:fill="auto"/>
              <w:spacing w:before="0" w:after="0" w:line="240" w:lineRule="auto"/>
              <w:rPr>
                <w:rFonts w:ascii="Times New Roman" w:hAnsi="Times New Roman" w:cs="Times New Roman"/>
                <w:sz w:val="24"/>
                <w:szCs w:val="24"/>
                <w:lang w:eastAsia="lt-LT"/>
              </w:rPr>
            </w:pPr>
            <w:r w:rsidRPr="009D34CF">
              <w:rPr>
                <w:rFonts w:ascii="Times New Roman" w:hAnsi="Times New Roman" w:cs="Times New Roman"/>
                <w:color w:val="000000"/>
                <w:sz w:val="24"/>
                <w:szCs w:val="24"/>
              </w:rPr>
              <w:t xml:space="preserve">Siekdami užtikrinti tarnybos teikiamas valstybines viešojo intereso paslaugas, siūlome į projektą įtraukti įstatymo 8 straipsnio pakeitimo nuostatas, atleidžiančias tarnybą nuo atlyginimo už </w:t>
            </w:r>
            <w:r w:rsidR="00CF0F83">
              <w:rPr>
                <w:rFonts w:ascii="Times New Roman" w:hAnsi="Times New Roman" w:cs="Times New Roman"/>
                <w:color w:val="000000"/>
                <w:sz w:val="24"/>
                <w:szCs w:val="24"/>
              </w:rPr>
              <w:t>Transporto kompetencijų agentūros (toliau – Agentūra)</w:t>
            </w:r>
            <w:r w:rsidRPr="009D34CF">
              <w:rPr>
                <w:rFonts w:ascii="Times New Roman" w:hAnsi="Times New Roman" w:cs="Times New Roman"/>
                <w:color w:val="000000"/>
                <w:sz w:val="24"/>
                <w:szCs w:val="24"/>
              </w:rPr>
              <w:t xml:space="preserve"> teikiamas administracines paslaugas, atsižvelgiant į minėtų institucijų pastabas bei tarnybos 2020 m. rugpjūčio 27 d. rašte Nr. (21)-14-1717 pateiktą 1 siūlymą (kopija pridedama).</w:t>
            </w:r>
          </w:p>
          <w:p w14:paraId="127C47E0" w14:textId="790CB48F" w:rsidR="00834865" w:rsidRPr="009D34CF" w:rsidRDefault="00834865" w:rsidP="009D34CF">
            <w:pPr>
              <w:autoSpaceDE w:val="0"/>
              <w:autoSpaceDN w:val="0"/>
              <w:adjustRightInd w:val="0"/>
              <w:jc w:val="both"/>
              <w:rPr>
                <w:sz w:val="24"/>
                <w:szCs w:val="24"/>
                <w:lang w:val="lt-LT"/>
              </w:rPr>
            </w:pPr>
          </w:p>
        </w:tc>
        <w:tc>
          <w:tcPr>
            <w:tcW w:w="2573" w:type="pct"/>
          </w:tcPr>
          <w:p w14:paraId="7F6903C9" w14:textId="5F098F03" w:rsidR="00351D6A" w:rsidRPr="00351D6A" w:rsidRDefault="00351D6A" w:rsidP="00351D6A">
            <w:pPr>
              <w:ind w:right="-1"/>
              <w:jc w:val="both"/>
              <w:rPr>
                <w:b/>
                <w:bCs/>
                <w:sz w:val="24"/>
                <w:szCs w:val="24"/>
                <w:lang w:val="lt-LT"/>
              </w:rPr>
            </w:pPr>
            <w:r w:rsidRPr="00351D6A">
              <w:rPr>
                <w:b/>
                <w:bCs/>
                <w:sz w:val="24"/>
                <w:szCs w:val="24"/>
                <w:lang w:val="lt-LT"/>
              </w:rPr>
              <w:t>Neatsižvelgta.</w:t>
            </w:r>
          </w:p>
          <w:p w14:paraId="2C521562" w14:textId="6ED150FC" w:rsidR="00351D6A" w:rsidRDefault="00351D6A" w:rsidP="00CF0F83">
            <w:pPr>
              <w:jc w:val="both"/>
              <w:rPr>
                <w:sz w:val="24"/>
                <w:szCs w:val="24"/>
                <w:lang w:val="lt-LT"/>
              </w:rPr>
            </w:pPr>
            <w:r w:rsidRPr="008B5768">
              <w:rPr>
                <w:color w:val="000000"/>
                <w:sz w:val="24"/>
                <w:szCs w:val="24"/>
                <w:lang w:val="lt-LT"/>
              </w:rPr>
              <w:t>Pažymėtina, kad įvertinus šiam pasiūlymui iš institucijų gautas pastabas</w:t>
            </w:r>
            <w:r w:rsidRPr="008B5768">
              <w:rPr>
                <w:rStyle w:val="FootnoteReference"/>
                <w:color w:val="000000"/>
                <w:sz w:val="24"/>
                <w:szCs w:val="24"/>
                <w:lang w:val="lt-LT"/>
              </w:rPr>
              <w:footnoteReference w:id="1"/>
            </w:r>
            <w:r w:rsidRPr="008B5768">
              <w:rPr>
                <w:color w:val="000000"/>
                <w:sz w:val="24"/>
                <w:szCs w:val="24"/>
                <w:lang w:val="lt-LT"/>
              </w:rPr>
              <w:t xml:space="preserve"> yra </w:t>
            </w:r>
            <w:r w:rsidRPr="008B5768">
              <w:rPr>
                <w:sz w:val="24"/>
                <w:szCs w:val="24"/>
                <w:lang w:val="lt-LT"/>
              </w:rPr>
              <w:t xml:space="preserve">būtinas detalesnis Susisiekimo ministerijos, Vidaus reikalų ministerijos, </w:t>
            </w:r>
            <w:r w:rsidR="00CF0F83" w:rsidRPr="00CF0F83">
              <w:rPr>
                <w:sz w:val="24"/>
                <w:szCs w:val="24"/>
                <w:lang w:val="lt-LT"/>
              </w:rPr>
              <w:t>Valstybės sienos apsaugos tarnybos prie Lietuvos Respublikos vidaus reikalų ministerijos</w:t>
            </w:r>
            <w:r w:rsidR="00CF0F83">
              <w:rPr>
                <w:sz w:val="24"/>
                <w:szCs w:val="24"/>
                <w:lang w:val="lt-LT"/>
              </w:rPr>
              <w:t xml:space="preserve"> (toliau – VSAT)</w:t>
            </w:r>
            <w:r w:rsidR="00CF0F83">
              <w:rPr>
                <w:b/>
                <w:bCs/>
                <w:sz w:val="24"/>
                <w:szCs w:val="24"/>
                <w:lang w:val="lt-LT"/>
              </w:rPr>
              <w:t xml:space="preserve"> </w:t>
            </w:r>
            <w:r w:rsidRPr="008B5768">
              <w:rPr>
                <w:sz w:val="24"/>
                <w:szCs w:val="24"/>
                <w:lang w:val="lt-LT"/>
              </w:rPr>
              <w:t xml:space="preserve">ir Finansų ministerijos nuomonių svarstymas, todėl į šį pasiūlymą neatsižvelgta. </w:t>
            </w:r>
          </w:p>
          <w:p w14:paraId="127C47E2" w14:textId="6A8E4B68" w:rsidR="00834865" w:rsidRPr="009D34CF" w:rsidRDefault="00351D6A" w:rsidP="00351D6A">
            <w:pPr>
              <w:ind w:right="-1"/>
              <w:jc w:val="both"/>
            </w:pPr>
            <w:r w:rsidRPr="008B5768">
              <w:rPr>
                <w:sz w:val="24"/>
                <w:szCs w:val="24"/>
                <w:lang w:val="lt-LT"/>
              </w:rPr>
              <w:t xml:space="preserve">Taip pat pažymėtina, kad prašymas iš Susisiekimo ministerijos biudžeto skirti 25 tūkst. Eur metinį finansavimą už Agentūros teikiamas administracines paslaugas yra nepagrįstas skaičiavimais – Agentūros pateiktose finansinėse ataskaitose nurodoma, kad nuo Agentūros įsteigimo </w:t>
            </w:r>
            <w:r>
              <w:rPr>
                <w:sz w:val="24"/>
                <w:szCs w:val="24"/>
                <w:lang w:val="lt-LT"/>
              </w:rPr>
              <w:t xml:space="preserve">2019 metais </w:t>
            </w:r>
            <w:r w:rsidRPr="008B5768">
              <w:rPr>
                <w:sz w:val="24"/>
                <w:szCs w:val="24"/>
                <w:lang w:val="lt-LT"/>
              </w:rPr>
              <w:t xml:space="preserve">VSAT už minėtas paslaugas yra sumokėjusi 4 500 Eur. </w:t>
            </w:r>
          </w:p>
        </w:tc>
      </w:tr>
      <w:tr w:rsidR="007E20A5" w:rsidRPr="009D34CF" w14:paraId="127C47EA" w14:textId="77777777" w:rsidTr="00795A82">
        <w:tc>
          <w:tcPr>
            <w:tcW w:w="824" w:type="pct"/>
          </w:tcPr>
          <w:p w14:paraId="748F92B3" w14:textId="2C5C447C" w:rsidR="00834865" w:rsidRPr="00C6661C" w:rsidRDefault="00C6661C" w:rsidP="00C6661C">
            <w:pPr>
              <w:rPr>
                <w:rFonts w:eastAsiaTheme="minorHAnsi"/>
                <w:b/>
                <w:bCs/>
                <w:color w:val="000000"/>
                <w:sz w:val="24"/>
                <w:szCs w:val="24"/>
                <w:lang w:val="lt-LT" w:eastAsia="en-US"/>
              </w:rPr>
            </w:pPr>
            <w:r w:rsidRPr="00C6661C">
              <w:rPr>
                <w:rFonts w:eastAsiaTheme="minorHAnsi"/>
                <w:b/>
                <w:bCs/>
                <w:color w:val="000000"/>
                <w:sz w:val="24"/>
                <w:szCs w:val="24"/>
                <w:lang w:val="lt-LT" w:eastAsia="en-US"/>
              </w:rPr>
              <w:t xml:space="preserve">Nacionalinės aviacijos asociacijos </w:t>
            </w:r>
            <w:r w:rsidR="00A00C82">
              <w:rPr>
                <w:rFonts w:eastAsiaTheme="minorHAnsi"/>
                <w:b/>
                <w:bCs/>
                <w:color w:val="000000"/>
                <w:sz w:val="24"/>
                <w:szCs w:val="24"/>
                <w:lang w:val="lt-LT" w:eastAsia="en-US"/>
              </w:rPr>
              <w:t>(</w:t>
            </w:r>
            <w:r w:rsidRPr="00C6661C">
              <w:rPr>
                <w:rFonts w:eastAsiaTheme="minorHAnsi"/>
                <w:b/>
                <w:bCs/>
                <w:color w:val="000000"/>
                <w:sz w:val="24"/>
                <w:szCs w:val="24"/>
                <w:lang w:val="lt-LT" w:eastAsia="en-US"/>
              </w:rPr>
              <w:t>LAVIA</w:t>
            </w:r>
            <w:r w:rsidR="00A00C82">
              <w:rPr>
                <w:rFonts w:eastAsiaTheme="minorHAnsi"/>
                <w:b/>
                <w:bCs/>
                <w:color w:val="000000"/>
                <w:sz w:val="24"/>
                <w:szCs w:val="24"/>
                <w:lang w:val="lt-LT" w:eastAsia="en-US"/>
              </w:rPr>
              <w:t>)</w:t>
            </w:r>
            <w:r w:rsidRPr="00C6661C">
              <w:rPr>
                <w:rFonts w:eastAsiaTheme="minorHAnsi"/>
                <w:b/>
                <w:bCs/>
                <w:color w:val="000000"/>
                <w:sz w:val="24"/>
                <w:szCs w:val="24"/>
                <w:lang w:val="lt-LT" w:eastAsia="en-US"/>
              </w:rPr>
              <w:t xml:space="preserve"> ir Civilinės aviacijos asociacijos </w:t>
            </w:r>
            <w:r w:rsidR="00A00C82">
              <w:rPr>
                <w:rFonts w:eastAsiaTheme="minorHAnsi"/>
                <w:b/>
                <w:bCs/>
                <w:color w:val="000000"/>
                <w:sz w:val="24"/>
                <w:szCs w:val="24"/>
                <w:lang w:val="lt-LT" w:eastAsia="en-US"/>
              </w:rPr>
              <w:t>(</w:t>
            </w:r>
            <w:r w:rsidRPr="00C6661C">
              <w:rPr>
                <w:rFonts w:eastAsiaTheme="minorHAnsi"/>
                <w:b/>
                <w:bCs/>
                <w:color w:val="000000"/>
                <w:sz w:val="24"/>
                <w:szCs w:val="24"/>
                <w:lang w:val="lt-LT" w:eastAsia="en-US"/>
              </w:rPr>
              <w:t>CAVIA</w:t>
            </w:r>
            <w:r w:rsidR="00A00C82">
              <w:rPr>
                <w:rFonts w:eastAsiaTheme="minorHAnsi"/>
                <w:b/>
                <w:bCs/>
                <w:color w:val="000000"/>
                <w:sz w:val="24"/>
                <w:szCs w:val="24"/>
                <w:lang w:val="lt-LT" w:eastAsia="en-US"/>
              </w:rPr>
              <w:t>)</w:t>
            </w:r>
          </w:p>
          <w:p w14:paraId="289BFC01" w14:textId="77777777" w:rsidR="00795A82" w:rsidRDefault="00C6661C" w:rsidP="00C6661C">
            <w:pPr>
              <w:rPr>
                <w:b/>
                <w:bCs/>
                <w:color w:val="000000"/>
                <w:sz w:val="24"/>
                <w:szCs w:val="24"/>
                <w:lang w:val="lt-LT"/>
              </w:rPr>
            </w:pPr>
            <w:r w:rsidRPr="00C6661C">
              <w:rPr>
                <w:b/>
                <w:bCs/>
                <w:color w:val="000000"/>
                <w:sz w:val="24"/>
                <w:szCs w:val="24"/>
                <w:lang w:val="lt-LT"/>
              </w:rPr>
              <w:t xml:space="preserve">2021-03-08 raštas </w:t>
            </w:r>
          </w:p>
          <w:p w14:paraId="127C47E4" w14:textId="1B97C637" w:rsidR="00C6661C" w:rsidRPr="009D34CF" w:rsidRDefault="00C6661C" w:rsidP="00C6661C">
            <w:pPr>
              <w:rPr>
                <w:b/>
                <w:sz w:val="24"/>
                <w:szCs w:val="24"/>
                <w:lang w:val="lt-LT"/>
              </w:rPr>
            </w:pPr>
            <w:r w:rsidRPr="00C6661C">
              <w:rPr>
                <w:b/>
                <w:bCs/>
                <w:color w:val="000000"/>
                <w:sz w:val="24"/>
                <w:szCs w:val="24"/>
                <w:lang w:val="lt-LT"/>
              </w:rPr>
              <w:t>Nr. 21/4</w:t>
            </w:r>
          </w:p>
        </w:tc>
        <w:tc>
          <w:tcPr>
            <w:tcW w:w="1603" w:type="pct"/>
          </w:tcPr>
          <w:p w14:paraId="3BF962FC" w14:textId="3C6C4057" w:rsidR="002168A4" w:rsidRPr="002168A4" w:rsidRDefault="002168A4" w:rsidP="002168A4">
            <w:pPr>
              <w:autoSpaceDE w:val="0"/>
              <w:autoSpaceDN w:val="0"/>
              <w:adjustRightInd w:val="0"/>
              <w:jc w:val="both"/>
              <w:rPr>
                <w:rFonts w:eastAsiaTheme="minorHAnsi"/>
                <w:color w:val="000000"/>
                <w:sz w:val="24"/>
                <w:szCs w:val="24"/>
                <w:lang w:val="lt-LT" w:eastAsia="en-US"/>
              </w:rPr>
            </w:pPr>
            <w:r w:rsidRPr="002168A4">
              <w:rPr>
                <w:rFonts w:eastAsiaTheme="minorHAnsi"/>
                <w:color w:val="000000"/>
                <w:sz w:val="24"/>
                <w:szCs w:val="24"/>
                <w:lang w:val="lt-LT" w:eastAsia="en-US"/>
              </w:rPr>
              <w:t>c) Siūlome atsisakyti tikrinimo ar asmuo bendradarbiauja ar gauna pajamas iš užsienio žvalgybų (41</w:t>
            </w:r>
            <w:r w:rsidR="0086505C">
              <w:rPr>
                <w:rFonts w:eastAsiaTheme="minorHAnsi"/>
                <w:color w:val="000000"/>
                <w:sz w:val="24"/>
                <w:szCs w:val="24"/>
                <w:lang w:val="lt-LT" w:eastAsia="en-US"/>
              </w:rPr>
              <w:t>(</w:t>
            </w:r>
            <w:r w:rsidRPr="002168A4">
              <w:rPr>
                <w:rFonts w:eastAsiaTheme="minorHAnsi"/>
                <w:color w:val="000000"/>
                <w:sz w:val="24"/>
                <w:szCs w:val="24"/>
                <w:lang w:val="lt-LT" w:eastAsia="en-US"/>
              </w:rPr>
              <w:t>1</w:t>
            </w:r>
            <w:r w:rsidR="0086505C">
              <w:rPr>
                <w:rFonts w:eastAsiaTheme="minorHAnsi"/>
                <w:color w:val="000000"/>
                <w:sz w:val="24"/>
                <w:szCs w:val="24"/>
                <w:lang w:val="lt-LT" w:eastAsia="en-US"/>
              </w:rPr>
              <w:t>)</w:t>
            </w:r>
            <w:r w:rsidRPr="002168A4">
              <w:rPr>
                <w:rFonts w:eastAsiaTheme="minorHAnsi"/>
                <w:color w:val="000000"/>
                <w:sz w:val="24"/>
                <w:szCs w:val="24"/>
                <w:lang w:val="lt-LT" w:eastAsia="en-US"/>
              </w:rPr>
              <w:t xml:space="preserve"> str. 2 dalies, 6 ir 7 punktai), nes Reglamente 2015/1998 minimos direktyvos 2016/681 ir 2017/541 nenustato tokių veikų, kaip pagrindo apriboti asmens teises. Minėtuose ES teisės aktuose įtvirtintas Išsamaus reputacijos tikrinimo tikslas yra nustatyti ar asmuo nėra susijęs su teroristine veika, o ne su svetimos šalies žvalgyba.</w:t>
            </w:r>
          </w:p>
          <w:p w14:paraId="792BF291" w14:textId="75CB7E1D" w:rsidR="000C11D1" w:rsidRDefault="002168A4" w:rsidP="002168A4">
            <w:pPr>
              <w:autoSpaceDE w:val="0"/>
              <w:autoSpaceDN w:val="0"/>
              <w:adjustRightInd w:val="0"/>
              <w:jc w:val="both"/>
              <w:rPr>
                <w:bCs/>
                <w:color w:val="0066FF"/>
                <w:sz w:val="24"/>
                <w:szCs w:val="24"/>
                <w:lang w:val="lt-LT"/>
              </w:rPr>
            </w:pPr>
            <w:r w:rsidRPr="002168A4">
              <w:rPr>
                <w:rFonts w:eastAsiaTheme="minorHAnsi"/>
                <w:color w:val="000000"/>
                <w:sz w:val="24"/>
                <w:szCs w:val="24"/>
                <w:lang w:val="lt-LT" w:eastAsia="en-US"/>
              </w:rPr>
              <w:t>d) Siūlome atsisakyti 41</w:t>
            </w:r>
            <w:r w:rsidR="0086505C">
              <w:rPr>
                <w:rFonts w:eastAsiaTheme="minorHAnsi"/>
                <w:color w:val="000000"/>
                <w:sz w:val="24"/>
                <w:szCs w:val="24"/>
                <w:lang w:val="lt-LT" w:eastAsia="en-US"/>
              </w:rPr>
              <w:t>(</w:t>
            </w:r>
            <w:r w:rsidRPr="002168A4">
              <w:rPr>
                <w:rFonts w:eastAsiaTheme="minorHAnsi"/>
                <w:color w:val="000000"/>
                <w:sz w:val="24"/>
                <w:szCs w:val="24"/>
                <w:lang w:val="lt-LT" w:eastAsia="en-US"/>
              </w:rPr>
              <w:t>1</w:t>
            </w:r>
            <w:r w:rsidR="0086505C">
              <w:rPr>
                <w:rFonts w:eastAsiaTheme="minorHAnsi"/>
                <w:color w:val="000000"/>
                <w:sz w:val="24"/>
                <w:szCs w:val="24"/>
                <w:lang w:val="lt-LT" w:eastAsia="en-US"/>
              </w:rPr>
              <w:t>)</w:t>
            </w:r>
            <w:r w:rsidRPr="002168A4">
              <w:rPr>
                <w:rFonts w:eastAsiaTheme="minorHAnsi"/>
                <w:color w:val="000000"/>
                <w:sz w:val="24"/>
                <w:szCs w:val="24"/>
                <w:lang w:val="lt-LT" w:eastAsia="en-US"/>
              </w:rPr>
              <w:t xml:space="preserve"> str. 2 dalies 9 punkto nuostatos tikrinti ar asmuo dalyvavo neregistruoto judėjimo veikloje, nes Reglamente 2015/1998 minimos direktyvos 2016/681 ir 2017/541 nenustato tokių veikų, kaip pagrindo apriboti asmens teises.</w:t>
            </w:r>
          </w:p>
          <w:p w14:paraId="3F7F557C" w14:textId="77777777" w:rsidR="000C11D1" w:rsidRPr="002168A4" w:rsidRDefault="000C11D1" w:rsidP="002168A4">
            <w:pPr>
              <w:autoSpaceDE w:val="0"/>
              <w:autoSpaceDN w:val="0"/>
              <w:adjustRightInd w:val="0"/>
              <w:jc w:val="both"/>
              <w:rPr>
                <w:bCs/>
                <w:color w:val="0066FF"/>
                <w:sz w:val="24"/>
                <w:szCs w:val="24"/>
                <w:lang w:val="lt-LT"/>
              </w:rPr>
            </w:pPr>
          </w:p>
          <w:p w14:paraId="127C47E6" w14:textId="59AD3B01" w:rsidR="002168A4" w:rsidRPr="009D34CF" w:rsidRDefault="002168A4" w:rsidP="002168A4">
            <w:pPr>
              <w:autoSpaceDE w:val="0"/>
              <w:autoSpaceDN w:val="0"/>
              <w:adjustRightInd w:val="0"/>
              <w:jc w:val="both"/>
              <w:rPr>
                <w:sz w:val="24"/>
                <w:szCs w:val="24"/>
                <w:lang w:val="lt-LT"/>
              </w:rPr>
            </w:pPr>
          </w:p>
        </w:tc>
        <w:tc>
          <w:tcPr>
            <w:tcW w:w="2573" w:type="pct"/>
          </w:tcPr>
          <w:p w14:paraId="2BE3A700" w14:textId="77777777" w:rsidR="000C11D1" w:rsidRPr="000C11D1" w:rsidRDefault="000C11D1" w:rsidP="000C11D1">
            <w:pPr>
              <w:pStyle w:val="prastasistinklapis1"/>
              <w:spacing w:before="0" w:beforeAutospacing="0" w:after="0" w:afterAutospacing="0"/>
              <w:jc w:val="both"/>
              <w:rPr>
                <w:b/>
                <w:bCs/>
              </w:rPr>
            </w:pPr>
            <w:r w:rsidRPr="000C11D1">
              <w:rPr>
                <w:b/>
                <w:bCs/>
              </w:rPr>
              <w:lastRenderedPageBreak/>
              <w:t>Neatsižvelgta.</w:t>
            </w:r>
          </w:p>
          <w:p w14:paraId="1B10680B" w14:textId="57122D5B" w:rsidR="00351D6A" w:rsidRDefault="000C11D1" w:rsidP="000C11D1">
            <w:pPr>
              <w:pStyle w:val="prastasistinklapis1"/>
              <w:spacing w:before="0" w:beforeAutospacing="0" w:after="0" w:afterAutospacing="0"/>
              <w:jc w:val="both"/>
              <w:rPr>
                <w:color w:val="333333"/>
                <w:shd w:val="clear" w:color="auto" w:fill="FFFFFF"/>
              </w:rPr>
            </w:pPr>
            <w:r w:rsidRPr="008B5768">
              <w:t xml:space="preserve">Būtina </w:t>
            </w:r>
            <w:r w:rsidR="00351D6A" w:rsidRPr="008B5768">
              <w:t>akcentuoti, kad Reglamento (ES) 2015/1998</w:t>
            </w:r>
            <w:r w:rsidR="00351D6A" w:rsidRPr="008B5768">
              <w:rPr>
                <w:rStyle w:val="FootnoteReference"/>
              </w:rPr>
              <w:footnoteReference w:id="2"/>
            </w:r>
            <w:r w:rsidR="00351D6A" w:rsidRPr="008B5768">
              <w:t xml:space="preserve"> priedo 11.1.3 punkto d dalies nuostatos numato, kad atliekant išsamų asmens reputacijos patikrinimą yra „&lt;...&gt; patikrinama kompetentingų nacionalinių institucijų </w:t>
            </w:r>
            <w:r w:rsidR="00351D6A" w:rsidRPr="00A617B6">
              <w:rPr>
                <w:b/>
                <w:bCs/>
              </w:rPr>
              <w:t xml:space="preserve">turima </w:t>
            </w:r>
            <w:r w:rsidR="00351D6A" w:rsidRPr="00A617B6">
              <w:rPr>
                <w:b/>
                <w:bCs/>
                <w:u w:val="single"/>
              </w:rPr>
              <w:t>žvalgybos</w:t>
            </w:r>
            <w:r w:rsidR="00351D6A" w:rsidRPr="008B5768">
              <w:rPr>
                <w:u w:val="single"/>
              </w:rPr>
              <w:t xml:space="preserve"> </w:t>
            </w:r>
            <w:r w:rsidR="00351D6A" w:rsidRPr="008B5768">
              <w:t xml:space="preserve">informacija ir visa kita svarbi informacija, kuri, jų manymu, gali būti svarbi asmens tinkamumui dirbti vykdant funkciją, kuriai būtinas išsamus asmens reputacijos patikrinimas“. Dėl šių kriterijų reikalingumo bei tikslingumo taip pat pasisakė ir Valstybės saugumo departamentas. Be to, atkreiptinas dėmesys, kad „neregistruoto judėjimo“ sąvoka yra numatyta ir kituose įstatymuose (pvz., Lietuvos Respublikos branduolinės energetikos įstatyme, </w:t>
            </w:r>
            <w:r w:rsidR="00351D6A" w:rsidRPr="008B5768">
              <w:rPr>
                <w:color w:val="333333"/>
                <w:shd w:val="clear" w:color="auto" w:fill="FFFFFF"/>
              </w:rPr>
              <w:t xml:space="preserve">Lietuvos Respublikos valstybės ir tarnybos paslapčių įstatyme) ir </w:t>
            </w:r>
            <w:r w:rsidR="00351D6A" w:rsidRPr="008B5768">
              <w:t>taikoma praktikoje</w:t>
            </w:r>
            <w:r w:rsidR="00351D6A" w:rsidRPr="008B5768">
              <w:rPr>
                <w:color w:val="333333"/>
                <w:shd w:val="clear" w:color="auto" w:fill="FFFFFF"/>
              </w:rPr>
              <w:t xml:space="preserve">. </w:t>
            </w:r>
          </w:p>
          <w:p w14:paraId="127C47E9" w14:textId="031AB215" w:rsidR="00834865" w:rsidRPr="009D34CF" w:rsidRDefault="00746E1F" w:rsidP="00746E1F">
            <w:pPr>
              <w:ind w:right="-1"/>
              <w:jc w:val="both"/>
            </w:pPr>
            <w:r w:rsidRPr="008B5768">
              <w:rPr>
                <w:sz w:val="24"/>
                <w:szCs w:val="24"/>
                <w:lang w:val="lt-LT"/>
              </w:rPr>
              <w:t xml:space="preserve">Pažymėtina, kad VĮ Lietuvos oro uostai ir VĮ „Oro navigacija“ yra priskirtos </w:t>
            </w:r>
            <w:r w:rsidRPr="008B5768">
              <w:rPr>
                <w:color w:val="000000"/>
                <w:sz w:val="24"/>
                <w:szCs w:val="24"/>
                <w:lang w:val="lt-LT"/>
              </w:rPr>
              <w:t>pirmos kategorijos nacionaliniam saugumui užtikrinti svarbioms įmonėms, todėl būtina atsižvelgti į tai, kad šių įmonių infrastruktūra turi būti apsaugota nuo galinčių kelti grėsmę rizikų ir veiksnių, taip pat nuo tokių veiksnių atsiradimo priežasčių ir sąlygų.</w:t>
            </w:r>
          </w:p>
        </w:tc>
      </w:tr>
      <w:tr w:rsidR="007E20A5" w:rsidRPr="009D34CF" w14:paraId="127C47EF" w14:textId="77777777" w:rsidTr="00795A82">
        <w:tc>
          <w:tcPr>
            <w:tcW w:w="824" w:type="pct"/>
          </w:tcPr>
          <w:p w14:paraId="127C47EB" w14:textId="77777777" w:rsidR="00834865" w:rsidRPr="009D34CF" w:rsidRDefault="00834865" w:rsidP="009D34CF">
            <w:pPr>
              <w:rPr>
                <w:b/>
                <w:sz w:val="24"/>
                <w:szCs w:val="24"/>
                <w:lang w:val="lt-LT"/>
              </w:rPr>
            </w:pPr>
          </w:p>
        </w:tc>
        <w:tc>
          <w:tcPr>
            <w:tcW w:w="1603" w:type="pct"/>
          </w:tcPr>
          <w:p w14:paraId="127C47EC" w14:textId="031F8BE8" w:rsidR="00834865" w:rsidRPr="009D34CF" w:rsidRDefault="000C11D1" w:rsidP="00795A82">
            <w:pPr>
              <w:autoSpaceDE w:val="0"/>
              <w:autoSpaceDN w:val="0"/>
              <w:adjustRightInd w:val="0"/>
              <w:jc w:val="both"/>
              <w:rPr>
                <w:sz w:val="24"/>
                <w:szCs w:val="24"/>
                <w:lang w:val="lt-LT"/>
              </w:rPr>
            </w:pPr>
            <w:r w:rsidRPr="002168A4">
              <w:rPr>
                <w:rFonts w:eastAsiaTheme="minorHAnsi"/>
                <w:color w:val="000000"/>
                <w:sz w:val="24"/>
                <w:szCs w:val="24"/>
                <w:lang w:val="lt-LT" w:eastAsia="en-US"/>
              </w:rPr>
              <w:t xml:space="preserve">f) </w:t>
            </w:r>
            <w:r w:rsidR="00AA41A0">
              <w:rPr>
                <w:rFonts w:eastAsiaTheme="minorHAnsi"/>
                <w:color w:val="000000"/>
                <w:sz w:val="24"/>
                <w:szCs w:val="24"/>
                <w:lang w:val="lt-LT" w:eastAsia="en-US"/>
              </w:rPr>
              <w:t>&lt;...&gt;</w:t>
            </w:r>
            <w:r w:rsidRPr="002168A4">
              <w:rPr>
                <w:rFonts w:eastAsiaTheme="minorHAnsi"/>
                <w:color w:val="000000"/>
                <w:sz w:val="24"/>
                <w:szCs w:val="24"/>
                <w:lang w:val="lt-LT" w:eastAsia="en-US"/>
              </w:rPr>
              <w:t xml:space="preserve"> Bet kuriuo atveju 41</w:t>
            </w:r>
            <w:r w:rsidR="0086505C">
              <w:rPr>
                <w:rFonts w:eastAsiaTheme="minorHAnsi"/>
                <w:color w:val="000000"/>
                <w:sz w:val="24"/>
                <w:szCs w:val="24"/>
                <w:lang w:val="lt-LT" w:eastAsia="en-US"/>
              </w:rPr>
              <w:t>(</w:t>
            </w:r>
            <w:r w:rsidRPr="002168A4">
              <w:rPr>
                <w:rFonts w:eastAsiaTheme="minorHAnsi"/>
                <w:color w:val="000000"/>
                <w:sz w:val="24"/>
                <w:szCs w:val="24"/>
                <w:lang w:val="lt-LT" w:eastAsia="en-US"/>
              </w:rPr>
              <w:t>1</w:t>
            </w:r>
            <w:r w:rsidR="0086505C">
              <w:rPr>
                <w:rFonts w:eastAsiaTheme="minorHAnsi"/>
                <w:color w:val="000000"/>
                <w:sz w:val="24"/>
                <w:szCs w:val="24"/>
                <w:lang w:val="lt-LT" w:eastAsia="en-US"/>
              </w:rPr>
              <w:t>)</w:t>
            </w:r>
            <w:r w:rsidRPr="002168A4">
              <w:rPr>
                <w:rFonts w:eastAsiaTheme="minorHAnsi"/>
                <w:color w:val="000000"/>
                <w:sz w:val="24"/>
                <w:szCs w:val="24"/>
                <w:lang w:val="lt-LT" w:eastAsia="en-US"/>
              </w:rPr>
              <w:t xml:space="preserve"> str. 2 dalies 11 punktas faktiškai panaikins galimybę mūsų aviakompanijoms įgulos nariais samdytis užsienio piliečius (ypač ne Europos Sąjungos piliečius), nes tikėtina, kad mūsų institucijos laiku arba visai negaus iš užsienio žvalgybos institucijų duomenų pagal 41</w:t>
            </w:r>
            <w:r w:rsidR="0086505C">
              <w:rPr>
                <w:rFonts w:eastAsiaTheme="minorHAnsi"/>
                <w:color w:val="000000"/>
                <w:sz w:val="24"/>
                <w:szCs w:val="24"/>
                <w:lang w:val="lt-LT" w:eastAsia="en-US"/>
              </w:rPr>
              <w:t>(</w:t>
            </w:r>
            <w:r w:rsidRPr="002168A4">
              <w:rPr>
                <w:rFonts w:eastAsiaTheme="minorHAnsi"/>
                <w:color w:val="000000"/>
                <w:sz w:val="24"/>
                <w:szCs w:val="24"/>
                <w:lang w:val="lt-LT" w:eastAsia="en-US"/>
              </w:rPr>
              <w:t>1</w:t>
            </w:r>
            <w:r w:rsidR="0086505C">
              <w:rPr>
                <w:rFonts w:eastAsiaTheme="minorHAnsi"/>
                <w:color w:val="000000"/>
                <w:sz w:val="24"/>
                <w:szCs w:val="24"/>
                <w:lang w:val="lt-LT" w:eastAsia="en-US"/>
              </w:rPr>
              <w:t>)</w:t>
            </w:r>
            <w:r w:rsidRPr="002168A4">
              <w:rPr>
                <w:rFonts w:eastAsiaTheme="minorHAnsi"/>
                <w:color w:val="000000"/>
                <w:sz w:val="24"/>
                <w:szCs w:val="24"/>
                <w:lang w:val="lt-LT" w:eastAsia="en-US"/>
              </w:rPr>
              <w:t xml:space="preserve"> straipsnio 2 dalies 6, 7, 9, 10 punktus, t.</w:t>
            </w:r>
            <w:r w:rsidR="0086505C">
              <w:rPr>
                <w:rFonts w:eastAsiaTheme="minorHAnsi"/>
                <w:color w:val="000000"/>
                <w:sz w:val="24"/>
                <w:szCs w:val="24"/>
                <w:lang w:val="lt-LT" w:eastAsia="en-US"/>
              </w:rPr>
              <w:t xml:space="preserve"> </w:t>
            </w:r>
            <w:r w:rsidRPr="002168A4">
              <w:rPr>
                <w:rFonts w:eastAsiaTheme="minorHAnsi"/>
                <w:color w:val="000000"/>
                <w:sz w:val="24"/>
                <w:szCs w:val="24"/>
                <w:lang w:val="lt-LT" w:eastAsia="en-US"/>
              </w:rPr>
              <w:t>y. geriausiu atveju jos galės gauti informaciją tik dėl 2 dalies 8 punkto ar asmuo nėra susijęs su terorizmu, kaip tai nustato Reglamentas 2015/1998. Kituose punktuose paminėtos sąlygos yra išimtinai nacionalinio pobūdžio ir bus aktualios tik Lietuvoje.</w:t>
            </w:r>
          </w:p>
        </w:tc>
        <w:tc>
          <w:tcPr>
            <w:tcW w:w="2573" w:type="pct"/>
          </w:tcPr>
          <w:p w14:paraId="1965FB27" w14:textId="7CCC4C9C" w:rsidR="0086505C" w:rsidRPr="0086505C" w:rsidRDefault="00AA41A0" w:rsidP="0086505C">
            <w:pPr>
              <w:ind w:right="-1"/>
              <w:jc w:val="both"/>
              <w:rPr>
                <w:b/>
                <w:bCs/>
                <w:sz w:val="24"/>
                <w:szCs w:val="24"/>
                <w:lang w:val="lt-LT"/>
              </w:rPr>
            </w:pPr>
            <w:r>
              <w:rPr>
                <w:b/>
                <w:bCs/>
                <w:sz w:val="24"/>
                <w:szCs w:val="24"/>
                <w:lang w:val="lt-LT"/>
              </w:rPr>
              <w:t>Neatsižvelgta</w:t>
            </w:r>
            <w:r w:rsidR="0086505C" w:rsidRPr="0086505C">
              <w:rPr>
                <w:b/>
                <w:bCs/>
                <w:sz w:val="24"/>
                <w:szCs w:val="24"/>
                <w:lang w:val="lt-LT"/>
              </w:rPr>
              <w:t xml:space="preserve">. </w:t>
            </w:r>
          </w:p>
          <w:p w14:paraId="4003CA70" w14:textId="16518F79" w:rsidR="000C11D1" w:rsidRPr="008B5768" w:rsidRDefault="000C11D1" w:rsidP="0086505C">
            <w:pPr>
              <w:ind w:right="-1"/>
              <w:jc w:val="both"/>
              <w:rPr>
                <w:sz w:val="24"/>
                <w:szCs w:val="24"/>
                <w:lang w:val="lt-LT"/>
              </w:rPr>
            </w:pPr>
            <w:r w:rsidRPr="008B5768">
              <w:rPr>
                <w:sz w:val="24"/>
                <w:szCs w:val="24"/>
                <w:lang w:val="lt-LT"/>
              </w:rPr>
              <w:t>Įvertinus</w:t>
            </w:r>
            <w:r w:rsidR="0086505C">
              <w:rPr>
                <w:sz w:val="24"/>
                <w:szCs w:val="24"/>
                <w:lang w:val="lt-LT"/>
              </w:rPr>
              <w:t xml:space="preserve"> </w:t>
            </w:r>
            <w:r w:rsidRPr="008B5768">
              <w:rPr>
                <w:sz w:val="24"/>
                <w:szCs w:val="24"/>
                <w:lang w:val="lt-LT"/>
              </w:rPr>
              <w:t>pateiktas pastabas dėl kompetentingų institucijų galimybės gauti informaciją iš kitų šalių atitinkamų institucijų ir šios informacijos gavimo nustatytu laiku, būtina atkreipti dėmesį, kad derinant įstatymo projektą su institucijomis,</w:t>
            </w:r>
            <w:r w:rsidR="0086505C">
              <w:rPr>
                <w:sz w:val="24"/>
                <w:szCs w:val="24"/>
                <w:lang w:val="lt-LT"/>
              </w:rPr>
              <w:t xml:space="preserve"> taip pat </w:t>
            </w:r>
            <w:r w:rsidRPr="008B5768">
              <w:rPr>
                <w:sz w:val="24"/>
                <w:szCs w:val="24"/>
                <w:lang w:val="lt-LT"/>
              </w:rPr>
              <w:t xml:space="preserve"> pasitarimo metu</w:t>
            </w:r>
            <w:r w:rsidR="0086505C">
              <w:rPr>
                <w:sz w:val="24"/>
                <w:szCs w:val="24"/>
                <w:lang w:val="lt-LT"/>
              </w:rPr>
              <w:t xml:space="preserve"> ir </w:t>
            </w:r>
            <w:r w:rsidRPr="008B5768">
              <w:rPr>
                <w:sz w:val="24"/>
                <w:szCs w:val="24"/>
                <w:lang w:val="lt-LT"/>
              </w:rPr>
              <w:t xml:space="preserve">darbo tvarka derinant įstatymo projekto nuostatas kompetentingos institucijos neidentifikavo šios grėsmės. </w:t>
            </w:r>
          </w:p>
          <w:p w14:paraId="649E5ECE" w14:textId="77777777" w:rsidR="0086505C" w:rsidRDefault="0086505C" w:rsidP="000C11D1">
            <w:pPr>
              <w:ind w:right="-1" w:firstLine="851"/>
              <w:jc w:val="both"/>
              <w:rPr>
                <w:sz w:val="24"/>
                <w:szCs w:val="24"/>
                <w:lang w:val="lt-LT"/>
              </w:rPr>
            </w:pPr>
          </w:p>
          <w:p w14:paraId="54353965" w14:textId="77777777" w:rsidR="0086505C" w:rsidRDefault="0086505C" w:rsidP="000C11D1">
            <w:pPr>
              <w:ind w:right="-1" w:firstLine="851"/>
              <w:jc w:val="both"/>
              <w:rPr>
                <w:sz w:val="24"/>
                <w:szCs w:val="24"/>
                <w:lang w:val="lt-LT"/>
              </w:rPr>
            </w:pPr>
          </w:p>
          <w:p w14:paraId="127C47EE" w14:textId="2577AE74" w:rsidR="00834865" w:rsidRPr="009D34CF" w:rsidRDefault="00834865" w:rsidP="00746E1F">
            <w:pPr>
              <w:ind w:right="-1" w:firstLine="851"/>
              <w:jc w:val="both"/>
            </w:pPr>
          </w:p>
        </w:tc>
      </w:tr>
      <w:tr w:rsidR="000C11D1" w:rsidRPr="009D34CF" w14:paraId="371282D1" w14:textId="77777777" w:rsidTr="00795A82">
        <w:tc>
          <w:tcPr>
            <w:tcW w:w="824" w:type="pct"/>
          </w:tcPr>
          <w:p w14:paraId="07D8FDD3" w14:textId="03A55D94" w:rsidR="0086505C" w:rsidRPr="00C6661C" w:rsidRDefault="0086505C" w:rsidP="0086505C">
            <w:pPr>
              <w:rPr>
                <w:rFonts w:eastAsiaTheme="minorHAnsi"/>
                <w:b/>
                <w:bCs/>
                <w:color w:val="000000"/>
                <w:sz w:val="24"/>
                <w:szCs w:val="24"/>
                <w:lang w:val="lt-LT" w:eastAsia="en-US"/>
              </w:rPr>
            </w:pPr>
            <w:r w:rsidRPr="00C6661C">
              <w:rPr>
                <w:rFonts w:eastAsiaTheme="minorHAnsi"/>
                <w:b/>
                <w:bCs/>
                <w:color w:val="000000"/>
                <w:sz w:val="24"/>
                <w:szCs w:val="24"/>
                <w:lang w:val="lt-LT" w:eastAsia="en-US"/>
              </w:rPr>
              <w:t xml:space="preserve">Nacionalinės aviacijos asociacijos </w:t>
            </w:r>
            <w:r w:rsidR="00A00C82">
              <w:rPr>
                <w:rFonts w:eastAsiaTheme="minorHAnsi"/>
                <w:b/>
                <w:bCs/>
                <w:color w:val="000000"/>
                <w:sz w:val="24"/>
                <w:szCs w:val="24"/>
                <w:lang w:val="lt-LT" w:eastAsia="en-US"/>
              </w:rPr>
              <w:t>(</w:t>
            </w:r>
            <w:r w:rsidRPr="00C6661C">
              <w:rPr>
                <w:rFonts w:eastAsiaTheme="minorHAnsi"/>
                <w:b/>
                <w:bCs/>
                <w:color w:val="000000"/>
                <w:sz w:val="24"/>
                <w:szCs w:val="24"/>
                <w:lang w:val="lt-LT" w:eastAsia="en-US"/>
              </w:rPr>
              <w:t>LAVIA</w:t>
            </w:r>
            <w:r w:rsidR="00A00C82">
              <w:rPr>
                <w:rFonts w:eastAsiaTheme="minorHAnsi"/>
                <w:b/>
                <w:bCs/>
                <w:color w:val="000000"/>
                <w:sz w:val="24"/>
                <w:szCs w:val="24"/>
                <w:lang w:val="lt-LT" w:eastAsia="en-US"/>
              </w:rPr>
              <w:t>)</w:t>
            </w:r>
            <w:r w:rsidRPr="00C6661C">
              <w:rPr>
                <w:rFonts w:eastAsiaTheme="minorHAnsi"/>
                <w:b/>
                <w:bCs/>
                <w:color w:val="000000"/>
                <w:sz w:val="24"/>
                <w:szCs w:val="24"/>
                <w:lang w:val="lt-LT" w:eastAsia="en-US"/>
              </w:rPr>
              <w:t xml:space="preserve"> ir Civilinės aviacijos asociacijos </w:t>
            </w:r>
            <w:r w:rsidR="00A00C82">
              <w:rPr>
                <w:rFonts w:eastAsiaTheme="minorHAnsi"/>
                <w:b/>
                <w:bCs/>
                <w:color w:val="000000"/>
                <w:sz w:val="24"/>
                <w:szCs w:val="24"/>
                <w:lang w:val="lt-LT" w:eastAsia="en-US"/>
              </w:rPr>
              <w:t>(</w:t>
            </w:r>
            <w:r w:rsidRPr="00C6661C">
              <w:rPr>
                <w:rFonts w:eastAsiaTheme="minorHAnsi"/>
                <w:b/>
                <w:bCs/>
                <w:color w:val="000000"/>
                <w:sz w:val="24"/>
                <w:szCs w:val="24"/>
                <w:lang w:val="lt-LT" w:eastAsia="en-US"/>
              </w:rPr>
              <w:t>CAVIA</w:t>
            </w:r>
            <w:r w:rsidR="00A00C82">
              <w:rPr>
                <w:rFonts w:eastAsiaTheme="minorHAnsi"/>
                <w:b/>
                <w:bCs/>
                <w:color w:val="000000"/>
                <w:sz w:val="24"/>
                <w:szCs w:val="24"/>
                <w:lang w:val="lt-LT" w:eastAsia="en-US"/>
              </w:rPr>
              <w:t>)</w:t>
            </w:r>
          </w:p>
          <w:p w14:paraId="47EDCC0C" w14:textId="77777777" w:rsidR="00795A82" w:rsidRDefault="0086505C" w:rsidP="0086505C">
            <w:pPr>
              <w:rPr>
                <w:b/>
                <w:bCs/>
                <w:color w:val="000000"/>
                <w:sz w:val="24"/>
                <w:szCs w:val="24"/>
                <w:lang w:val="lt-LT"/>
              </w:rPr>
            </w:pPr>
            <w:r w:rsidRPr="00C6661C">
              <w:rPr>
                <w:b/>
                <w:bCs/>
                <w:color w:val="000000"/>
                <w:sz w:val="24"/>
                <w:szCs w:val="24"/>
                <w:lang w:val="lt-LT"/>
              </w:rPr>
              <w:t>2021-03-</w:t>
            </w:r>
            <w:r>
              <w:rPr>
                <w:b/>
                <w:bCs/>
                <w:color w:val="000000"/>
                <w:sz w:val="24"/>
                <w:szCs w:val="24"/>
                <w:lang w:val="lt-LT"/>
              </w:rPr>
              <w:t>29</w:t>
            </w:r>
            <w:r w:rsidRPr="00C6661C">
              <w:rPr>
                <w:b/>
                <w:bCs/>
                <w:color w:val="000000"/>
                <w:sz w:val="24"/>
                <w:szCs w:val="24"/>
                <w:lang w:val="lt-LT"/>
              </w:rPr>
              <w:t xml:space="preserve"> raštas </w:t>
            </w:r>
          </w:p>
          <w:p w14:paraId="3EBCD385" w14:textId="7CFE6ECE" w:rsidR="000C11D1" w:rsidRPr="009D34CF" w:rsidRDefault="00795A82" w:rsidP="0086505C">
            <w:pPr>
              <w:rPr>
                <w:b/>
                <w:sz w:val="24"/>
                <w:szCs w:val="24"/>
                <w:lang w:val="lt-LT"/>
              </w:rPr>
            </w:pPr>
            <w:r>
              <w:rPr>
                <w:b/>
                <w:bCs/>
                <w:color w:val="000000"/>
                <w:sz w:val="24"/>
                <w:szCs w:val="24"/>
                <w:lang w:val="lt-LT"/>
              </w:rPr>
              <w:t>N</w:t>
            </w:r>
            <w:r w:rsidR="0086505C" w:rsidRPr="00C6661C">
              <w:rPr>
                <w:b/>
                <w:bCs/>
                <w:color w:val="000000"/>
                <w:sz w:val="24"/>
                <w:szCs w:val="24"/>
                <w:lang w:val="lt-LT"/>
              </w:rPr>
              <w:t>r. 21/</w:t>
            </w:r>
            <w:r w:rsidR="0086505C">
              <w:rPr>
                <w:b/>
                <w:bCs/>
                <w:color w:val="000000"/>
                <w:sz w:val="24"/>
                <w:szCs w:val="24"/>
                <w:lang w:val="lt-LT"/>
              </w:rPr>
              <w:t>5</w:t>
            </w:r>
          </w:p>
        </w:tc>
        <w:tc>
          <w:tcPr>
            <w:tcW w:w="1603" w:type="pct"/>
          </w:tcPr>
          <w:p w14:paraId="73C7C417" w14:textId="3B3D20C7" w:rsidR="00746E1F" w:rsidRPr="00746E1F" w:rsidRDefault="00746E1F" w:rsidP="00746E1F">
            <w:pPr>
              <w:autoSpaceDE w:val="0"/>
              <w:autoSpaceDN w:val="0"/>
              <w:adjustRightInd w:val="0"/>
              <w:jc w:val="both"/>
              <w:rPr>
                <w:rFonts w:eastAsiaTheme="minorHAnsi"/>
                <w:color w:val="000000"/>
                <w:sz w:val="24"/>
                <w:szCs w:val="24"/>
                <w:lang w:val="lt-LT" w:eastAsia="en-US"/>
              </w:rPr>
            </w:pPr>
            <w:r w:rsidRPr="00746E1F">
              <w:rPr>
                <w:rFonts w:eastAsiaTheme="minorHAnsi"/>
                <w:color w:val="000000"/>
                <w:sz w:val="24"/>
                <w:szCs w:val="24"/>
                <w:lang w:val="lt-LT" w:eastAsia="en-US"/>
              </w:rPr>
              <w:t>b) Ir toliau manome, kad tikrinimas ar asmuo bendradarbiauja ar gauna pajamas iš užsienio žvalgybų ar palaiko (kažkada palaikė) ryšius su asmeniu, kuris bendradarbiauja su užsienio žvalgybomis (41</w:t>
            </w:r>
            <w:r>
              <w:rPr>
                <w:rFonts w:eastAsiaTheme="minorHAnsi"/>
                <w:color w:val="000000"/>
                <w:sz w:val="24"/>
                <w:szCs w:val="24"/>
                <w:lang w:val="lt-LT" w:eastAsia="en-US"/>
              </w:rPr>
              <w:t>(</w:t>
            </w:r>
            <w:r w:rsidRPr="00746E1F">
              <w:rPr>
                <w:rFonts w:eastAsiaTheme="minorHAnsi"/>
                <w:color w:val="000000"/>
                <w:sz w:val="24"/>
                <w:szCs w:val="24"/>
                <w:lang w:val="lt-LT" w:eastAsia="en-US"/>
              </w:rPr>
              <w:t>1</w:t>
            </w:r>
            <w:r>
              <w:rPr>
                <w:rFonts w:eastAsiaTheme="minorHAnsi"/>
                <w:color w:val="000000"/>
                <w:sz w:val="24"/>
                <w:szCs w:val="24"/>
                <w:lang w:val="lt-LT" w:eastAsia="en-US"/>
              </w:rPr>
              <w:t>)</w:t>
            </w:r>
            <w:r w:rsidRPr="00746E1F">
              <w:rPr>
                <w:rFonts w:eastAsiaTheme="minorHAnsi"/>
                <w:color w:val="000000"/>
                <w:sz w:val="24"/>
                <w:szCs w:val="24"/>
                <w:lang w:val="lt-LT" w:eastAsia="en-US"/>
              </w:rPr>
              <w:t xml:space="preserve"> str. 2 dalies, 6 punktas) yra perteklinis. </w:t>
            </w:r>
            <w:r w:rsidR="00AA41A0">
              <w:rPr>
                <w:rFonts w:eastAsiaTheme="minorHAnsi"/>
                <w:color w:val="000000"/>
                <w:sz w:val="24"/>
                <w:szCs w:val="24"/>
                <w:lang w:val="lt-LT" w:eastAsia="en-US"/>
              </w:rPr>
              <w:t>&lt;...&gt;</w:t>
            </w:r>
          </w:p>
          <w:p w14:paraId="6D0B77B2" w14:textId="4743A06E" w:rsidR="00746E1F" w:rsidRPr="00746E1F" w:rsidRDefault="00746E1F" w:rsidP="00746E1F">
            <w:pPr>
              <w:autoSpaceDE w:val="0"/>
              <w:autoSpaceDN w:val="0"/>
              <w:adjustRightInd w:val="0"/>
              <w:jc w:val="both"/>
              <w:rPr>
                <w:sz w:val="24"/>
                <w:szCs w:val="24"/>
                <w:lang w:val="lt-LT"/>
              </w:rPr>
            </w:pPr>
            <w:r w:rsidRPr="00746E1F">
              <w:rPr>
                <w:sz w:val="24"/>
                <w:szCs w:val="24"/>
                <w:lang w:val="lt-LT"/>
              </w:rPr>
              <w:t>c) Siūlome atsisakyti 41</w:t>
            </w:r>
            <w:r>
              <w:rPr>
                <w:sz w:val="24"/>
                <w:szCs w:val="24"/>
                <w:lang w:val="lt-LT"/>
              </w:rPr>
              <w:t>(</w:t>
            </w:r>
            <w:r w:rsidRPr="00746E1F">
              <w:rPr>
                <w:sz w:val="24"/>
                <w:szCs w:val="24"/>
                <w:lang w:val="lt-LT"/>
              </w:rPr>
              <w:t>1</w:t>
            </w:r>
            <w:r>
              <w:rPr>
                <w:sz w:val="24"/>
                <w:szCs w:val="24"/>
                <w:lang w:val="lt-LT"/>
              </w:rPr>
              <w:t>)</w:t>
            </w:r>
            <w:r w:rsidRPr="00746E1F">
              <w:rPr>
                <w:sz w:val="24"/>
                <w:szCs w:val="24"/>
                <w:lang w:val="lt-LT"/>
              </w:rPr>
              <w:t xml:space="preserve"> str. 2 dalies 9 punkto nuostatos tikrinti ar asmuo dalyvavo neregistruoto judėjimo veikloje, nes Reglamente 2015/1998 minimos direktyvos 2016/681 ir 2017/541 nenustato tokių veikų, kaip pagrindo apriboti asmens laisves. </w:t>
            </w:r>
            <w:r w:rsidR="00DD7190">
              <w:rPr>
                <w:sz w:val="24"/>
                <w:szCs w:val="24"/>
                <w:lang w:val="lt-LT"/>
              </w:rPr>
              <w:t>&lt;...&gt;</w:t>
            </w:r>
          </w:p>
        </w:tc>
        <w:tc>
          <w:tcPr>
            <w:tcW w:w="2573" w:type="pct"/>
          </w:tcPr>
          <w:p w14:paraId="534F039D" w14:textId="77777777" w:rsidR="00746E1F" w:rsidRPr="000C11D1" w:rsidRDefault="00746E1F" w:rsidP="00746E1F">
            <w:pPr>
              <w:pStyle w:val="prastasistinklapis1"/>
              <w:spacing w:before="0" w:beforeAutospacing="0" w:after="0" w:afterAutospacing="0"/>
              <w:jc w:val="both"/>
              <w:rPr>
                <w:b/>
                <w:bCs/>
              </w:rPr>
            </w:pPr>
            <w:r w:rsidRPr="000C11D1">
              <w:rPr>
                <w:b/>
                <w:bCs/>
              </w:rPr>
              <w:t>Neatsižvelgta.</w:t>
            </w:r>
          </w:p>
          <w:p w14:paraId="194A8750" w14:textId="77777777" w:rsidR="00746E1F" w:rsidRDefault="00746E1F" w:rsidP="00746E1F">
            <w:pPr>
              <w:pStyle w:val="prastasistinklapis1"/>
              <w:spacing w:before="0" w:beforeAutospacing="0" w:after="0" w:afterAutospacing="0"/>
              <w:jc w:val="both"/>
              <w:rPr>
                <w:color w:val="333333"/>
                <w:shd w:val="clear" w:color="auto" w:fill="FFFFFF"/>
              </w:rPr>
            </w:pPr>
            <w:r w:rsidRPr="008B5768">
              <w:t>Būtina akcentuoti, kad Reglamento (ES) 2015/1998</w:t>
            </w:r>
            <w:r w:rsidRPr="008B5768">
              <w:rPr>
                <w:rStyle w:val="FootnoteReference"/>
              </w:rPr>
              <w:footnoteReference w:id="3"/>
            </w:r>
            <w:r w:rsidRPr="008B5768">
              <w:t xml:space="preserve"> priedo 11.1.3 punkto d dalies nuostatos numato, kad atliekant išsamų asmens reputacijos patikrinimą yra „&lt;...&gt; patikrinama kompetentingų nacionalinių institucijų </w:t>
            </w:r>
            <w:r w:rsidRPr="00A617B6">
              <w:rPr>
                <w:b/>
                <w:bCs/>
              </w:rPr>
              <w:t xml:space="preserve">turima </w:t>
            </w:r>
            <w:r w:rsidRPr="00A617B6">
              <w:rPr>
                <w:b/>
                <w:bCs/>
                <w:u w:val="single"/>
              </w:rPr>
              <w:t>žvalgybos</w:t>
            </w:r>
            <w:r w:rsidRPr="008B5768">
              <w:rPr>
                <w:u w:val="single"/>
              </w:rPr>
              <w:t xml:space="preserve"> </w:t>
            </w:r>
            <w:r w:rsidRPr="008B5768">
              <w:t xml:space="preserve">informacija ir visa kita svarbi informacija, kuri, jų manymu, gali būti svarbi asmens tinkamumui dirbti vykdant funkciją, kuriai būtinas išsamus asmens reputacijos patikrinimas“. Dėl šių kriterijų reikalingumo bei tikslingumo taip pat pasisakė ir Valstybės saugumo departamentas. Be to, atkreiptinas dėmesys, kad „neregistruoto judėjimo“ sąvoka yra numatyta ir kituose įstatymuose (pvz., Lietuvos Respublikos branduolinės energetikos įstatyme, </w:t>
            </w:r>
            <w:r w:rsidRPr="008B5768">
              <w:rPr>
                <w:color w:val="333333"/>
                <w:shd w:val="clear" w:color="auto" w:fill="FFFFFF"/>
              </w:rPr>
              <w:t xml:space="preserve">Lietuvos Respublikos valstybės ir tarnybos paslapčių įstatyme) ir </w:t>
            </w:r>
            <w:r w:rsidRPr="008B5768">
              <w:t>taikoma praktikoje</w:t>
            </w:r>
            <w:r w:rsidRPr="008B5768">
              <w:rPr>
                <w:color w:val="333333"/>
                <w:shd w:val="clear" w:color="auto" w:fill="FFFFFF"/>
              </w:rPr>
              <w:t xml:space="preserve">. </w:t>
            </w:r>
          </w:p>
          <w:p w14:paraId="6BFBD475" w14:textId="5B35C368" w:rsidR="000C11D1" w:rsidRPr="009D34CF" w:rsidRDefault="00746E1F" w:rsidP="00746E1F">
            <w:pPr>
              <w:pStyle w:val="prastasistinklapis1"/>
              <w:spacing w:before="0" w:beforeAutospacing="0" w:after="0" w:afterAutospacing="0"/>
              <w:jc w:val="both"/>
            </w:pPr>
            <w:bookmarkStart w:id="1" w:name="_Hlk71654005"/>
            <w:r w:rsidRPr="008B5768">
              <w:t xml:space="preserve">Pažymėtina, kad VĮ Lietuvos oro uostai ir VĮ „Oro navigacija“ yra priskirtos </w:t>
            </w:r>
            <w:r w:rsidRPr="00AA41A0">
              <w:rPr>
                <w:b/>
                <w:bCs/>
                <w:color w:val="000000"/>
              </w:rPr>
              <w:t>pirmos kategorijos nacionaliniam saugumui užtikrinti svarbioms įmonėms</w:t>
            </w:r>
            <w:r w:rsidRPr="00394A5E">
              <w:rPr>
                <w:color w:val="000000"/>
              </w:rPr>
              <w:t>,</w:t>
            </w:r>
            <w:r w:rsidRPr="00AA41A0">
              <w:rPr>
                <w:b/>
                <w:bCs/>
                <w:color w:val="000000"/>
              </w:rPr>
              <w:t xml:space="preserve"> </w:t>
            </w:r>
            <w:r w:rsidRPr="008B5768">
              <w:rPr>
                <w:color w:val="000000"/>
              </w:rPr>
              <w:t>todėl būtina atsižvelgti į tai, kad šių įmonių infrastruktūra turi būti apsaugota nuo galinčių kelti grėsmę rizikų ir veiksnių, taip pat nuo tokių veiksnių atsiradimo priežasčių ir sąlygų.</w:t>
            </w:r>
            <w:bookmarkEnd w:id="1"/>
          </w:p>
        </w:tc>
      </w:tr>
      <w:tr w:rsidR="00550567" w:rsidRPr="009D34CF" w14:paraId="3E095259" w14:textId="77777777" w:rsidTr="00795A82">
        <w:tc>
          <w:tcPr>
            <w:tcW w:w="824" w:type="pct"/>
          </w:tcPr>
          <w:p w14:paraId="58673B24" w14:textId="77777777" w:rsidR="00550567" w:rsidRPr="009D34CF" w:rsidRDefault="00550567" w:rsidP="009D34CF">
            <w:pPr>
              <w:rPr>
                <w:b/>
                <w:sz w:val="24"/>
                <w:szCs w:val="24"/>
                <w:lang w:val="lt-LT"/>
              </w:rPr>
            </w:pPr>
          </w:p>
        </w:tc>
        <w:tc>
          <w:tcPr>
            <w:tcW w:w="1603" w:type="pct"/>
          </w:tcPr>
          <w:p w14:paraId="2EAD6524" w14:textId="0A7B01DD" w:rsidR="00550567" w:rsidRPr="00550567" w:rsidRDefault="00550567" w:rsidP="00DD7190">
            <w:pPr>
              <w:autoSpaceDE w:val="0"/>
              <w:autoSpaceDN w:val="0"/>
              <w:adjustRightInd w:val="0"/>
              <w:jc w:val="both"/>
              <w:rPr>
                <w:rFonts w:eastAsiaTheme="minorHAnsi"/>
                <w:color w:val="000000"/>
                <w:sz w:val="24"/>
                <w:szCs w:val="24"/>
                <w:lang w:val="lt-LT" w:eastAsia="en-US"/>
              </w:rPr>
            </w:pPr>
            <w:r w:rsidRPr="00550567">
              <w:rPr>
                <w:rFonts w:eastAsiaTheme="minorHAnsi"/>
                <w:color w:val="000000"/>
                <w:sz w:val="24"/>
                <w:szCs w:val="24"/>
                <w:lang w:val="lt-LT" w:eastAsia="en-US"/>
              </w:rPr>
              <w:t xml:space="preserve">d) </w:t>
            </w:r>
            <w:r w:rsidRPr="00DD7190">
              <w:rPr>
                <w:rFonts w:eastAsiaTheme="minorHAnsi"/>
                <w:color w:val="000000"/>
                <w:sz w:val="24"/>
                <w:szCs w:val="24"/>
                <w:lang w:val="lt-LT" w:eastAsia="en-US"/>
              </w:rPr>
              <w:t xml:space="preserve">&lt;…&gt; </w:t>
            </w:r>
            <w:r w:rsidRPr="00550567">
              <w:rPr>
                <w:rFonts w:eastAsiaTheme="minorHAnsi"/>
                <w:color w:val="000000"/>
                <w:sz w:val="24"/>
                <w:szCs w:val="24"/>
                <w:lang w:val="lt-LT" w:eastAsia="en-US"/>
              </w:rPr>
              <w:t xml:space="preserve">Būtina suprasti, kad pagal šias nuostatas bus tikrinami ne tik Lietuvos ar ES/EFTA piliečiai, bet ir, pvz. Ukrainos, JAV, Vietnamo, </w:t>
            </w:r>
            <w:r w:rsidRPr="00550567">
              <w:rPr>
                <w:rFonts w:eastAsiaTheme="minorHAnsi"/>
                <w:color w:val="000000"/>
                <w:sz w:val="24"/>
                <w:szCs w:val="24"/>
                <w:lang w:val="lt-LT" w:eastAsia="en-US"/>
              </w:rPr>
              <w:lastRenderedPageBreak/>
              <w:t xml:space="preserve">Nigerijos, Indonezijos piliečiai dėl kurių išsamaus patikrinimo nėra nei sudarytos dvišalės sutartys, nei šių valstybių institucijos pagal dabartines Projekte naudojamas formuluotes sugebės tiksliai suprasti kokios informacijos reikia Lietuvos institucijoms. Pažymėtina, kad kai kuriais atvejais tikrinamam asmeniui ar mūsų institucijoms gali būti sudėtinga ne tik gauti atsakymą, bet ir suformuluoti pačią užklausą trečiųjų šalių tarnyboms (pvz. kai pagal 6 punktą bus vertinamas asmens bendradarbiavimas su užsienio specialiomis tarnybomis dėl būtent prieš Lietuvą nukreiptų interesų). </w:t>
            </w:r>
          </w:p>
          <w:p w14:paraId="0B54BF14" w14:textId="1953E93A" w:rsidR="00550567" w:rsidRPr="00746E1F" w:rsidRDefault="00550567" w:rsidP="00AA41A0">
            <w:pPr>
              <w:autoSpaceDE w:val="0"/>
              <w:autoSpaceDN w:val="0"/>
              <w:adjustRightInd w:val="0"/>
              <w:jc w:val="both"/>
              <w:rPr>
                <w:sz w:val="24"/>
                <w:szCs w:val="24"/>
                <w:lang w:val="lt-LT"/>
              </w:rPr>
            </w:pPr>
            <w:r w:rsidRPr="00DD7190">
              <w:rPr>
                <w:rFonts w:eastAsiaTheme="minorHAnsi"/>
                <w:color w:val="000000"/>
                <w:sz w:val="24"/>
                <w:szCs w:val="24"/>
                <w:lang w:val="lt-LT" w:eastAsia="en-US"/>
              </w:rPr>
              <w:t>e) 41</w:t>
            </w:r>
            <w:r w:rsidR="00DD7190" w:rsidRPr="00DD7190">
              <w:rPr>
                <w:rFonts w:eastAsiaTheme="minorHAnsi"/>
                <w:color w:val="000000"/>
                <w:sz w:val="24"/>
                <w:szCs w:val="24"/>
                <w:lang w:val="lt-LT" w:eastAsia="en-US"/>
              </w:rPr>
              <w:t>(1)</w:t>
            </w:r>
            <w:r w:rsidRPr="00DD7190">
              <w:rPr>
                <w:rFonts w:eastAsiaTheme="minorHAnsi"/>
                <w:color w:val="000000"/>
                <w:sz w:val="24"/>
                <w:szCs w:val="24"/>
                <w:lang w:val="lt-LT" w:eastAsia="en-US"/>
              </w:rPr>
              <w:t xml:space="preserve"> str. 2 dalies 11 punktas faktiškai panaikins galimybę mūsų aviakompanijoms įgulos nariais samdytis užsienio piliečius (ypač ne Europos Sąjungos piliečius), nes tikėtina, kad mūsų institucijos laiku arba visai negaus iš užsienio žvalgybos institucijų duomenų pagal 411 straipsnio 2 dalies 6, 8 ir 9 punktus, t.</w:t>
            </w:r>
            <w:r w:rsidR="00DD7190">
              <w:rPr>
                <w:rFonts w:eastAsiaTheme="minorHAnsi"/>
                <w:color w:val="000000"/>
                <w:sz w:val="24"/>
                <w:szCs w:val="24"/>
                <w:lang w:val="lt-LT" w:eastAsia="en-US"/>
              </w:rPr>
              <w:t xml:space="preserve"> </w:t>
            </w:r>
            <w:r w:rsidRPr="00DD7190">
              <w:rPr>
                <w:rFonts w:eastAsiaTheme="minorHAnsi"/>
                <w:color w:val="000000"/>
                <w:sz w:val="24"/>
                <w:szCs w:val="24"/>
                <w:lang w:val="lt-LT" w:eastAsia="en-US"/>
              </w:rPr>
              <w:t>y. geriausiu atveju jos galės gauti informaciją tik dėl 2 dalies 8 punkto ar asmuo nėra susijęs su terorizmu, kaip tai nustato Reglamentas 2015/1998. 6 ir 9 punktuose paminėtos sąlygos yra išimtinai nacionalinio pobūdžio ir bus aktualios tik Lietuvoje.</w:t>
            </w:r>
          </w:p>
        </w:tc>
        <w:tc>
          <w:tcPr>
            <w:tcW w:w="2573" w:type="pct"/>
          </w:tcPr>
          <w:p w14:paraId="7E01065A" w14:textId="77777777" w:rsidR="00795A82" w:rsidRDefault="00AA41A0" w:rsidP="00AA41A0">
            <w:pPr>
              <w:ind w:right="-1"/>
              <w:jc w:val="both"/>
              <w:rPr>
                <w:b/>
                <w:bCs/>
                <w:sz w:val="24"/>
                <w:szCs w:val="24"/>
                <w:lang w:val="lt-LT"/>
              </w:rPr>
            </w:pPr>
            <w:r>
              <w:rPr>
                <w:b/>
                <w:bCs/>
                <w:sz w:val="24"/>
                <w:szCs w:val="24"/>
                <w:lang w:val="lt-LT"/>
              </w:rPr>
              <w:lastRenderedPageBreak/>
              <w:t>Neatsižvelgta</w:t>
            </w:r>
            <w:r w:rsidRPr="0086505C">
              <w:rPr>
                <w:b/>
                <w:bCs/>
                <w:sz w:val="24"/>
                <w:szCs w:val="24"/>
                <w:lang w:val="lt-LT"/>
              </w:rPr>
              <w:t xml:space="preserve">. </w:t>
            </w:r>
          </w:p>
          <w:p w14:paraId="38F72A70" w14:textId="51F9E069" w:rsidR="00AA41A0" w:rsidRPr="008B5768" w:rsidRDefault="00AA41A0" w:rsidP="00AA41A0">
            <w:pPr>
              <w:ind w:right="-1"/>
              <w:jc w:val="both"/>
              <w:rPr>
                <w:sz w:val="24"/>
                <w:szCs w:val="24"/>
                <w:lang w:val="lt-LT"/>
              </w:rPr>
            </w:pPr>
            <w:r w:rsidRPr="008B5768">
              <w:rPr>
                <w:sz w:val="24"/>
                <w:szCs w:val="24"/>
                <w:lang w:val="lt-LT"/>
              </w:rPr>
              <w:t>Įvertinus</w:t>
            </w:r>
            <w:r>
              <w:rPr>
                <w:sz w:val="24"/>
                <w:szCs w:val="24"/>
                <w:lang w:val="lt-LT"/>
              </w:rPr>
              <w:t xml:space="preserve"> </w:t>
            </w:r>
            <w:r w:rsidRPr="008B5768">
              <w:rPr>
                <w:sz w:val="24"/>
                <w:szCs w:val="24"/>
                <w:lang w:val="lt-LT"/>
              </w:rPr>
              <w:t xml:space="preserve">pateiktas pastabas dėl kompetentingų institucijų galimybės gauti informaciją iš kitų šalių atitinkamų institucijų ir šios informacijos gavimo </w:t>
            </w:r>
            <w:r w:rsidRPr="008B5768">
              <w:rPr>
                <w:sz w:val="24"/>
                <w:szCs w:val="24"/>
                <w:lang w:val="lt-LT"/>
              </w:rPr>
              <w:lastRenderedPageBreak/>
              <w:t>nustatytu laiku, būtina atkreipti dėmesį, kad derinant įstatymo projektą su institucijomis,</w:t>
            </w:r>
            <w:r>
              <w:rPr>
                <w:sz w:val="24"/>
                <w:szCs w:val="24"/>
                <w:lang w:val="lt-LT"/>
              </w:rPr>
              <w:t xml:space="preserve"> taip pat </w:t>
            </w:r>
            <w:r w:rsidRPr="008B5768">
              <w:rPr>
                <w:sz w:val="24"/>
                <w:szCs w:val="24"/>
                <w:lang w:val="lt-LT"/>
              </w:rPr>
              <w:t xml:space="preserve"> pasitarimo metu</w:t>
            </w:r>
            <w:r>
              <w:rPr>
                <w:sz w:val="24"/>
                <w:szCs w:val="24"/>
                <w:lang w:val="lt-LT"/>
              </w:rPr>
              <w:t xml:space="preserve"> ir </w:t>
            </w:r>
            <w:r w:rsidRPr="008B5768">
              <w:rPr>
                <w:sz w:val="24"/>
                <w:szCs w:val="24"/>
                <w:lang w:val="lt-LT"/>
              </w:rPr>
              <w:t xml:space="preserve">darbo tvarka derinant įstatymo projekto nuostatas kompetentingos institucijos neidentifikavo šios grėsmės. </w:t>
            </w:r>
          </w:p>
          <w:p w14:paraId="4D33246D" w14:textId="77777777" w:rsidR="00550567" w:rsidRPr="009D34CF" w:rsidRDefault="00550567" w:rsidP="009D34CF">
            <w:pPr>
              <w:pStyle w:val="prastasistinklapis1"/>
              <w:spacing w:before="0" w:beforeAutospacing="0" w:after="0" w:afterAutospacing="0"/>
              <w:jc w:val="both"/>
            </w:pPr>
          </w:p>
        </w:tc>
      </w:tr>
      <w:tr w:rsidR="000C11D1" w:rsidRPr="009D34CF" w14:paraId="6EEADB84" w14:textId="77777777" w:rsidTr="00795A82">
        <w:tc>
          <w:tcPr>
            <w:tcW w:w="824" w:type="pct"/>
          </w:tcPr>
          <w:p w14:paraId="4FD7F138" w14:textId="77777777" w:rsidR="000C11D1" w:rsidRPr="009D34CF" w:rsidRDefault="000C11D1" w:rsidP="009D34CF">
            <w:pPr>
              <w:rPr>
                <w:b/>
                <w:sz w:val="24"/>
                <w:szCs w:val="24"/>
                <w:lang w:val="lt-LT"/>
              </w:rPr>
            </w:pPr>
          </w:p>
        </w:tc>
        <w:tc>
          <w:tcPr>
            <w:tcW w:w="1603" w:type="pct"/>
          </w:tcPr>
          <w:p w14:paraId="2A4DD7B3" w14:textId="6287ED2E" w:rsidR="000C11D1" w:rsidRPr="00746E1F" w:rsidRDefault="00550567" w:rsidP="00746E1F">
            <w:pPr>
              <w:autoSpaceDE w:val="0"/>
              <w:autoSpaceDN w:val="0"/>
              <w:adjustRightInd w:val="0"/>
              <w:jc w:val="both"/>
              <w:rPr>
                <w:sz w:val="24"/>
                <w:szCs w:val="24"/>
                <w:lang w:val="lt-LT"/>
              </w:rPr>
            </w:pPr>
            <w:r w:rsidRPr="00746E1F">
              <w:rPr>
                <w:sz w:val="24"/>
                <w:szCs w:val="24"/>
                <w:lang w:val="lt-LT"/>
              </w:rPr>
              <w:t xml:space="preserve">g) </w:t>
            </w:r>
            <w:r w:rsidR="00795A82">
              <w:rPr>
                <w:sz w:val="24"/>
                <w:szCs w:val="24"/>
                <w:lang w:val="lt-LT"/>
              </w:rPr>
              <w:t>&lt;...&gt;</w:t>
            </w:r>
            <w:r w:rsidRPr="00746E1F">
              <w:rPr>
                <w:sz w:val="24"/>
                <w:szCs w:val="24"/>
                <w:lang w:val="lt-LT"/>
              </w:rPr>
              <w:t xml:space="preserve"> Manome, kad įstatyme turėtų būti nustatyti skirtingi terminai Lietuvos ir užsienio valstybės piliečiams, nes akivaizdu, kad prieiga prie Lietuvos duomenų registrų yra žymiai paprastesnė nei prie užsienio valstybių institucijų valdomos informacijos.</w:t>
            </w:r>
          </w:p>
        </w:tc>
        <w:tc>
          <w:tcPr>
            <w:tcW w:w="2573" w:type="pct"/>
          </w:tcPr>
          <w:p w14:paraId="333C22DF" w14:textId="77777777" w:rsidR="00795A82" w:rsidRPr="00795A82" w:rsidRDefault="00795A82" w:rsidP="00795A82">
            <w:pPr>
              <w:ind w:right="-1"/>
              <w:jc w:val="both"/>
              <w:rPr>
                <w:b/>
                <w:bCs/>
                <w:sz w:val="24"/>
                <w:szCs w:val="24"/>
                <w:lang w:val="lt-LT"/>
              </w:rPr>
            </w:pPr>
            <w:r w:rsidRPr="00795A82">
              <w:rPr>
                <w:b/>
                <w:bCs/>
                <w:sz w:val="24"/>
                <w:szCs w:val="24"/>
                <w:lang w:val="lt-LT"/>
              </w:rPr>
              <w:t>Neatsižvelgta.</w:t>
            </w:r>
          </w:p>
          <w:p w14:paraId="74C184EF" w14:textId="2D8B547E" w:rsidR="00DD7190" w:rsidRPr="008B5768" w:rsidRDefault="00795A82" w:rsidP="00795A82">
            <w:pPr>
              <w:ind w:right="-1"/>
              <w:jc w:val="both"/>
              <w:rPr>
                <w:sz w:val="24"/>
                <w:szCs w:val="24"/>
                <w:lang w:val="lt-LT"/>
              </w:rPr>
            </w:pPr>
            <w:r w:rsidRPr="008B5768">
              <w:rPr>
                <w:sz w:val="24"/>
                <w:szCs w:val="24"/>
                <w:lang w:val="lt-LT"/>
              </w:rPr>
              <w:t xml:space="preserve">Pasiūlymas </w:t>
            </w:r>
            <w:r w:rsidR="00DD7190" w:rsidRPr="008B5768">
              <w:rPr>
                <w:sz w:val="24"/>
                <w:szCs w:val="24"/>
                <w:lang w:val="lt-LT"/>
              </w:rPr>
              <w:t xml:space="preserve">diferencijuoti Lietuvos ir užsienio piliečių asmens reputacijos patikrinimo procedūrų terminus sukurtų nelygiavertes sąlygas asmenims, besikreipiantiems dėl nepriekaištingos reputacijos patikrinimo. </w:t>
            </w:r>
          </w:p>
          <w:p w14:paraId="0758A627" w14:textId="77777777" w:rsidR="000C11D1" w:rsidRPr="009D34CF" w:rsidRDefault="000C11D1" w:rsidP="009D34CF">
            <w:pPr>
              <w:pStyle w:val="prastasistinklapis1"/>
              <w:spacing w:before="0" w:beforeAutospacing="0" w:after="0" w:afterAutospacing="0"/>
              <w:jc w:val="both"/>
            </w:pPr>
          </w:p>
        </w:tc>
      </w:tr>
      <w:bookmarkEnd w:id="0"/>
    </w:tbl>
    <w:p w14:paraId="127C488D" w14:textId="77777777" w:rsidR="00291B42" w:rsidRPr="001A1B0D" w:rsidRDefault="00291B42" w:rsidP="00325DEC">
      <w:pPr>
        <w:rPr>
          <w:lang w:val="lt-LT"/>
        </w:rPr>
      </w:pPr>
    </w:p>
    <w:sectPr w:rsidR="00291B42" w:rsidRPr="001A1B0D" w:rsidSect="00795A82">
      <w:headerReference w:type="default" r:id="rId8"/>
      <w:pgSz w:w="16838" w:h="11906" w:orient="landscape"/>
      <w:pgMar w:top="567" w:right="678"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B3D44" w14:textId="77777777" w:rsidR="00F43C7C" w:rsidRDefault="00F43C7C" w:rsidP="00291B42">
      <w:r>
        <w:separator/>
      </w:r>
    </w:p>
  </w:endnote>
  <w:endnote w:type="continuationSeparator" w:id="0">
    <w:p w14:paraId="053039B3" w14:textId="77777777" w:rsidR="00F43C7C" w:rsidRDefault="00F43C7C" w:rsidP="0029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9D1B5" w14:textId="77777777" w:rsidR="00F43C7C" w:rsidRDefault="00F43C7C" w:rsidP="00291B42">
      <w:r>
        <w:separator/>
      </w:r>
    </w:p>
  </w:footnote>
  <w:footnote w:type="continuationSeparator" w:id="0">
    <w:p w14:paraId="688A23AC" w14:textId="77777777" w:rsidR="00F43C7C" w:rsidRDefault="00F43C7C" w:rsidP="00291B42">
      <w:r>
        <w:continuationSeparator/>
      </w:r>
    </w:p>
  </w:footnote>
  <w:footnote w:id="1">
    <w:p w14:paraId="2E58AB04" w14:textId="77777777" w:rsidR="00351D6A" w:rsidRPr="00B571F8" w:rsidRDefault="00351D6A" w:rsidP="00351D6A">
      <w:pPr>
        <w:jc w:val="both"/>
        <w:rPr>
          <w:lang w:val="lt-LT"/>
        </w:rPr>
      </w:pPr>
      <w:r w:rsidRPr="00B571F8">
        <w:rPr>
          <w:rStyle w:val="FootnoteReference"/>
          <w:lang w:val="lt-LT"/>
        </w:rPr>
        <w:footnoteRef/>
      </w:r>
      <w:r w:rsidRPr="00B571F8">
        <w:rPr>
          <w:lang w:val="lt-LT"/>
        </w:rPr>
        <w:t xml:space="preserve"> </w:t>
      </w:r>
      <w:r>
        <w:rPr>
          <w:lang w:val="lt-LT"/>
        </w:rPr>
        <w:t>Lietuvos Respublikos f</w:t>
      </w:r>
      <w:r w:rsidRPr="00B571F8">
        <w:rPr>
          <w:lang w:val="lt-LT"/>
        </w:rPr>
        <w:t>inansų ministerijos 2020 m. rugsėjo 8 d. raštas Nr. ((2.120E-03)-5K-2014287)-6K-2005078, Lietuvos Respublikos specialiųjų tyrimų tarnybos 2020 m. rugpjūčio 31 d. antikorupcinio vertinimo išvada Nr. 4-01-6779.</w:t>
      </w:r>
      <w:r w:rsidRPr="00B571F8">
        <w:rPr>
          <w:rFonts w:ascii="TimesNewRomanPSMT" w:hAnsi="TimesNewRomanPSMT" w:cs="TimesNewRomanPSMT"/>
          <w:lang w:val="en-US"/>
        </w:rPr>
        <w:t xml:space="preserve"> </w:t>
      </w:r>
    </w:p>
  </w:footnote>
  <w:footnote w:id="2">
    <w:p w14:paraId="29BACA8F" w14:textId="77777777" w:rsidR="00351D6A" w:rsidRPr="0086505C" w:rsidRDefault="00351D6A" w:rsidP="00351D6A">
      <w:pPr>
        <w:pStyle w:val="FootnoteText"/>
        <w:jc w:val="both"/>
        <w:rPr>
          <w:lang w:val="lt-LT"/>
        </w:rPr>
      </w:pPr>
      <w:r w:rsidRPr="0086505C">
        <w:rPr>
          <w:rStyle w:val="FootnoteReference"/>
          <w:lang w:val="lt-LT"/>
        </w:rPr>
        <w:footnoteRef/>
      </w:r>
      <w:r w:rsidRPr="0086505C">
        <w:rPr>
          <w:lang w:val="lt-LT"/>
        </w:rPr>
        <w:t xml:space="preserve"> </w:t>
      </w:r>
      <w:hyperlink r:id="rId1" w:history="1">
        <w:r w:rsidRPr="0086505C">
          <w:rPr>
            <w:rStyle w:val="Hyperlink"/>
            <w:color w:val="auto"/>
            <w:u w:val="none"/>
            <w:lang w:val="lt-LT"/>
          </w:rPr>
          <w:t>2019 m. rugsėjo 25 d. Komisijos įgyvendinimo reglamentas (ES) 2019/1583, kuriuo dėl kibernetinio saugumo priemonių iš dalies keičiamas Įgyvendinimo reglamentas (ES) 2015/1998, kuriuo nustatomos išsamios bendrųjų pagrindinių aviacijos saugumo standartų įgyvendinimo priemonės</w:t>
        </w:r>
      </w:hyperlink>
      <w:r w:rsidRPr="0086505C">
        <w:rPr>
          <w:rStyle w:val="Hyperlink"/>
          <w:color w:val="auto"/>
          <w:u w:val="none"/>
          <w:lang w:val="lt-LT"/>
        </w:rPr>
        <w:t>.</w:t>
      </w:r>
    </w:p>
  </w:footnote>
  <w:footnote w:id="3">
    <w:p w14:paraId="3896413A" w14:textId="77777777" w:rsidR="00746E1F" w:rsidRPr="0086505C" w:rsidRDefault="00746E1F" w:rsidP="00746E1F">
      <w:pPr>
        <w:pStyle w:val="FootnoteText"/>
        <w:jc w:val="both"/>
        <w:rPr>
          <w:lang w:val="lt-LT"/>
        </w:rPr>
      </w:pPr>
      <w:r w:rsidRPr="0086505C">
        <w:rPr>
          <w:rStyle w:val="FootnoteReference"/>
          <w:lang w:val="lt-LT"/>
        </w:rPr>
        <w:footnoteRef/>
      </w:r>
      <w:r w:rsidRPr="0086505C">
        <w:rPr>
          <w:lang w:val="lt-LT"/>
        </w:rPr>
        <w:t xml:space="preserve"> </w:t>
      </w:r>
      <w:hyperlink r:id="rId2" w:history="1">
        <w:r w:rsidRPr="0086505C">
          <w:rPr>
            <w:rStyle w:val="Hyperlink"/>
            <w:color w:val="auto"/>
            <w:u w:val="none"/>
            <w:lang w:val="lt-LT"/>
          </w:rPr>
          <w:t>2019 m. rugsėjo 25 d. Komisijos įgyvendinimo reglamentas (ES) 2019/1583, kuriuo dėl kibernetinio saugumo priemonių iš dalies keičiamas Įgyvendinimo reglamentas (ES) 2015/1998, kuriuo nustatomos išsamios bendrųjų pagrindinių aviacijos saugumo standartų įgyvendinimo priemonės</w:t>
        </w:r>
      </w:hyperlink>
      <w:r w:rsidRPr="0086505C">
        <w:rPr>
          <w:rStyle w:val="Hyperlink"/>
          <w:color w:val="auto"/>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2467371"/>
      <w:docPartObj>
        <w:docPartGallery w:val="Page Numbers (Top of Page)"/>
        <w:docPartUnique/>
      </w:docPartObj>
    </w:sdtPr>
    <w:sdtEndPr/>
    <w:sdtContent>
      <w:p w14:paraId="127C4892" w14:textId="77777777" w:rsidR="00291B42" w:rsidRDefault="00291B42">
        <w:pPr>
          <w:pStyle w:val="Header"/>
          <w:jc w:val="center"/>
        </w:pPr>
        <w:r>
          <w:fldChar w:fldCharType="begin"/>
        </w:r>
        <w:r>
          <w:instrText>PAGE   \* MERGEFORMAT</w:instrText>
        </w:r>
        <w:r>
          <w:fldChar w:fldCharType="separate"/>
        </w:r>
        <w:r w:rsidR="008C0061" w:rsidRPr="008C0061">
          <w:rPr>
            <w:noProof/>
            <w:lang w:val="lt-LT"/>
          </w:rPr>
          <w:t>15</w:t>
        </w:r>
        <w:r>
          <w:fldChar w:fldCharType="end"/>
        </w:r>
      </w:p>
    </w:sdtContent>
  </w:sdt>
  <w:p w14:paraId="127C4893" w14:textId="77777777" w:rsidR="00291B42" w:rsidRDefault="00291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71262"/>
    <w:multiLevelType w:val="multilevel"/>
    <w:tmpl w:val="EC8A1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6D74FC"/>
    <w:multiLevelType w:val="multilevel"/>
    <w:tmpl w:val="89D4F9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42"/>
    <w:rsid w:val="0001093E"/>
    <w:rsid w:val="00012F1A"/>
    <w:rsid w:val="0003026C"/>
    <w:rsid w:val="000653D8"/>
    <w:rsid w:val="00075790"/>
    <w:rsid w:val="00095BA9"/>
    <w:rsid w:val="000B7CE6"/>
    <w:rsid w:val="000C11D1"/>
    <w:rsid w:val="000E06FC"/>
    <w:rsid w:val="00102B18"/>
    <w:rsid w:val="00135757"/>
    <w:rsid w:val="001418E8"/>
    <w:rsid w:val="001A1B0D"/>
    <w:rsid w:val="001B4263"/>
    <w:rsid w:val="001C22B8"/>
    <w:rsid w:val="002168A4"/>
    <w:rsid w:val="002306C6"/>
    <w:rsid w:val="00251420"/>
    <w:rsid w:val="0028099E"/>
    <w:rsid w:val="002860BB"/>
    <w:rsid w:val="00291B42"/>
    <w:rsid w:val="002A1DBC"/>
    <w:rsid w:val="002D0828"/>
    <w:rsid w:val="002D4CA2"/>
    <w:rsid w:val="00314F41"/>
    <w:rsid w:val="00325DEC"/>
    <w:rsid w:val="00340CD5"/>
    <w:rsid w:val="00351D6A"/>
    <w:rsid w:val="003539A1"/>
    <w:rsid w:val="003764FA"/>
    <w:rsid w:val="0037706E"/>
    <w:rsid w:val="00394A5E"/>
    <w:rsid w:val="003A25A7"/>
    <w:rsid w:val="003B0DE9"/>
    <w:rsid w:val="003B7B4B"/>
    <w:rsid w:val="003F64B2"/>
    <w:rsid w:val="00414850"/>
    <w:rsid w:val="00455176"/>
    <w:rsid w:val="004B657B"/>
    <w:rsid w:val="004C27B4"/>
    <w:rsid w:val="004D084B"/>
    <w:rsid w:val="005002F6"/>
    <w:rsid w:val="0051212C"/>
    <w:rsid w:val="005269C7"/>
    <w:rsid w:val="00550567"/>
    <w:rsid w:val="005726B0"/>
    <w:rsid w:val="0059305F"/>
    <w:rsid w:val="005A6111"/>
    <w:rsid w:val="005C7BDC"/>
    <w:rsid w:val="00606DA9"/>
    <w:rsid w:val="00615125"/>
    <w:rsid w:val="006511AF"/>
    <w:rsid w:val="006522B4"/>
    <w:rsid w:val="006A13A5"/>
    <w:rsid w:val="006B3464"/>
    <w:rsid w:val="006B3EDE"/>
    <w:rsid w:val="006B4524"/>
    <w:rsid w:val="006D7334"/>
    <w:rsid w:val="007235E2"/>
    <w:rsid w:val="00726E5B"/>
    <w:rsid w:val="00746E1F"/>
    <w:rsid w:val="0075111C"/>
    <w:rsid w:val="00753EF1"/>
    <w:rsid w:val="00756C47"/>
    <w:rsid w:val="007640C4"/>
    <w:rsid w:val="00774B19"/>
    <w:rsid w:val="00782867"/>
    <w:rsid w:val="007949F5"/>
    <w:rsid w:val="00795A82"/>
    <w:rsid w:val="007A2A57"/>
    <w:rsid w:val="007E20A5"/>
    <w:rsid w:val="007F0F9A"/>
    <w:rsid w:val="008002C8"/>
    <w:rsid w:val="00834865"/>
    <w:rsid w:val="008467B8"/>
    <w:rsid w:val="0086505C"/>
    <w:rsid w:val="00875D21"/>
    <w:rsid w:val="008914BE"/>
    <w:rsid w:val="00896676"/>
    <w:rsid w:val="008A1CE9"/>
    <w:rsid w:val="008B1317"/>
    <w:rsid w:val="008C0061"/>
    <w:rsid w:val="008C531B"/>
    <w:rsid w:val="008D718C"/>
    <w:rsid w:val="009106CB"/>
    <w:rsid w:val="00921887"/>
    <w:rsid w:val="0092375C"/>
    <w:rsid w:val="00925773"/>
    <w:rsid w:val="009374AE"/>
    <w:rsid w:val="00965786"/>
    <w:rsid w:val="00991D29"/>
    <w:rsid w:val="009B587B"/>
    <w:rsid w:val="009D21D6"/>
    <w:rsid w:val="009D34CF"/>
    <w:rsid w:val="009E121F"/>
    <w:rsid w:val="00A00C82"/>
    <w:rsid w:val="00A0634A"/>
    <w:rsid w:val="00A25BA7"/>
    <w:rsid w:val="00A2745B"/>
    <w:rsid w:val="00A354D2"/>
    <w:rsid w:val="00A469B8"/>
    <w:rsid w:val="00A617B6"/>
    <w:rsid w:val="00A61932"/>
    <w:rsid w:val="00A67D5E"/>
    <w:rsid w:val="00A82D5A"/>
    <w:rsid w:val="00A862D5"/>
    <w:rsid w:val="00AA41A0"/>
    <w:rsid w:val="00AC3BC7"/>
    <w:rsid w:val="00B45E38"/>
    <w:rsid w:val="00B53880"/>
    <w:rsid w:val="00B568FC"/>
    <w:rsid w:val="00B57A9D"/>
    <w:rsid w:val="00B669C1"/>
    <w:rsid w:val="00B865FE"/>
    <w:rsid w:val="00B9218E"/>
    <w:rsid w:val="00B92449"/>
    <w:rsid w:val="00BB11E7"/>
    <w:rsid w:val="00BD18FC"/>
    <w:rsid w:val="00BD3E1E"/>
    <w:rsid w:val="00BF59BF"/>
    <w:rsid w:val="00C12371"/>
    <w:rsid w:val="00C12AD2"/>
    <w:rsid w:val="00C22655"/>
    <w:rsid w:val="00C26E8F"/>
    <w:rsid w:val="00C33A09"/>
    <w:rsid w:val="00C6661C"/>
    <w:rsid w:val="00CD5CB2"/>
    <w:rsid w:val="00CF0F83"/>
    <w:rsid w:val="00D01A81"/>
    <w:rsid w:val="00D25FAB"/>
    <w:rsid w:val="00D41E76"/>
    <w:rsid w:val="00D64735"/>
    <w:rsid w:val="00D67551"/>
    <w:rsid w:val="00D73A4E"/>
    <w:rsid w:val="00DA3E1A"/>
    <w:rsid w:val="00DB0523"/>
    <w:rsid w:val="00DB083A"/>
    <w:rsid w:val="00DD7190"/>
    <w:rsid w:val="00DE64A9"/>
    <w:rsid w:val="00DF3DCE"/>
    <w:rsid w:val="00E078F3"/>
    <w:rsid w:val="00E13EA3"/>
    <w:rsid w:val="00E14FDC"/>
    <w:rsid w:val="00E3474E"/>
    <w:rsid w:val="00E37D2C"/>
    <w:rsid w:val="00E56E41"/>
    <w:rsid w:val="00E574C3"/>
    <w:rsid w:val="00E707E0"/>
    <w:rsid w:val="00E745F7"/>
    <w:rsid w:val="00E8551E"/>
    <w:rsid w:val="00ED40FB"/>
    <w:rsid w:val="00EF7049"/>
    <w:rsid w:val="00F11AC4"/>
    <w:rsid w:val="00F43C7C"/>
    <w:rsid w:val="00F7339F"/>
    <w:rsid w:val="00FA526E"/>
    <w:rsid w:val="00FB3937"/>
    <w:rsid w:val="00FD637D"/>
    <w:rsid w:val="00FF1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47B3"/>
  <w15:docId w15:val="{C6BD2762-849F-4EB0-9B7C-66EE91BF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1A0"/>
    <w:pPr>
      <w:spacing w:after="0" w:line="240" w:lineRule="auto"/>
    </w:pPr>
    <w:rPr>
      <w:rFonts w:ascii="Times New Roman" w:eastAsia="Times New Roman" w:hAnsi="Times New Roman" w:cs="Times New Roman"/>
      <w:sz w:val="20"/>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B42"/>
    <w:pPr>
      <w:tabs>
        <w:tab w:val="center" w:pos="4819"/>
        <w:tab w:val="right" w:pos="9638"/>
      </w:tabs>
    </w:pPr>
  </w:style>
  <w:style w:type="character" w:customStyle="1" w:styleId="HeaderChar">
    <w:name w:val="Header Char"/>
    <w:basedOn w:val="DefaultParagraphFont"/>
    <w:link w:val="Header"/>
    <w:uiPriority w:val="99"/>
    <w:rsid w:val="00291B42"/>
    <w:rPr>
      <w:rFonts w:ascii="Times New Roman" w:eastAsia="Times New Roman" w:hAnsi="Times New Roman" w:cs="Times New Roman"/>
      <w:sz w:val="20"/>
      <w:szCs w:val="20"/>
      <w:lang w:val="en-GB" w:eastAsia="lt-LT"/>
    </w:rPr>
  </w:style>
  <w:style w:type="paragraph" w:styleId="Footer">
    <w:name w:val="footer"/>
    <w:basedOn w:val="Normal"/>
    <w:link w:val="FooterChar"/>
    <w:uiPriority w:val="99"/>
    <w:unhideWhenUsed/>
    <w:rsid w:val="00291B42"/>
    <w:pPr>
      <w:tabs>
        <w:tab w:val="center" w:pos="4819"/>
        <w:tab w:val="right" w:pos="9638"/>
      </w:tabs>
    </w:pPr>
  </w:style>
  <w:style w:type="character" w:customStyle="1" w:styleId="FooterChar">
    <w:name w:val="Footer Char"/>
    <w:basedOn w:val="DefaultParagraphFont"/>
    <w:link w:val="Footer"/>
    <w:uiPriority w:val="99"/>
    <w:rsid w:val="00291B42"/>
    <w:rPr>
      <w:rFonts w:ascii="Times New Roman" w:eastAsia="Times New Roman" w:hAnsi="Times New Roman" w:cs="Times New Roman"/>
      <w:sz w:val="20"/>
      <w:szCs w:val="20"/>
      <w:lang w:val="en-GB" w:eastAsia="lt-LT"/>
    </w:rPr>
  </w:style>
  <w:style w:type="table" w:styleId="TableGrid">
    <w:name w:val="Table Grid"/>
    <w:basedOn w:val="TableNormal"/>
    <w:uiPriority w:val="59"/>
    <w:rsid w:val="00A27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1">
    <w:name w:val="Įprastasis (tinklapis)1"/>
    <w:basedOn w:val="Normal"/>
    <w:uiPriority w:val="99"/>
    <w:unhideWhenUsed/>
    <w:rsid w:val="00A2745B"/>
    <w:pPr>
      <w:spacing w:before="100" w:beforeAutospacing="1" w:after="100" w:afterAutospacing="1"/>
    </w:pPr>
    <w:rPr>
      <w:sz w:val="24"/>
      <w:szCs w:val="24"/>
      <w:lang w:val="lt-LT"/>
    </w:rPr>
  </w:style>
  <w:style w:type="character" w:styleId="Strong">
    <w:name w:val="Strong"/>
    <w:uiPriority w:val="22"/>
    <w:qFormat/>
    <w:rsid w:val="00834865"/>
    <w:rPr>
      <w:b/>
      <w:bCs/>
    </w:rPr>
  </w:style>
  <w:style w:type="paragraph" w:customStyle="1" w:styleId="norm2">
    <w:name w:val="norm2"/>
    <w:basedOn w:val="Normal"/>
    <w:rsid w:val="00834865"/>
    <w:pPr>
      <w:spacing w:before="120" w:line="312" w:lineRule="atLeast"/>
      <w:jc w:val="both"/>
    </w:pPr>
    <w:rPr>
      <w:sz w:val="24"/>
      <w:szCs w:val="24"/>
      <w:lang w:val="lt-LT"/>
    </w:rPr>
  </w:style>
  <w:style w:type="paragraph" w:styleId="NormalWeb">
    <w:name w:val="Normal (Web)"/>
    <w:basedOn w:val="Normal"/>
    <w:uiPriority w:val="99"/>
    <w:semiHidden/>
    <w:unhideWhenUsed/>
    <w:rsid w:val="00414850"/>
    <w:pPr>
      <w:spacing w:before="100" w:beforeAutospacing="1" w:after="100" w:afterAutospacing="1"/>
    </w:pPr>
    <w:rPr>
      <w:sz w:val="24"/>
      <w:szCs w:val="24"/>
      <w:lang w:val="lt-LT"/>
    </w:rPr>
  </w:style>
  <w:style w:type="character" w:customStyle="1" w:styleId="CharStyle15">
    <w:name w:val="Char Style 15"/>
    <w:basedOn w:val="DefaultParagraphFont"/>
    <w:link w:val="Style2"/>
    <w:rsid w:val="0003026C"/>
    <w:rPr>
      <w:shd w:val="clear" w:color="auto" w:fill="FFFFFF"/>
    </w:rPr>
  </w:style>
  <w:style w:type="paragraph" w:customStyle="1" w:styleId="Style2">
    <w:name w:val="Style 2"/>
    <w:basedOn w:val="Normal"/>
    <w:link w:val="CharStyle15"/>
    <w:rsid w:val="0003026C"/>
    <w:pPr>
      <w:widowControl w:val="0"/>
      <w:shd w:val="clear" w:color="auto" w:fill="FFFFFF"/>
      <w:spacing w:before="440" w:after="580" w:line="244" w:lineRule="exact"/>
      <w:jc w:val="both"/>
    </w:pPr>
    <w:rPr>
      <w:rFonts w:asciiTheme="minorHAnsi" w:eastAsiaTheme="minorHAnsi" w:hAnsiTheme="minorHAnsi" w:cstheme="minorBidi"/>
      <w:sz w:val="22"/>
      <w:szCs w:val="22"/>
      <w:lang w:val="lt-LT" w:eastAsia="en-US"/>
    </w:rPr>
  </w:style>
  <w:style w:type="paragraph" w:customStyle="1" w:styleId="Default">
    <w:name w:val="Default"/>
    <w:rsid w:val="007F0F9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BD18FC"/>
    <w:rPr>
      <w:sz w:val="16"/>
      <w:szCs w:val="16"/>
    </w:rPr>
  </w:style>
  <w:style w:type="paragraph" w:styleId="CommentText">
    <w:name w:val="annotation text"/>
    <w:basedOn w:val="Normal"/>
    <w:link w:val="CommentTextChar"/>
    <w:uiPriority w:val="99"/>
    <w:semiHidden/>
    <w:unhideWhenUsed/>
    <w:rsid w:val="00BD18FC"/>
  </w:style>
  <w:style w:type="character" w:customStyle="1" w:styleId="CommentTextChar">
    <w:name w:val="Comment Text Char"/>
    <w:basedOn w:val="DefaultParagraphFont"/>
    <w:link w:val="CommentText"/>
    <w:uiPriority w:val="99"/>
    <w:semiHidden/>
    <w:rsid w:val="00BD18FC"/>
    <w:rPr>
      <w:rFonts w:ascii="Times New Roman" w:eastAsia="Times New Roman" w:hAnsi="Times New Roman" w:cs="Times New Roman"/>
      <w:sz w:val="20"/>
      <w:szCs w:val="20"/>
      <w:lang w:val="en-GB" w:eastAsia="lt-LT"/>
    </w:rPr>
  </w:style>
  <w:style w:type="paragraph" w:styleId="BalloonText">
    <w:name w:val="Balloon Text"/>
    <w:basedOn w:val="Normal"/>
    <w:link w:val="BalloonTextChar"/>
    <w:uiPriority w:val="99"/>
    <w:semiHidden/>
    <w:unhideWhenUsed/>
    <w:rsid w:val="00BD18FC"/>
    <w:rPr>
      <w:rFonts w:ascii="Tahoma" w:hAnsi="Tahoma" w:cs="Tahoma"/>
      <w:sz w:val="16"/>
      <w:szCs w:val="16"/>
    </w:rPr>
  </w:style>
  <w:style w:type="character" w:customStyle="1" w:styleId="BalloonTextChar">
    <w:name w:val="Balloon Text Char"/>
    <w:basedOn w:val="DefaultParagraphFont"/>
    <w:link w:val="BalloonText"/>
    <w:uiPriority w:val="99"/>
    <w:semiHidden/>
    <w:rsid w:val="00BD18FC"/>
    <w:rPr>
      <w:rFonts w:ascii="Tahoma" w:eastAsia="Times New Roman" w:hAnsi="Tahoma" w:cs="Tahoma"/>
      <w:sz w:val="16"/>
      <w:szCs w:val="16"/>
      <w:lang w:val="en-GB" w:eastAsia="lt-LT"/>
    </w:rPr>
  </w:style>
  <w:style w:type="paragraph" w:styleId="CommentSubject">
    <w:name w:val="annotation subject"/>
    <w:basedOn w:val="CommentText"/>
    <w:next w:val="CommentText"/>
    <w:link w:val="CommentSubjectChar"/>
    <w:uiPriority w:val="99"/>
    <w:semiHidden/>
    <w:unhideWhenUsed/>
    <w:rsid w:val="0051212C"/>
    <w:rPr>
      <w:b/>
      <w:bCs/>
    </w:rPr>
  </w:style>
  <w:style w:type="character" w:customStyle="1" w:styleId="CommentSubjectChar">
    <w:name w:val="Comment Subject Char"/>
    <w:basedOn w:val="CommentTextChar"/>
    <w:link w:val="CommentSubject"/>
    <w:uiPriority w:val="99"/>
    <w:semiHidden/>
    <w:rsid w:val="0051212C"/>
    <w:rPr>
      <w:rFonts w:ascii="Times New Roman" w:eastAsia="Times New Roman" w:hAnsi="Times New Roman" w:cs="Times New Roman"/>
      <w:b/>
      <w:bCs/>
      <w:sz w:val="20"/>
      <w:szCs w:val="20"/>
      <w:lang w:val="en-GB" w:eastAsia="lt-LT"/>
    </w:rPr>
  </w:style>
  <w:style w:type="character" w:customStyle="1" w:styleId="CharStyle8">
    <w:name w:val="Char Style 8"/>
    <w:basedOn w:val="DefaultParagraphFont"/>
    <w:locked/>
    <w:rsid w:val="00D67551"/>
    <w:rPr>
      <w:shd w:val="clear" w:color="auto" w:fill="FFFFFF"/>
    </w:rPr>
  </w:style>
  <w:style w:type="character" w:styleId="FootnoteReference">
    <w:name w:val="footnote reference"/>
    <w:basedOn w:val="DefaultParagraphFont"/>
    <w:uiPriority w:val="99"/>
    <w:semiHidden/>
    <w:unhideWhenUsed/>
    <w:rsid w:val="00351D6A"/>
    <w:rPr>
      <w:vertAlign w:val="superscript"/>
    </w:rPr>
  </w:style>
  <w:style w:type="character" w:styleId="Hyperlink">
    <w:name w:val="Hyperlink"/>
    <w:rsid w:val="00351D6A"/>
    <w:rPr>
      <w:color w:val="0000FF"/>
      <w:u w:val="single"/>
    </w:rPr>
  </w:style>
  <w:style w:type="paragraph" w:styleId="FootnoteText">
    <w:name w:val="footnote text"/>
    <w:basedOn w:val="Normal"/>
    <w:link w:val="FootnoteTextChar"/>
    <w:uiPriority w:val="99"/>
    <w:unhideWhenUsed/>
    <w:rsid w:val="00351D6A"/>
    <w:rPr>
      <w:lang w:eastAsia="en-US"/>
    </w:rPr>
  </w:style>
  <w:style w:type="character" w:customStyle="1" w:styleId="FootnoteTextChar">
    <w:name w:val="Footnote Text Char"/>
    <w:basedOn w:val="DefaultParagraphFont"/>
    <w:link w:val="FootnoteText"/>
    <w:uiPriority w:val="99"/>
    <w:qFormat/>
    <w:rsid w:val="00351D6A"/>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semiHidden/>
    <w:unhideWhenUsed/>
    <w:rsid w:val="00746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425210">
      <w:bodyDiv w:val="1"/>
      <w:marLeft w:val="0"/>
      <w:marRight w:val="0"/>
      <w:marTop w:val="0"/>
      <w:marBottom w:val="0"/>
      <w:divBdr>
        <w:top w:val="none" w:sz="0" w:space="0" w:color="auto"/>
        <w:left w:val="none" w:sz="0" w:space="0" w:color="auto"/>
        <w:bottom w:val="none" w:sz="0" w:space="0" w:color="auto"/>
        <w:right w:val="none" w:sz="0" w:space="0" w:color="auto"/>
      </w:divBdr>
      <w:divsChild>
        <w:div w:id="1800680095">
          <w:marLeft w:val="0"/>
          <w:marRight w:val="0"/>
          <w:marTop w:val="0"/>
          <w:marBottom w:val="0"/>
          <w:divBdr>
            <w:top w:val="none" w:sz="0" w:space="0" w:color="auto"/>
            <w:left w:val="none" w:sz="0" w:space="0" w:color="auto"/>
            <w:bottom w:val="none" w:sz="0" w:space="0" w:color="auto"/>
            <w:right w:val="none" w:sz="0" w:space="0" w:color="auto"/>
          </w:divBdr>
          <w:divsChild>
            <w:div w:id="9362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5580">
      <w:bodyDiv w:val="1"/>
      <w:marLeft w:val="0"/>
      <w:marRight w:val="0"/>
      <w:marTop w:val="0"/>
      <w:marBottom w:val="0"/>
      <w:divBdr>
        <w:top w:val="none" w:sz="0" w:space="0" w:color="auto"/>
        <w:left w:val="none" w:sz="0" w:space="0" w:color="auto"/>
        <w:bottom w:val="none" w:sz="0" w:space="0" w:color="auto"/>
        <w:right w:val="none" w:sz="0" w:space="0" w:color="auto"/>
      </w:divBdr>
      <w:divsChild>
        <w:div w:id="643513039">
          <w:marLeft w:val="0"/>
          <w:marRight w:val="0"/>
          <w:marTop w:val="0"/>
          <w:marBottom w:val="0"/>
          <w:divBdr>
            <w:top w:val="none" w:sz="0" w:space="0" w:color="auto"/>
            <w:left w:val="none" w:sz="0" w:space="0" w:color="auto"/>
            <w:bottom w:val="none" w:sz="0" w:space="0" w:color="auto"/>
            <w:right w:val="none" w:sz="0" w:space="0" w:color="auto"/>
          </w:divBdr>
        </w:div>
        <w:div w:id="866066946">
          <w:marLeft w:val="0"/>
          <w:marRight w:val="0"/>
          <w:marTop w:val="0"/>
          <w:marBottom w:val="0"/>
          <w:divBdr>
            <w:top w:val="none" w:sz="0" w:space="0" w:color="auto"/>
            <w:left w:val="none" w:sz="0" w:space="0" w:color="auto"/>
            <w:bottom w:val="none" w:sz="0" w:space="0" w:color="auto"/>
            <w:right w:val="none" w:sz="0" w:space="0" w:color="auto"/>
          </w:divBdr>
        </w:div>
        <w:div w:id="974944510">
          <w:marLeft w:val="0"/>
          <w:marRight w:val="0"/>
          <w:marTop w:val="0"/>
          <w:marBottom w:val="0"/>
          <w:divBdr>
            <w:top w:val="none" w:sz="0" w:space="0" w:color="auto"/>
            <w:left w:val="none" w:sz="0" w:space="0" w:color="auto"/>
            <w:bottom w:val="none" w:sz="0" w:space="0" w:color="auto"/>
            <w:right w:val="none" w:sz="0" w:space="0" w:color="auto"/>
          </w:divBdr>
        </w:div>
      </w:divsChild>
    </w:div>
    <w:div w:id="1806005519">
      <w:bodyDiv w:val="1"/>
      <w:marLeft w:val="0"/>
      <w:marRight w:val="0"/>
      <w:marTop w:val="0"/>
      <w:marBottom w:val="0"/>
      <w:divBdr>
        <w:top w:val="none" w:sz="0" w:space="0" w:color="auto"/>
        <w:left w:val="none" w:sz="0" w:space="0" w:color="auto"/>
        <w:bottom w:val="none" w:sz="0" w:space="0" w:color="auto"/>
        <w:right w:val="none" w:sz="0" w:space="0" w:color="auto"/>
      </w:divBdr>
      <w:divsChild>
        <w:div w:id="983779567">
          <w:marLeft w:val="0"/>
          <w:marRight w:val="0"/>
          <w:marTop w:val="0"/>
          <w:marBottom w:val="0"/>
          <w:divBdr>
            <w:top w:val="none" w:sz="0" w:space="0" w:color="auto"/>
            <w:left w:val="none" w:sz="0" w:space="0" w:color="auto"/>
            <w:bottom w:val="none" w:sz="0" w:space="0" w:color="auto"/>
            <w:right w:val="none" w:sz="0" w:space="0" w:color="auto"/>
          </w:divBdr>
          <w:divsChild>
            <w:div w:id="45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footnotes.xml.rels><?xml version="1.0" encoding="UTF-8" standalone="no"?>
<Relationships xmlns="http://schemas.openxmlformats.org/package/2006/relationships">
<Relationship Id="rId1" Target="https://eur-lex.europa.eu/legal-content/LT/TXT/?uri=CELEX:32019R1583&amp;qid=1584346373235" TargetMode="External" Type="http://schemas.openxmlformats.org/officeDocument/2006/relationships/hyperlink"/>
<Relationship Id="rId2" Target="https://eur-lex.europa.eu/legal-content/LT/TXT/?uri=CELEX:32019R1583&amp;qid=1584346373235"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E231-2807-40CE-ADDC-A870D6C3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5404</Words>
  <Characters>3081</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2021-05-11T16:21:00Z</dcterms:created>
  <dc:creator>Indrė Meironaitė-Gudaitienė</dc:creator>
  <cp:lastModifiedBy>Indrė Meironaitė-Gudaitienė</cp:lastModifiedBy>
  <dcterms:modified xsi:type="dcterms:W3CDTF">2021-05-14T06:26:00Z</dcterms:modified>
  <cp:revision>9</cp:revision>
</cp:coreProperties>
</file>