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B87A8" w14:textId="383556C7" w:rsidR="00111D3A" w:rsidRDefault="00CE1DF4" w:rsidP="00DF5A96">
      <w:pPr>
        <w:jc w:val="center"/>
        <w:rPr>
          <w:b/>
          <w:bCs/>
          <w:caps/>
          <w:szCs w:val="24"/>
        </w:rPr>
      </w:pPr>
      <w:bookmarkStart w:id="0" w:name="OLE_LINK1"/>
      <w:bookmarkStart w:id="1" w:name="OLE_LINK2"/>
      <w:r w:rsidRPr="001E48B0">
        <w:rPr>
          <w:b/>
          <w:bCs/>
          <w:caps/>
          <w:szCs w:val="24"/>
        </w:rPr>
        <w:t>Lietuvos Respublikos Vyriausybės nutarimo „Dėl Ypatingos valstybinės svarbos elektros energetikos sistemos sinchronizacijos projekto „330 kV elektros perdavimo linijos Darbėnai–Bitėnai statyba“ inžinerinės infrastruktūros vystymo plano patvirtinimo“ projekt</w:t>
      </w:r>
      <w:r w:rsidR="001E48B0">
        <w:rPr>
          <w:b/>
          <w:bCs/>
          <w:caps/>
          <w:szCs w:val="24"/>
        </w:rPr>
        <w:t>O IR</w:t>
      </w:r>
    </w:p>
    <w:p w14:paraId="356AC016" w14:textId="50F670FD" w:rsidR="00CE1DF4" w:rsidRPr="001E48B0" w:rsidRDefault="00A20A03" w:rsidP="00DF5A96">
      <w:pPr>
        <w:jc w:val="center"/>
        <w:rPr>
          <w:b/>
          <w:bCs/>
          <w:caps/>
          <w:szCs w:val="24"/>
        </w:rPr>
      </w:pPr>
      <w:r w:rsidRPr="001E48B0">
        <w:rPr>
          <w:b/>
          <w:bCs/>
          <w:caps/>
          <w:szCs w:val="24"/>
        </w:rPr>
        <w:t>Lietuvos Respublikos Vyriausybės nutarimo „Dėl Ypatingos valstybinės svarbos elektros energetikos sistemos sinchronizacijos projekto „330 kV elektros perdavimo linijos Kruonio HAE–Bitėnai statyba“ inžinerinės infrastruktūros vystymo plano patvirtinimo“ projekt</w:t>
      </w:r>
      <w:r w:rsidR="00111D3A">
        <w:rPr>
          <w:b/>
          <w:bCs/>
          <w:caps/>
          <w:szCs w:val="24"/>
        </w:rPr>
        <w:t>O</w:t>
      </w:r>
      <w:r w:rsidR="00957A72">
        <w:rPr>
          <w:b/>
          <w:bCs/>
          <w:caps/>
          <w:szCs w:val="24"/>
        </w:rPr>
        <w:t xml:space="preserve"> (toliau – Projektai)</w:t>
      </w:r>
    </w:p>
    <w:p w14:paraId="578DD639" w14:textId="07B71D1C" w:rsidR="00EF7B24" w:rsidRPr="007D7406" w:rsidRDefault="000A2418" w:rsidP="00EF7B24">
      <w:pPr>
        <w:jc w:val="center"/>
        <w:rPr>
          <w:b/>
          <w:szCs w:val="24"/>
        </w:rPr>
      </w:pPr>
      <w:r w:rsidRPr="00111D3A">
        <w:rPr>
          <w:b/>
        </w:rPr>
        <w:t xml:space="preserve"> </w:t>
      </w:r>
      <w:r w:rsidR="00EF7B24" w:rsidRPr="007D7406">
        <w:rPr>
          <w:b/>
          <w:szCs w:val="24"/>
        </w:rPr>
        <w:t>DERINIMO PAŽYMA</w:t>
      </w:r>
      <w:bookmarkEnd w:id="0"/>
      <w:bookmarkEnd w:id="1"/>
    </w:p>
    <w:p w14:paraId="077DC5DC" w14:textId="77777777" w:rsidR="0051166D" w:rsidRPr="007D7406" w:rsidRDefault="0051166D"/>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6647"/>
        <w:gridCol w:w="6365"/>
      </w:tblGrid>
      <w:tr w:rsidR="00EF7B24" w:rsidRPr="007D7406" w14:paraId="0FD5BA17" w14:textId="77777777" w:rsidTr="007E58B5">
        <w:trPr>
          <w:jc w:val="center"/>
        </w:trPr>
        <w:tc>
          <w:tcPr>
            <w:tcW w:w="1555" w:type="dxa"/>
            <w:shd w:val="clear" w:color="auto" w:fill="auto"/>
          </w:tcPr>
          <w:p w14:paraId="7F1C4F93" w14:textId="77777777" w:rsidR="00EF7B24" w:rsidRPr="007D7406" w:rsidRDefault="00EF7B24" w:rsidP="00EF7B24">
            <w:pPr>
              <w:jc w:val="center"/>
            </w:pPr>
            <w:r w:rsidRPr="007D7406">
              <w:rPr>
                <w:b/>
                <w:bCs/>
                <w:szCs w:val="24"/>
              </w:rPr>
              <w:t>Institucijos arba ūkio subjekto pavadinimas, rašto data, numeris</w:t>
            </w:r>
          </w:p>
        </w:tc>
        <w:tc>
          <w:tcPr>
            <w:tcW w:w="6662" w:type="dxa"/>
            <w:shd w:val="clear" w:color="auto" w:fill="auto"/>
          </w:tcPr>
          <w:p w14:paraId="0BD8105E" w14:textId="77777777" w:rsidR="00EF7B24" w:rsidRPr="007D7406" w:rsidRDefault="00EF7B24" w:rsidP="00EF7B24">
            <w:pPr>
              <w:jc w:val="center"/>
              <w:rPr>
                <w:b/>
                <w:bCs/>
                <w:szCs w:val="24"/>
              </w:rPr>
            </w:pPr>
          </w:p>
          <w:p w14:paraId="7C25C59E" w14:textId="24A5E893" w:rsidR="00EF7B24" w:rsidRPr="007D7406" w:rsidRDefault="00EF7B24" w:rsidP="00EF7B24">
            <w:pPr>
              <w:jc w:val="center"/>
            </w:pPr>
            <w:r w:rsidRPr="007D7406">
              <w:rPr>
                <w:b/>
                <w:bCs/>
                <w:szCs w:val="24"/>
              </w:rPr>
              <w:t>Pastabos ir pasiūlymai</w:t>
            </w:r>
          </w:p>
        </w:tc>
        <w:tc>
          <w:tcPr>
            <w:tcW w:w="6379" w:type="dxa"/>
            <w:shd w:val="clear" w:color="auto" w:fill="auto"/>
          </w:tcPr>
          <w:p w14:paraId="23141967" w14:textId="77777777" w:rsidR="00EF7B24" w:rsidRPr="007D7406" w:rsidRDefault="00EF7B24" w:rsidP="00EF7B24">
            <w:pPr>
              <w:jc w:val="center"/>
              <w:rPr>
                <w:b/>
                <w:bCs/>
                <w:szCs w:val="24"/>
              </w:rPr>
            </w:pPr>
          </w:p>
          <w:p w14:paraId="501B2B1E" w14:textId="262636E1" w:rsidR="00EF7B24" w:rsidRPr="007D7406" w:rsidRDefault="00EF7B24" w:rsidP="00EF7B24">
            <w:pPr>
              <w:jc w:val="center"/>
              <w:rPr>
                <w:szCs w:val="24"/>
              </w:rPr>
            </w:pPr>
            <w:r w:rsidRPr="007D7406">
              <w:rPr>
                <w:b/>
                <w:bCs/>
                <w:szCs w:val="24"/>
              </w:rPr>
              <w:t>Argumentai (neatsižvelgta, atsižvelgta iš dalies)</w:t>
            </w:r>
          </w:p>
          <w:p w14:paraId="3D520D51" w14:textId="77777777" w:rsidR="00EF7B24" w:rsidRPr="007D7406" w:rsidRDefault="00EF7B24" w:rsidP="00EF7B24">
            <w:pPr>
              <w:jc w:val="center"/>
            </w:pPr>
          </w:p>
        </w:tc>
      </w:tr>
      <w:tr w:rsidR="0051166D" w:rsidRPr="007D7406" w14:paraId="423F5CC4" w14:textId="77777777" w:rsidTr="007E58B5">
        <w:trPr>
          <w:jc w:val="center"/>
        </w:trPr>
        <w:tc>
          <w:tcPr>
            <w:tcW w:w="1555" w:type="dxa"/>
            <w:shd w:val="clear" w:color="auto" w:fill="auto"/>
          </w:tcPr>
          <w:p w14:paraId="1550B9C8" w14:textId="64E5E6AD" w:rsidR="0051166D" w:rsidRPr="0061795B" w:rsidRDefault="004F4AC5" w:rsidP="00261A30">
            <w:pPr>
              <w:jc w:val="both"/>
              <w:rPr>
                <w:szCs w:val="24"/>
              </w:rPr>
            </w:pPr>
            <w:r w:rsidRPr="0061795B">
              <w:rPr>
                <w:szCs w:val="24"/>
              </w:rPr>
              <w:t xml:space="preserve">Nacionalinės žemės tarnybos prie Žemės ūkio ministerijos </w:t>
            </w:r>
            <w:r w:rsidRPr="0061795B">
              <w:rPr>
                <w:szCs w:val="24"/>
                <w:lang w:val="en-US"/>
              </w:rPr>
              <w:t>2021</w:t>
            </w:r>
            <w:r w:rsidR="0061795B">
              <w:rPr>
                <w:szCs w:val="24"/>
                <w:lang w:val="en-US"/>
              </w:rPr>
              <w:t xml:space="preserve"> m. </w:t>
            </w:r>
            <w:r w:rsidR="0061795B" w:rsidRPr="0061795B">
              <w:rPr>
                <w:szCs w:val="24"/>
              </w:rPr>
              <w:t>balandžio</w:t>
            </w:r>
            <w:r w:rsidR="0061795B">
              <w:rPr>
                <w:szCs w:val="24"/>
                <w:lang w:val="en-US"/>
              </w:rPr>
              <w:t xml:space="preserve"> </w:t>
            </w:r>
            <w:r w:rsidRPr="0061795B">
              <w:rPr>
                <w:szCs w:val="24"/>
                <w:lang w:val="en-US"/>
              </w:rPr>
              <w:t>26</w:t>
            </w:r>
            <w:r w:rsidRPr="0061795B">
              <w:rPr>
                <w:szCs w:val="24"/>
              </w:rPr>
              <w:t xml:space="preserve"> raštas Nr.</w:t>
            </w:r>
            <w:r w:rsidR="0044393E">
              <w:rPr>
                <w:szCs w:val="24"/>
              </w:rPr>
              <w:t> </w:t>
            </w:r>
            <w:r w:rsidRPr="0061795B">
              <w:rPr>
                <w:szCs w:val="24"/>
              </w:rPr>
              <w:t>1SD-746-(3.3 E.)</w:t>
            </w:r>
          </w:p>
        </w:tc>
        <w:tc>
          <w:tcPr>
            <w:tcW w:w="6662" w:type="dxa"/>
            <w:shd w:val="clear" w:color="auto" w:fill="auto"/>
          </w:tcPr>
          <w:p w14:paraId="2DFEE545" w14:textId="0406393B" w:rsidR="0051166D" w:rsidRPr="007D7406" w:rsidRDefault="00210FEC" w:rsidP="00916F35">
            <w:pPr>
              <w:jc w:val="both"/>
            </w:pPr>
            <w:r>
              <w:rPr>
                <w:lang w:val="en-US"/>
              </w:rPr>
              <w:t xml:space="preserve">1. </w:t>
            </w:r>
            <w:r w:rsidR="00AF1DBB" w:rsidRPr="00855688">
              <w:t xml:space="preserve">Siūlome apsvarstyti galimybę papildyti Projekto Nr. 1 ir Projekto Nr. 2 preambules, jose pateikiant nuorodą į </w:t>
            </w:r>
            <w:r w:rsidR="00AF1DBB" w:rsidRPr="00855688">
              <w:rPr>
                <w:rFonts w:eastAsia="PMingLiU"/>
              </w:rPr>
              <w:t xml:space="preserve">Nacionalinės energetinės nepriklausomybės strategijos, patvirtintos Lietuvos Respublikos Seimo </w:t>
            </w:r>
            <w:r w:rsidR="00AF1DBB" w:rsidRPr="00855688">
              <w:t>2012 m. birželio 26 d. nutarimu Nr. XI-2133 ,,</w:t>
            </w:r>
            <w:r w:rsidR="00AF1DBB" w:rsidRPr="00855688">
              <w:rPr>
                <w:bCs/>
              </w:rPr>
              <w:t>Dėl Nacionalinės energetinės nepriklausomybės strategijos patvirtinimo</w:t>
            </w:r>
            <w:r w:rsidR="00AF1DBB" w:rsidRPr="00855688">
              <w:t>“, 1.2 ir 1.2.1 papunkčius, kuriuose reglamentuojama, kad: šalies energetinis patikimumas ir saugumas bus užtikrinamas Lietuvos elektros energetikos sistemą sinchronizavus su kontinentinės Europos elektros energetikos sistema; tai strateginis šalies saugumo prioritetas, todėl Lietuvos elektros energetikos sistemos sinchronizacija su kontinentinės Europos elektros energetikos sistema turi būti įgyvendinta iki 2025 metų.</w:t>
            </w:r>
          </w:p>
        </w:tc>
        <w:tc>
          <w:tcPr>
            <w:tcW w:w="6379" w:type="dxa"/>
            <w:shd w:val="clear" w:color="auto" w:fill="auto"/>
          </w:tcPr>
          <w:p w14:paraId="1E6784B5" w14:textId="21440047" w:rsidR="007D7406" w:rsidRPr="00B87718" w:rsidRDefault="00643D41" w:rsidP="001F4AD5">
            <w:pPr>
              <w:pStyle w:val="NoSpacing"/>
              <w:rPr>
                <w:b/>
                <w:bCs/>
                <w:szCs w:val="24"/>
              </w:rPr>
            </w:pPr>
            <w:r>
              <w:rPr>
                <w:b/>
                <w:bCs/>
                <w:szCs w:val="24"/>
              </w:rPr>
              <w:t>Nea</w:t>
            </w:r>
            <w:r w:rsidR="00FA5947" w:rsidRPr="00B87718">
              <w:rPr>
                <w:b/>
                <w:bCs/>
                <w:szCs w:val="24"/>
              </w:rPr>
              <w:t>tsižvelgta</w:t>
            </w:r>
          </w:p>
          <w:p w14:paraId="03E24619" w14:textId="2D4E5765" w:rsidR="00B80C41" w:rsidRDefault="008E2C1F" w:rsidP="001F4AD5">
            <w:pPr>
              <w:pStyle w:val="NoSpacing"/>
              <w:rPr>
                <w:color w:val="000000"/>
              </w:rPr>
            </w:pPr>
            <w:r>
              <w:rPr>
                <w:color w:val="000000"/>
              </w:rPr>
              <w:t>P</w:t>
            </w:r>
            <w:r w:rsidR="006447F9">
              <w:rPr>
                <w:color w:val="000000"/>
              </w:rPr>
              <w:t xml:space="preserve">rojektais tvirtinami </w:t>
            </w:r>
            <w:r w:rsidR="00B80C41">
              <w:rPr>
                <w:color w:val="000000"/>
              </w:rPr>
              <w:t>elektros energetikos sistemos sinchronizacijos projektų vystymo planai.</w:t>
            </w:r>
          </w:p>
          <w:p w14:paraId="047BAD16" w14:textId="10BA513B" w:rsidR="00DC115F" w:rsidRDefault="006447F9" w:rsidP="001F4AD5">
            <w:pPr>
              <w:pStyle w:val="NoSpacing"/>
              <w:rPr>
                <w:color w:val="000000"/>
              </w:rPr>
            </w:pPr>
            <w:r>
              <w:rPr>
                <w:color w:val="000000"/>
              </w:rPr>
              <w:t>Manome, kad</w:t>
            </w:r>
            <w:r w:rsidR="008E3D4A">
              <w:rPr>
                <w:color w:val="000000"/>
              </w:rPr>
              <w:t xml:space="preserve"> nuoroda į </w:t>
            </w:r>
            <w:r w:rsidR="008E3D4A" w:rsidRPr="00855688">
              <w:rPr>
                <w:rFonts w:eastAsia="PMingLiU"/>
              </w:rPr>
              <w:t>Nacionalinės energetinės nepriklausomybės strategij</w:t>
            </w:r>
            <w:r w:rsidR="008E3D4A">
              <w:rPr>
                <w:rFonts w:eastAsia="PMingLiU"/>
              </w:rPr>
              <w:t>ą</w:t>
            </w:r>
            <w:r>
              <w:rPr>
                <w:color w:val="000000"/>
              </w:rPr>
              <w:t xml:space="preserve"> </w:t>
            </w:r>
            <w:r w:rsidR="00E82EBC">
              <w:rPr>
                <w:color w:val="000000"/>
              </w:rPr>
              <w:t>būtų</w:t>
            </w:r>
            <w:r w:rsidR="000707EB">
              <w:rPr>
                <w:color w:val="000000"/>
              </w:rPr>
              <w:t xml:space="preserve"> neaktuali</w:t>
            </w:r>
            <w:r w:rsidR="00215010">
              <w:rPr>
                <w:color w:val="000000"/>
              </w:rPr>
              <w:t xml:space="preserve"> ir</w:t>
            </w:r>
            <w:r w:rsidR="000707EB">
              <w:rPr>
                <w:color w:val="000000"/>
              </w:rPr>
              <w:t xml:space="preserve"> perteklin</w:t>
            </w:r>
            <w:r w:rsidR="004F0A4B">
              <w:rPr>
                <w:color w:val="000000"/>
              </w:rPr>
              <w:t xml:space="preserve">ė, </w:t>
            </w:r>
            <w:r w:rsidR="00957A72">
              <w:rPr>
                <w:color w:val="000000"/>
              </w:rPr>
              <w:t xml:space="preserve">atsižvelgiant </w:t>
            </w:r>
            <w:r w:rsidR="00AD151C">
              <w:rPr>
                <w:color w:val="000000"/>
              </w:rPr>
              <w:t xml:space="preserve">į </w:t>
            </w:r>
            <w:r w:rsidR="004F0A4B">
              <w:rPr>
                <w:color w:val="000000"/>
              </w:rPr>
              <w:t>tai, kad ji</w:t>
            </w:r>
            <w:r w:rsidR="000707EB">
              <w:rPr>
                <w:color w:val="000000"/>
              </w:rPr>
              <w:t xml:space="preserve"> </w:t>
            </w:r>
            <w:r w:rsidR="00957A72">
              <w:rPr>
                <w:color w:val="000000"/>
              </w:rPr>
              <w:t xml:space="preserve">nereglamentuoja </w:t>
            </w:r>
            <w:r w:rsidR="000707EB">
              <w:rPr>
                <w:color w:val="000000"/>
              </w:rPr>
              <w:t>teritorijų planavimo dokumentų tvirtinimo</w:t>
            </w:r>
            <w:r w:rsidR="00DB159F">
              <w:rPr>
                <w:color w:val="000000"/>
              </w:rPr>
              <w:t>.</w:t>
            </w:r>
          </w:p>
          <w:p w14:paraId="0AA6F631" w14:textId="5B4C6F89" w:rsidR="00FA5947" w:rsidRPr="007D7406" w:rsidRDefault="00FA5947" w:rsidP="001F4AD5">
            <w:pPr>
              <w:pStyle w:val="NoSpacing"/>
              <w:rPr>
                <w:szCs w:val="24"/>
              </w:rPr>
            </w:pPr>
          </w:p>
        </w:tc>
      </w:tr>
      <w:tr w:rsidR="00031F49" w:rsidRPr="007D7406" w14:paraId="04E65196" w14:textId="77777777" w:rsidTr="007E58B5">
        <w:trPr>
          <w:jc w:val="center"/>
        </w:trPr>
        <w:tc>
          <w:tcPr>
            <w:tcW w:w="1555" w:type="dxa"/>
            <w:shd w:val="clear" w:color="auto" w:fill="auto"/>
          </w:tcPr>
          <w:p w14:paraId="014397F9" w14:textId="77777777" w:rsidR="00031F49" w:rsidRPr="0061795B" w:rsidRDefault="00031F49" w:rsidP="00261A30">
            <w:pPr>
              <w:jc w:val="both"/>
              <w:rPr>
                <w:szCs w:val="24"/>
              </w:rPr>
            </w:pPr>
          </w:p>
        </w:tc>
        <w:tc>
          <w:tcPr>
            <w:tcW w:w="6662" w:type="dxa"/>
            <w:shd w:val="clear" w:color="auto" w:fill="auto"/>
          </w:tcPr>
          <w:p w14:paraId="1AF3C1CD" w14:textId="1EBFCDD6" w:rsidR="00C77D3D" w:rsidRPr="00210FEC" w:rsidRDefault="00C77D3D" w:rsidP="00C77D3D">
            <w:pPr>
              <w:jc w:val="both"/>
              <w:rPr>
                <w:szCs w:val="24"/>
              </w:rPr>
            </w:pPr>
            <w:r w:rsidRPr="00210FEC">
              <w:rPr>
                <w:szCs w:val="24"/>
              </w:rPr>
              <w:t>2.</w:t>
            </w:r>
            <w:r w:rsidR="00372570">
              <w:rPr>
                <w:szCs w:val="24"/>
              </w:rPr>
              <w:t xml:space="preserve"> </w:t>
            </w:r>
            <w:r w:rsidRPr="00210FEC">
              <w:rPr>
                <w:szCs w:val="24"/>
              </w:rPr>
              <w:t>Projekto Nr. 1 ir Projekto Nr. 2 prieduose siūlome atlikti šiuos redakcinio pobūdžio taisymus:</w:t>
            </w:r>
          </w:p>
          <w:p w14:paraId="145EA786" w14:textId="333D1984" w:rsidR="00C77D3D" w:rsidRPr="00210FEC" w:rsidRDefault="00C77D3D" w:rsidP="00C77D3D">
            <w:pPr>
              <w:jc w:val="both"/>
              <w:rPr>
                <w:szCs w:val="24"/>
              </w:rPr>
            </w:pPr>
            <w:r w:rsidRPr="00210FEC">
              <w:rPr>
                <w:szCs w:val="24"/>
              </w:rPr>
              <w:t>2.1.</w:t>
            </w:r>
            <w:r w:rsidR="00372570">
              <w:rPr>
                <w:szCs w:val="24"/>
              </w:rPr>
              <w:t xml:space="preserve"> </w:t>
            </w:r>
            <w:r w:rsidRPr="00210FEC">
              <w:rPr>
                <w:szCs w:val="24"/>
              </w:rPr>
              <w:t xml:space="preserve">Lietuvos Respublikos civilinio kodekso 4.262 straipsnyje reglamentuojama, kad įrašyti į viešą registrą duomenys laikomi teisingais ir išsamiais, kol nenuginčijami įstatymų nustatyta tvarka. Vadovaudamiesi aptarta nuostata, Projekto Nr. 1 ir Projekto Nr. 2 prieduose pateiktų lentelių penktojoje skiltyje siūlome įrašyti valstybinės žemės sklypų plotus, nurodytus minėtų žemės sklypų </w:t>
            </w:r>
            <w:r w:rsidRPr="00210FEC">
              <w:rPr>
                <w:szCs w:val="24"/>
              </w:rPr>
              <w:lastRenderedPageBreak/>
              <w:t xml:space="preserve">Nekilnojamojo turto registro duomenų bazės išrašuose, šių plotų neapvalinant. </w:t>
            </w:r>
          </w:p>
          <w:p w14:paraId="1CEC9314" w14:textId="3779222D" w:rsidR="00C77D3D" w:rsidRPr="00210FEC" w:rsidRDefault="00C77D3D" w:rsidP="00C77D3D">
            <w:pPr>
              <w:jc w:val="both"/>
              <w:rPr>
                <w:szCs w:val="24"/>
              </w:rPr>
            </w:pPr>
            <w:r w:rsidRPr="00210FEC">
              <w:rPr>
                <w:szCs w:val="24"/>
              </w:rPr>
              <w:t>Atkreipiame dėmesį, kad remiantis Nekilnojamojo turto registro duomenimis Projekto Nr. 1 priede (Šilutės rajono savivaldybės sprendiniai) pateiktos lentelės ,,Žemaičių Naumiesčio“ 132 punkte, priede (Klaipėdos rajono savivaldybės sprendiniai) pateiktos lentelės ,,Veiviržėnų seniūnija“ 88 punkte, priede (Kretingos rajono savivaldybės sprendiniai) pateiktos lentelės ,,Darbėnų seniūnija“ 46 punkte siūlomi įrašyti žemės sklypai bendrosios dalinės nuosavybės teise priklauso Lietuvos Respublikai ir privatiems asmenims, todėl atitinkamai siūlome tikslinti minėtų punktų ketvirtąją skiltį.</w:t>
            </w:r>
          </w:p>
          <w:p w14:paraId="3AD320A3" w14:textId="77777777" w:rsidR="00C77D3D" w:rsidRPr="00210FEC" w:rsidRDefault="00C77D3D" w:rsidP="00C77D3D">
            <w:pPr>
              <w:jc w:val="both"/>
              <w:rPr>
                <w:szCs w:val="24"/>
              </w:rPr>
            </w:pPr>
            <w:r w:rsidRPr="00210FEC">
              <w:rPr>
                <w:szCs w:val="24"/>
              </w:rPr>
              <w:t>Siūlome užtikrinti, kad:</w:t>
            </w:r>
          </w:p>
          <w:p w14:paraId="5097D3CC" w14:textId="078643FB" w:rsidR="00C77D3D" w:rsidRPr="00210FEC" w:rsidRDefault="00C77D3D" w:rsidP="00C77D3D">
            <w:pPr>
              <w:jc w:val="both"/>
              <w:rPr>
                <w:szCs w:val="24"/>
              </w:rPr>
            </w:pPr>
            <w:r w:rsidRPr="00210FEC">
              <w:rPr>
                <w:szCs w:val="24"/>
              </w:rPr>
              <w:t xml:space="preserve">2.1.1. Projekto Nr. 1 priede (Pagėgių savivaldybės sprendiniai) pateiktos lentelės ,,Lumpėnų seniūnija“ 12 punkto penktojoje skiltyje, priedo (Šilutės rajono savivaldybės sprendiniai) pateiktos lentelės ,,Žemaičių Naumiesčio“ 127 punkto penktojoje skiltyje, priede (Kretingos rajono savivaldybės sprendiniai) pateiktos lentelės ,,Darbėnų seniūnija“ 43–45, 47–50, 52, 91, 122, 123  punktų penktojoje skiltyje, pateiktos lentelės ,,Kretingos seniūnija“ 82, 86–90 punktų penktojoje skiltyje ir pateiktos lentelės ,,Žalgirio seniūnija“ 71, 73–77 punktų penktojoje skiltyje būtų įrašytas valstybinės žemės sklypų plotas, nurodytas minėtų žemės sklypų Nekilnojamojo turto registro duomenų bazės išrašuose. </w:t>
            </w:r>
          </w:p>
          <w:p w14:paraId="6BA516FE" w14:textId="77777777" w:rsidR="00C77D3D" w:rsidRPr="00210FEC" w:rsidRDefault="00C77D3D" w:rsidP="00C77D3D">
            <w:pPr>
              <w:jc w:val="both"/>
              <w:rPr>
                <w:szCs w:val="24"/>
              </w:rPr>
            </w:pPr>
            <w:r w:rsidRPr="00210FEC">
              <w:rPr>
                <w:szCs w:val="24"/>
              </w:rPr>
              <w:t xml:space="preserve">2.1.2. Projekto Nr. 1 priede (Šilutės rajono savivaldybės sprendiniai) pateiktos lentelės ,,Katyčių seniūnija“ 9 punkto trečiojoje skiltyje būtų įrašyta valstybinės žemės pagrindinė žemės naudojimo paskirtis (žemės ūkio), nurodyta minėto žemės sklypo Nekilnojamojo turto registro duomenų bazės išraše. </w:t>
            </w:r>
          </w:p>
          <w:p w14:paraId="376FFEF7" w14:textId="77777777" w:rsidR="00C77D3D" w:rsidRPr="00210FEC" w:rsidRDefault="00C77D3D" w:rsidP="00C77D3D">
            <w:pPr>
              <w:jc w:val="both"/>
              <w:rPr>
                <w:szCs w:val="24"/>
              </w:rPr>
            </w:pPr>
            <w:r w:rsidRPr="00210FEC">
              <w:rPr>
                <w:szCs w:val="24"/>
              </w:rPr>
              <w:t xml:space="preserve">2.1.3. Projekto Nr. 1 prieduose pateiktų lentelių ketvirtojoje skiltyje būtų įrašyta minėtose lentelėse visų nurodomų žemės sklypų nuosavybė, remiantis Nekilnojamojo turto registro duomenimis (pavyzdžiui, Projekto Nr. 1 priede (Šilutės rajono savivaldybės sprendiniai) pateiktos lentelės ,,Švėkšnos seniūnija“ 10 ir 63 punktų ketvirtoji skiltis). </w:t>
            </w:r>
          </w:p>
          <w:p w14:paraId="1929D0D9" w14:textId="5E952AC3" w:rsidR="00031F49" w:rsidRPr="00210FEC" w:rsidRDefault="00C77D3D" w:rsidP="00C77D3D">
            <w:pPr>
              <w:jc w:val="both"/>
              <w:rPr>
                <w:szCs w:val="24"/>
              </w:rPr>
            </w:pPr>
            <w:r w:rsidRPr="00210FEC">
              <w:rPr>
                <w:szCs w:val="24"/>
              </w:rPr>
              <w:lastRenderedPageBreak/>
              <w:t>2.2.  Projekto Nr. 2 prieduose pateiktų lentelių trečiojoje skiltyje po žodžio ,,kita“, siūlome išbraukti perteklinį žodį ,,žemės“.</w:t>
            </w:r>
          </w:p>
        </w:tc>
        <w:tc>
          <w:tcPr>
            <w:tcW w:w="6379" w:type="dxa"/>
            <w:shd w:val="clear" w:color="auto" w:fill="auto"/>
          </w:tcPr>
          <w:p w14:paraId="1CC3F4A8" w14:textId="77777777" w:rsidR="00031F49" w:rsidRPr="00AE7E30" w:rsidRDefault="00095999" w:rsidP="001F4AD5">
            <w:pPr>
              <w:pStyle w:val="NoSpacing"/>
              <w:rPr>
                <w:b/>
                <w:bCs/>
                <w:szCs w:val="24"/>
              </w:rPr>
            </w:pPr>
            <w:r w:rsidRPr="00AE7E30">
              <w:rPr>
                <w:b/>
                <w:bCs/>
                <w:szCs w:val="24"/>
              </w:rPr>
              <w:lastRenderedPageBreak/>
              <w:t>Neatsižvelgta</w:t>
            </w:r>
          </w:p>
          <w:p w14:paraId="34E24AC3" w14:textId="29DF719C" w:rsidR="00A250F6" w:rsidRDefault="00DE22FE" w:rsidP="00DE22FE">
            <w:pPr>
              <w:jc w:val="both"/>
              <w:rPr>
                <w:szCs w:val="24"/>
              </w:rPr>
            </w:pPr>
            <w:r w:rsidRPr="00AE7E30">
              <w:rPr>
                <w:szCs w:val="24"/>
              </w:rPr>
              <w:t>Ypatingos valstybinės svarbos elektros energetikos sistemos sinchronizacijos projekto „330 kV elektros perdavimo linijos Darbėnai–Bitėnai statyba“ inžinerinės infrastruktūros vystymo plano ir Ypatingos valstybinės svarbos elektros energetikos sistemos sinchronizacijos projekto „330 kV elektros perdavimo linijos Kruonio HAE–Bitėnai statyba“ inžinerinės</w:t>
            </w:r>
            <w:r w:rsidR="00B31C75">
              <w:rPr>
                <w:szCs w:val="24"/>
              </w:rPr>
              <w:t xml:space="preserve"> </w:t>
            </w:r>
            <w:r w:rsidRPr="00AE7E30">
              <w:rPr>
                <w:szCs w:val="24"/>
              </w:rPr>
              <w:t>infrastruktūros vystymo plano rengimas</w:t>
            </w:r>
            <w:r w:rsidR="00957A72">
              <w:rPr>
                <w:szCs w:val="24"/>
              </w:rPr>
              <w:t xml:space="preserve"> ir</w:t>
            </w:r>
            <w:r w:rsidR="00B877F6">
              <w:rPr>
                <w:szCs w:val="24"/>
              </w:rPr>
              <w:t xml:space="preserve"> der</w:t>
            </w:r>
            <w:r w:rsidR="00843A4A">
              <w:rPr>
                <w:szCs w:val="24"/>
              </w:rPr>
              <w:t>inimas</w:t>
            </w:r>
            <w:r w:rsidRPr="00AE7E30">
              <w:rPr>
                <w:szCs w:val="24"/>
              </w:rPr>
              <w:t xml:space="preserve"> atliekamas </w:t>
            </w:r>
            <w:r w:rsidR="00F101AC" w:rsidRPr="00E009C3">
              <w:rPr>
                <w:szCs w:val="24"/>
              </w:rPr>
              <w:t xml:space="preserve">Lietuvos Respublikos teritorijų planavimo dokumentų rengimo </w:t>
            </w:r>
            <w:r w:rsidR="00F101AC" w:rsidRPr="00E009C3">
              <w:rPr>
                <w:szCs w:val="24"/>
              </w:rPr>
              <w:lastRenderedPageBreak/>
              <w:t>ir teritorijų planavimo proceso valstybinės priežiūros informacinėje sistemoje</w:t>
            </w:r>
            <w:r w:rsidRPr="00AE7E30">
              <w:rPr>
                <w:szCs w:val="24"/>
              </w:rPr>
              <w:t xml:space="preserve"> (TPDRIS).</w:t>
            </w:r>
          </w:p>
          <w:p w14:paraId="37965F46" w14:textId="1FFA86EA" w:rsidR="00427065" w:rsidRPr="00427065" w:rsidRDefault="00E1739B" w:rsidP="00427065">
            <w:pPr>
              <w:jc w:val="both"/>
              <w:rPr>
                <w:szCs w:val="24"/>
              </w:rPr>
            </w:pPr>
            <w:r>
              <w:rPr>
                <w:szCs w:val="24"/>
              </w:rPr>
              <w:t xml:space="preserve">TPDRIS yra skirtas laikas </w:t>
            </w:r>
            <w:r w:rsidR="005801C5">
              <w:rPr>
                <w:szCs w:val="24"/>
              </w:rPr>
              <w:t>projekt</w:t>
            </w:r>
            <w:r w:rsidR="00957A72">
              <w:rPr>
                <w:szCs w:val="24"/>
              </w:rPr>
              <w:t>ams</w:t>
            </w:r>
            <w:r w:rsidR="005801C5">
              <w:rPr>
                <w:szCs w:val="24"/>
              </w:rPr>
              <w:t xml:space="preserve"> </w:t>
            </w:r>
            <w:r>
              <w:rPr>
                <w:szCs w:val="24"/>
              </w:rPr>
              <w:t>derin</w:t>
            </w:r>
            <w:r w:rsidR="00957A72">
              <w:rPr>
                <w:szCs w:val="24"/>
              </w:rPr>
              <w:t>ti</w:t>
            </w:r>
            <w:r>
              <w:rPr>
                <w:szCs w:val="24"/>
              </w:rPr>
              <w:t xml:space="preserve"> ir tikrin</w:t>
            </w:r>
            <w:r w:rsidR="00957A72">
              <w:rPr>
                <w:szCs w:val="24"/>
              </w:rPr>
              <w:t>ti</w:t>
            </w:r>
            <w:r>
              <w:rPr>
                <w:szCs w:val="24"/>
              </w:rPr>
              <w:t>.</w:t>
            </w:r>
            <w:r w:rsidR="003E0B9F">
              <w:rPr>
                <w:szCs w:val="24"/>
              </w:rPr>
              <w:t xml:space="preserve"> </w:t>
            </w:r>
            <w:r w:rsidR="00427065">
              <w:rPr>
                <w:szCs w:val="24"/>
              </w:rPr>
              <w:t xml:space="preserve">Pažymėtina, kad </w:t>
            </w:r>
            <w:r w:rsidR="001F3D3A">
              <w:rPr>
                <w:szCs w:val="24"/>
              </w:rPr>
              <w:t>Projektų</w:t>
            </w:r>
            <w:r w:rsidR="00427065">
              <w:rPr>
                <w:szCs w:val="24"/>
              </w:rPr>
              <w:t xml:space="preserve"> viešinimo ir</w:t>
            </w:r>
            <w:r w:rsidR="001F3D3A">
              <w:rPr>
                <w:szCs w:val="24"/>
              </w:rPr>
              <w:t xml:space="preserve"> </w:t>
            </w:r>
            <w:r w:rsidR="0003411A">
              <w:rPr>
                <w:szCs w:val="24"/>
              </w:rPr>
              <w:t xml:space="preserve">derinimo metu iš </w:t>
            </w:r>
            <w:r w:rsidR="0003411A" w:rsidRPr="00427065">
              <w:rPr>
                <w:szCs w:val="24"/>
              </w:rPr>
              <w:t xml:space="preserve">Nacionalinės žemės tarnybos prie Žemės ūkio ministerijos pastabų </w:t>
            </w:r>
            <w:r w:rsidR="000E718C" w:rsidRPr="00427065">
              <w:rPr>
                <w:szCs w:val="24"/>
              </w:rPr>
              <w:t xml:space="preserve">ir pasiūlymų </w:t>
            </w:r>
            <w:r w:rsidR="0003411A" w:rsidRPr="00427065">
              <w:rPr>
                <w:szCs w:val="24"/>
              </w:rPr>
              <w:t>nebuvo gauta</w:t>
            </w:r>
            <w:r w:rsidR="00427065">
              <w:rPr>
                <w:szCs w:val="24"/>
              </w:rPr>
              <w:t>, o Lietuvos Respublikos ž</w:t>
            </w:r>
            <w:r w:rsidR="00427065" w:rsidRPr="00427065">
              <w:rPr>
                <w:color w:val="000000"/>
                <w:szCs w:val="24"/>
                <w:shd w:val="clear" w:color="auto" w:fill="FFFFFF"/>
              </w:rPr>
              <w:t>emės ūkio ministerija Vystymo planų sprendinius suderino.</w:t>
            </w:r>
          </w:p>
          <w:p w14:paraId="77857436" w14:textId="2D1CDDAB" w:rsidR="004344CE" w:rsidRDefault="00957A72" w:rsidP="00DE22FE">
            <w:pPr>
              <w:jc w:val="both"/>
              <w:rPr>
                <w:szCs w:val="24"/>
              </w:rPr>
            </w:pPr>
            <w:r>
              <w:rPr>
                <w:szCs w:val="24"/>
              </w:rPr>
              <w:t xml:space="preserve">Į </w:t>
            </w:r>
            <w:r w:rsidR="00DE22FE" w:rsidRPr="00427065">
              <w:rPr>
                <w:szCs w:val="24"/>
              </w:rPr>
              <w:t>TPDRIS įkelti Projektų sprendiniai iki 2021</w:t>
            </w:r>
            <w:r w:rsidR="004E7848" w:rsidRPr="00427065">
              <w:rPr>
                <w:szCs w:val="24"/>
              </w:rPr>
              <w:t xml:space="preserve"> m. </w:t>
            </w:r>
            <w:r w:rsidR="00EB2A8E" w:rsidRPr="00427065">
              <w:rPr>
                <w:szCs w:val="24"/>
              </w:rPr>
              <w:t xml:space="preserve">kovo </w:t>
            </w:r>
            <w:r w:rsidR="00DE22FE" w:rsidRPr="00427065">
              <w:rPr>
                <w:szCs w:val="24"/>
              </w:rPr>
              <w:t>23</w:t>
            </w:r>
            <w:r w:rsidR="00EB2A8E" w:rsidRPr="00427065">
              <w:rPr>
                <w:szCs w:val="24"/>
              </w:rPr>
              <w:t xml:space="preserve"> d. </w:t>
            </w:r>
            <w:r w:rsidR="00DE22FE" w:rsidRPr="00427065">
              <w:rPr>
                <w:szCs w:val="24"/>
              </w:rPr>
              <w:t xml:space="preserve">buvo suderinti su </w:t>
            </w:r>
            <w:r w:rsidR="00DB4469" w:rsidRPr="00427065">
              <w:rPr>
                <w:szCs w:val="24"/>
              </w:rPr>
              <w:t xml:space="preserve">teritorijų </w:t>
            </w:r>
            <w:r w:rsidR="00DE22FE" w:rsidRPr="00427065">
              <w:rPr>
                <w:szCs w:val="24"/>
              </w:rPr>
              <w:t>planavimo sąlygas išdavusiomis institucijomis bei 2021</w:t>
            </w:r>
            <w:r w:rsidR="00871649" w:rsidRPr="00427065">
              <w:rPr>
                <w:szCs w:val="24"/>
              </w:rPr>
              <w:t xml:space="preserve"> m. balandžio</w:t>
            </w:r>
            <w:r w:rsidR="00871649">
              <w:rPr>
                <w:szCs w:val="24"/>
              </w:rPr>
              <w:t xml:space="preserve"> </w:t>
            </w:r>
            <w:r w:rsidR="00DE22FE" w:rsidRPr="00AE7E30">
              <w:rPr>
                <w:szCs w:val="24"/>
              </w:rPr>
              <w:t>7</w:t>
            </w:r>
            <w:r w:rsidR="00871649">
              <w:rPr>
                <w:szCs w:val="24"/>
              </w:rPr>
              <w:t xml:space="preserve"> d.</w:t>
            </w:r>
            <w:r w:rsidR="00DE22FE" w:rsidRPr="00AE7E30">
              <w:rPr>
                <w:szCs w:val="24"/>
              </w:rPr>
              <w:t xml:space="preserve"> gauti Valstybinės teritorijų planavimo ir statybos inspekcijos prie Aplinkos ministerijos</w:t>
            </w:r>
            <w:r w:rsidR="00D9788C">
              <w:rPr>
                <w:szCs w:val="24"/>
              </w:rPr>
              <w:t xml:space="preserve"> (toliau – VTPSI)</w:t>
            </w:r>
            <w:r w:rsidR="00DE22FE" w:rsidRPr="00AE7E30">
              <w:rPr>
                <w:szCs w:val="24"/>
              </w:rPr>
              <w:t xml:space="preserve"> teritorijų planavimo dokumentų</w:t>
            </w:r>
            <w:r w:rsidR="002B48BC">
              <w:rPr>
                <w:szCs w:val="24"/>
              </w:rPr>
              <w:t xml:space="preserve"> (</w:t>
            </w:r>
            <w:r>
              <w:rPr>
                <w:szCs w:val="24"/>
              </w:rPr>
              <w:t xml:space="preserve">toliau – </w:t>
            </w:r>
            <w:r w:rsidR="002B48BC">
              <w:rPr>
                <w:szCs w:val="24"/>
              </w:rPr>
              <w:t>TPD)</w:t>
            </w:r>
            <w:r w:rsidR="00DE22FE" w:rsidRPr="00AE7E30">
              <w:rPr>
                <w:szCs w:val="24"/>
              </w:rPr>
              <w:t xml:space="preserve"> patikrinimo aktai su pritarimu teikimui tvirtinti. </w:t>
            </w:r>
          </w:p>
          <w:p w14:paraId="09F2B6A9" w14:textId="62136649" w:rsidR="00977BCD" w:rsidRPr="00977BCD" w:rsidRDefault="004344CE" w:rsidP="00297CC2">
            <w:pPr>
              <w:jc w:val="both"/>
              <w:rPr>
                <w:lang w:val="en-US"/>
              </w:rPr>
            </w:pPr>
            <w:r>
              <w:t>Teritorijų planavimo dokumentų tikrinimo tvarkos apraš</w:t>
            </w:r>
            <w:r w:rsidR="00CB7A45">
              <w:t xml:space="preserve">o, patvirtinto </w:t>
            </w:r>
            <w:r w:rsidR="00CB7A45" w:rsidRPr="00CB7A45">
              <w:t>Lietuvos Respublikos aplinkos ministro</w:t>
            </w:r>
            <w:r w:rsidR="00CB7A45">
              <w:rPr>
                <w:lang w:val="en-US"/>
              </w:rPr>
              <w:t xml:space="preserve"> </w:t>
            </w:r>
            <w:r w:rsidR="00CB7A45" w:rsidRPr="00CB7A45">
              <w:t>ir Lietuvos Respublikos žemės ūkio ministro 2012 m. lapkričio 5 d. įsakymu Nr. D1-904/3D-844</w:t>
            </w:r>
            <w:r w:rsidR="009F1DEB" w:rsidRPr="00977BCD">
              <w:t xml:space="preserve">, 16 punkte nustatyta, kad </w:t>
            </w:r>
            <w:r w:rsidR="00297CC2">
              <w:t>TPD patikrinimo akte įrašoma patikrinimo išvada</w:t>
            </w:r>
            <w:r w:rsidR="00352694">
              <w:t xml:space="preserve"> pritarti </w:t>
            </w:r>
            <w:r w:rsidR="00205185">
              <w:t>d</w:t>
            </w:r>
            <w:r w:rsidR="00977BCD" w:rsidRPr="00977BCD">
              <w:t>okumento teikimui tvirtinti, kai:</w:t>
            </w:r>
          </w:p>
          <w:p w14:paraId="3F562E63" w14:textId="71559297" w:rsidR="00977BCD" w:rsidRPr="00977BCD" w:rsidRDefault="00957A72" w:rsidP="00205185">
            <w:pPr>
              <w:spacing w:line="264" w:lineRule="atLeast"/>
              <w:jc w:val="both"/>
              <w:textAlignment w:val="center"/>
              <w:rPr>
                <w:rFonts w:cs="Times New Roman"/>
                <w:color w:val="000000"/>
                <w:szCs w:val="24"/>
                <w:lang w:val="en-US"/>
              </w:rPr>
            </w:pPr>
            <w:r>
              <w:rPr>
                <w:rFonts w:cs="Times New Roman"/>
                <w:color w:val="000000"/>
                <w:szCs w:val="24"/>
              </w:rPr>
              <w:t>„</w:t>
            </w:r>
            <w:r w:rsidR="00977BCD" w:rsidRPr="00977BCD">
              <w:rPr>
                <w:rFonts w:cs="Times New Roman"/>
                <w:color w:val="000000"/>
                <w:szCs w:val="24"/>
              </w:rPr>
              <w:t xml:space="preserve">16.1.1. teritorijų planavimo proceso procedūros ir </w:t>
            </w:r>
            <w:r w:rsidR="007D439B">
              <w:rPr>
                <w:rFonts w:cs="Times New Roman"/>
                <w:color w:val="000000"/>
                <w:szCs w:val="24"/>
              </w:rPr>
              <w:t>D</w:t>
            </w:r>
            <w:r w:rsidR="00977BCD" w:rsidRPr="00977BCD">
              <w:rPr>
                <w:rFonts w:cs="Times New Roman"/>
                <w:color w:val="000000"/>
                <w:szCs w:val="24"/>
              </w:rPr>
              <w:t>okumento sprendiniai atitinka Teritorijų planavimo įstatymo ir kitų teisės aktų reikalavimus;</w:t>
            </w:r>
          </w:p>
          <w:p w14:paraId="683E6042" w14:textId="77777777" w:rsidR="00977BCD" w:rsidRPr="00977BCD" w:rsidRDefault="00977BCD" w:rsidP="00205185">
            <w:pPr>
              <w:spacing w:line="264" w:lineRule="atLeast"/>
              <w:jc w:val="both"/>
              <w:textAlignment w:val="center"/>
              <w:rPr>
                <w:rFonts w:cs="Times New Roman"/>
                <w:color w:val="000000"/>
                <w:szCs w:val="24"/>
                <w:lang w:val="en-US"/>
              </w:rPr>
            </w:pPr>
            <w:r w:rsidRPr="00977BCD">
              <w:rPr>
                <w:rFonts w:cs="Times New Roman"/>
                <w:color w:val="000000"/>
                <w:szCs w:val="24"/>
              </w:rPr>
              <w:t>16.1.2. patikrinimo metu nustatyti trūkumai yra mažareikšmiai:</w:t>
            </w:r>
          </w:p>
          <w:p w14:paraId="3BFFAB14" w14:textId="77777777" w:rsidR="00977BCD" w:rsidRPr="00977BCD" w:rsidRDefault="00977BCD" w:rsidP="00205185">
            <w:pPr>
              <w:spacing w:line="264" w:lineRule="atLeast"/>
              <w:jc w:val="both"/>
              <w:textAlignment w:val="center"/>
              <w:rPr>
                <w:rFonts w:cs="Times New Roman"/>
                <w:color w:val="000000"/>
                <w:szCs w:val="24"/>
                <w:lang w:val="en-US"/>
              </w:rPr>
            </w:pPr>
            <w:r w:rsidRPr="00977BCD">
              <w:rPr>
                <w:rFonts w:cs="Times New Roman"/>
                <w:color w:val="000000"/>
                <w:szCs w:val="24"/>
              </w:rPr>
              <w:t>16.1.2.1. neturi įtakos planavimo proceso procedūrų rezultatams;</w:t>
            </w:r>
          </w:p>
          <w:p w14:paraId="5A52F5B5" w14:textId="77777777" w:rsidR="00977BCD" w:rsidRPr="00977BCD" w:rsidRDefault="00977BCD" w:rsidP="00205185">
            <w:pPr>
              <w:spacing w:line="264" w:lineRule="atLeast"/>
              <w:jc w:val="both"/>
              <w:textAlignment w:val="center"/>
              <w:rPr>
                <w:rFonts w:cs="Times New Roman"/>
                <w:color w:val="000000"/>
                <w:szCs w:val="24"/>
                <w:lang w:val="en-US"/>
              </w:rPr>
            </w:pPr>
            <w:r w:rsidRPr="00977BCD">
              <w:rPr>
                <w:rFonts w:cs="Times New Roman"/>
                <w:color w:val="000000"/>
                <w:szCs w:val="24"/>
              </w:rPr>
              <w:t>16.1.2.2. dėl jų neturi būti keičiami Dokumento sprendiniai;</w:t>
            </w:r>
          </w:p>
          <w:p w14:paraId="3BA8F99F" w14:textId="66A241A1" w:rsidR="00977BCD" w:rsidRPr="00977BCD" w:rsidRDefault="00977BCD" w:rsidP="00205185">
            <w:pPr>
              <w:spacing w:line="264" w:lineRule="atLeast"/>
              <w:jc w:val="both"/>
              <w:textAlignment w:val="center"/>
              <w:rPr>
                <w:rFonts w:cs="Times New Roman"/>
                <w:color w:val="000000"/>
                <w:szCs w:val="24"/>
                <w:lang w:val="en-US"/>
              </w:rPr>
            </w:pPr>
            <w:r w:rsidRPr="00977BCD">
              <w:rPr>
                <w:rFonts w:cs="Times New Roman"/>
                <w:color w:val="000000"/>
                <w:szCs w:val="24"/>
              </w:rPr>
              <w:t>16.1.2.3. juos ištaisius Dokumento sprendiniai išliktų nepakeisti</w:t>
            </w:r>
            <w:r w:rsidR="00F13B1A">
              <w:rPr>
                <w:rFonts w:cs="Times New Roman"/>
                <w:color w:val="000000"/>
                <w:szCs w:val="24"/>
              </w:rPr>
              <w:t>;</w:t>
            </w:r>
            <w:r w:rsidR="00957A72">
              <w:rPr>
                <w:rFonts w:cs="Times New Roman"/>
                <w:color w:val="000000"/>
                <w:szCs w:val="24"/>
              </w:rPr>
              <w:t>“</w:t>
            </w:r>
            <w:r w:rsidR="00F13B1A">
              <w:rPr>
                <w:rFonts w:cs="Times New Roman"/>
                <w:color w:val="000000"/>
                <w:szCs w:val="24"/>
              </w:rPr>
              <w:t>.</w:t>
            </w:r>
          </w:p>
          <w:p w14:paraId="3C6B0055" w14:textId="1E9D006D" w:rsidR="008A6800" w:rsidRDefault="00DE22FE" w:rsidP="00DE22FE">
            <w:pPr>
              <w:jc w:val="both"/>
              <w:rPr>
                <w:szCs w:val="24"/>
              </w:rPr>
            </w:pPr>
            <w:r w:rsidRPr="00AE7E30">
              <w:rPr>
                <w:szCs w:val="24"/>
              </w:rPr>
              <w:t xml:space="preserve">Nacionalinės žemės tarnybos prie Žemės ūkio ministerijos rašte „Dėl Lietuvos Respublikos Vyriausybės nutarimų projektų“ </w:t>
            </w:r>
            <w:r w:rsidR="00957A72">
              <w:rPr>
                <w:szCs w:val="24"/>
              </w:rPr>
              <w:t xml:space="preserve">dėl </w:t>
            </w:r>
            <w:r w:rsidRPr="00AE7E30">
              <w:rPr>
                <w:szCs w:val="24"/>
              </w:rPr>
              <w:t>Projektų pried</w:t>
            </w:r>
            <w:r w:rsidR="00957A72">
              <w:rPr>
                <w:szCs w:val="24"/>
              </w:rPr>
              <w:t>ų</w:t>
            </w:r>
            <w:r w:rsidRPr="00AE7E30">
              <w:rPr>
                <w:szCs w:val="24"/>
              </w:rPr>
              <w:t xml:space="preserve"> išdėstytos pastabos ir pasiūlymai yra redakcinio pobūdžio ir neturi įtakos Projektų sprendiniams ir sprendinių įgyvendinimui.</w:t>
            </w:r>
          </w:p>
          <w:p w14:paraId="4BADD480" w14:textId="356D9269" w:rsidR="0093439E" w:rsidRDefault="00021C85" w:rsidP="0093439E">
            <w:pPr>
              <w:jc w:val="both"/>
              <w:rPr>
                <w:color w:val="000000"/>
                <w:szCs w:val="24"/>
              </w:rPr>
            </w:pPr>
            <w:r>
              <w:rPr>
                <w:szCs w:val="24"/>
              </w:rPr>
              <w:t>Patikslinus Projektų sprendinius, juos vėl reikėtų kelt į TPDRIS</w:t>
            </w:r>
            <w:r w:rsidR="00833862">
              <w:rPr>
                <w:szCs w:val="24"/>
              </w:rPr>
              <w:t>, tačiau</w:t>
            </w:r>
            <w:r w:rsidR="00957A72">
              <w:rPr>
                <w:szCs w:val="24"/>
              </w:rPr>
              <w:t>,</w:t>
            </w:r>
            <w:r w:rsidR="00833862">
              <w:rPr>
                <w:szCs w:val="24"/>
              </w:rPr>
              <w:t xml:space="preserve"> </w:t>
            </w:r>
            <w:r w:rsidR="008A6800">
              <w:rPr>
                <w:color w:val="000000"/>
                <w:szCs w:val="24"/>
              </w:rPr>
              <w:t>VTPSI nuomone, atsiradus teisminiams ginčams</w:t>
            </w:r>
            <w:r w:rsidR="00833862">
              <w:rPr>
                <w:color w:val="000000"/>
                <w:szCs w:val="24"/>
              </w:rPr>
              <w:t>,</w:t>
            </w:r>
            <w:r w:rsidR="008A6800">
              <w:rPr>
                <w:color w:val="000000"/>
                <w:szCs w:val="24"/>
              </w:rPr>
              <w:t xml:space="preserve"> būtų labai nepalanki situacija</w:t>
            </w:r>
            <w:r w:rsidR="00833862">
              <w:rPr>
                <w:color w:val="000000"/>
                <w:szCs w:val="24"/>
              </w:rPr>
              <w:t>,</w:t>
            </w:r>
            <w:r w:rsidR="008A6800">
              <w:rPr>
                <w:color w:val="000000"/>
                <w:szCs w:val="24"/>
              </w:rPr>
              <w:t xml:space="preserve"> jei</w:t>
            </w:r>
            <w:r w:rsidR="00957A72">
              <w:rPr>
                <w:color w:val="000000"/>
                <w:szCs w:val="24"/>
              </w:rPr>
              <w:t>gu</w:t>
            </w:r>
            <w:r w:rsidR="008A6800">
              <w:rPr>
                <w:color w:val="000000"/>
                <w:szCs w:val="24"/>
              </w:rPr>
              <w:t xml:space="preserve"> sprendiniai būtų pakoreguoti po </w:t>
            </w:r>
            <w:r w:rsidR="008A6800">
              <w:rPr>
                <w:color w:val="000000"/>
                <w:szCs w:val="24"/>
              </w:rPr>
              <w:lastRenderedPageBreak/>
              <w:t>TPD patikros išvados gavimo, kadangi būtų labai sunku įrodyti,</w:t>
            </w:r>
            <w:r w:rsidR="0093439E">
              <w:rPr>
                <w:color w:val="000000"/>
                <w:szCs w:val="24"/>
              </w:rPr>
              <w:t xml:space="preserve"> </w:t>
            </w:r>
            <w:r w:rsidR="008A6800">
              <w:rPr>
                <w:color w:val="000000"/>
                <w:szCs w:val="24"/>
              </w:rPr>
              <w:t>jog sprendiniai buvo koreguoti dėl mažareikšmių trūkumų. VTPSI nepritar</w:t>
            </w:r>
            <w:r w:rsidR="00212C71">
              <w:rPr>
                <w:color w:val="000000"/>
                <w:szCs w:val="24"/>
              </w:rPr>
              <w:t>tų</w:t>
            </w:r>
            <w:r w:rsidR="008A6800">
              <w:rPr>
                <w:color w:val="000000"/>
                <w:szCs w:val="24"/>
              </w:rPr>
              <w:t xml:space="preserve"> sprendinių koregavimui po patikros akto išdavimo</w:t>
            </w:r>
            <w:r w:rsidR="00DF1AC0">
              <w:rPr>
                <w:color w:val="000000"/>
                <w:szCs w:val="24"/>
              </w:rPr>
              <w:t>.</w:t>
            </w:r>
          </w:p>
          <w:p w14:paraId="2328C013" w14:textId="75EC5617" w:rsidR="00DE22FE" w:rsidRDefault="00DE22FE" w:rsidP="0093439E">
            <w:pPr>
              <w:jc w:val="both"/>
              <w:rPr>
                <w:szCs w:val="24"/>
              </w:rPr>
            </w:pPr>
            <w:r w:rsidRPr="00AE7E30">
              <w:rPr>
                <w:szCs w:val="24"/>
              </w:rPr>
              <w:t>Taip pat pažymime, kad Projektų sprendinių įgyvendinimui</w:t>
            </w:r>
            <w:r w:rsidR="00FB3FEE">
              <w:rPr>
                <w:szCs w:val="24"/>
              </w:rPr>
              <w:t xml:space="preserve"> </w:t>
            </w:r>
            <w:r w:rsidRPr="00AE7E30">
              <w:rPr>
                <w:szCs w:val="24"/>
              </w:rPr>
              <w:t>(servitutų ir specialiųjų žemės naudojimo sąlygų nustatymui) bus naudojami aktualiausi duomenys vadovaujantis dokumentų rengimo metu galiojančiais Nekilnojamo</w:t>
            </w:r>
            <w:r w:rsidR="00957A72">
              <w:rPr>
                <w:szCs w:val="24"/>
              </w:rPr>
              <w:t>jo</w:t>
            </w:r>
            <w:r w:rsidRPr="00AE7E30">
              <w:rPr>
                <w:szCs w:val="24"/>
              </w:rPr>
              <w:t xml:space="preserve"> turto registro duomenų bazės išrašais bei vadovaujantis</w:t>
            </w:r>
            <w:r w:rsidR="00D2657E">
              <w:rPr>
                <w:szCs w:val="24"/>
              </w:rPr>
              <w:t xml:space="preserve"> </w:t>
            </w:r>
            <w:r w:rsidRPr="00AE7E30">
              <w:rPr>
                <w:szCs w:val="24"/>
              </w:rPr>
              <w:t>Lietuvos Respublikos nekilnojamojo turto kadastro nuostatais, patvirtintais Lietuvos Respublikos Vyriausybės 2002 m. balandžio 15 d. nutarimu Nr. 534.</w:t>
            </w:r>
          </w:p>
          <w:p w14:paraId="743DE0CF" w14:textId="6461AA6C" w:rsidR="0093439E" w:rsidRPr="00AE7E30" w:rsidRDefault="0093439E" w:rsidP="0093439E">
            <w:pPr>
              <w:jc w:val="both"/>
              <w:rPr>
                <w:szCs w:val="24"/>
              </w:rPr>
            </w:pPr>
            <w:r>
              <w:rPr>
                <w:szCs w:val="24"/>
              </w:rPr>
              <w:t xml:space="preserve">Taigi manome, kad </w:t>
            </w:r>
            <w:r w:rsidR="003635F7">
              <w:rPr>
                <w:szCs w:val="24"/>
              </w:rPr>
              <w:t xml:space="preserve">šiame etape </w:t>
            </w:r>
            <w:r w:rsidR="00E3659F">
              <w:rPr>
                <w:szCs w:val="24"/>
              </w:rPr>
              <w:t xml:space="preserve">tikslinti </w:t>
            </w:r>
            <w:r w:rsidR="003635F7">
              <w:rPr>
                <w:szCs w:val="24"/>
              </w:rPr>
              <w:t>sprendini</w:t>
            </w:r>
            <w:r w:rsidR="00E3659F">
              <w:rPr>
                <w:szCs w:val="24"/>
              </w:rPr>
              <w:t>us</w:t>
            </w:r>
            <w:r w:rsidR="003635F7">
              <w:rPr>
                <w:szCs w:val="24"/>
              </w:rPr>
              <w:t xml:space="preserve"> yra netikslinga</w:t>
            </w:r>
            <w:r w:rsidR="000229CB">
              <w:rPr>
                <w:szCs w:val="24"/>
              </w:rPr>
              <w:t>.</w:t>
            </w:r>
          </w:p>
        </w:tc>
      </w:tr>
      <w:tr w:rsidR="00826962" w:rsidRPr="007D7406" w14:paraId="045D0EE2" w14:textId="77777777" w:rsidTr="007E58B5">
        <w:trPr>
          <w:jc w:val="center"/>
        </w:trPr>
        <w:tc>
          <w:tcPr>
            <w:tcW w:w="1555" w:type="dxa"/>
            <w:shd w:val="clear" w:color="auto" w:fill="auto"/>
          </w:tcPr>
          <w:p w14:paraId="770B7F25" w14:textId="77777777" w:rsidR="00826962" w:rsidRPr="007E58B5" w:rsidRDefault="004E56FA" w:rsidP="00261A30">
            <w:pPr>
              <w:jc w:val="both"/>
              <w:rPr>
                <w:rFonts w:cs="Times New Roman"/>
                <w:szCs w:val="24"/>
              </w:rPr>
            </w:pPr>
            <w:r>
              <w:rPr>
                <w:szCs w:val="24"/>
              </w:rPr>
              <w:lastRenderedPageBreak/>
              <w:t xml:space="preserve">Lietuvos Respublikos Vyriausybės kanceliarijos </w:t>
            </w:r>
            <w:r w:rsidRPr="007E58B5">
              <w:rPr>
                <w:rFonts w:cs="Times New Roman"/>
                <w:szCs w:val="24"/>
              </w:rPr>
              <w:t>Teisės grupės</w:t>
            </w:r>
          </w:p>
          <w:p w14:paraId="52FC7271" w14:textId="09BF08AC" w:rsidR="002B35DD" w:rsidRPr="002B35DD" w:rsidRDefault="002B35DD" w:rsidP="00261A30">
            <w:pPr>
              <w:jc w:val="both"/>
              <w:rPr>
                <w:szCs w:val="24"/>
                <w:lang w:val="en-US"/>
              </w:rPr>
            </w:pPr>
            <w:r w:rsidRPr="007E58B5">
              <w:rPr>
                <w:rFonts w:cs="Times New Roman"/>
                <w:szCs w:val="24"/>
              </w:rPr>
              <w:t>2021 m. gegužės 7 d. išvada Nr.</w:t>
            </w:r>
            <w:r w:rsidR="007E58B5" w:rsidRPr="007E58B5">
              <w:rPr>
                <w:rFonts w:cs="Times New Roman"/>
                <w:color w:val="000000"/>
                <w:szCs w:val="24"/>
                <w:shd w:val="clear" w:color="auto" w:fill="FFFFFF"/>
              </w:rPr>
              <w:t xml:space="preserve"> NV-944</w:t>
            </w:r>
          </w:p>
        </w:tc>
        <w:tc>
          <w:tcPr>
            <w:tcW w:w="6662" w:type="dxa"/>
            <w:shd w:val="clear" w:color="auto" w:fill="auto"/>
          </w:tcPr>
          <w:p w14:paraId="39BF3BCF" w14:textId="774F14F5" w:rsidR="00826962" w:rsidRPr="00210FEC" w:rsidRDefault="00826962" w:rsidP="00C77D3D">
            <w:pPr>
              <w:jc w:val="both"/>
              <w:rPr>
                <w:szCs w:val="24"/>
              </w:rPr>
            </w:pPr>
            <w:r>
              <w:rPr>
                <w:color w:val="000000"/>
              </w:rPr>
              <w:t> 2. Atsižvelgiant į tai, kad Ypatingos valstybinės svarbos elektros energetikos sistemos sinchronizacijos projekto „330 kV elektros perdavimo linijos Darbėnai–Bitėnai statyba“ inžinerinės infrastruktūros vystymo planas (toliau – Planas Nr. 1 ) ir Ypatingos valstybinės svarbos elektros energetikos sistemos sinchronizacijos projekto „330 kV elektros perdavimo linijos Kruonio HAE–Bitėnai statyba“ inžinerinės infrastruktūros vystymo planas (toliau – Planas Nr. 2) tvirtinami Vyriausybės nutarimu, t. y. teisės aktu, todėl tiek pats Vyriausybės nutarimo projektas, tiek Planas Nr. 1 ir Nr. 2 – jų sprendiniai ir jų tekstinė dalis turėtų atitikti teisės aktų projektų rengimą reglamentuojančių teisės aktų reikalavimus, t. y. tiek pats Vyriausybės nutarimo projektas, tiek juo tvirtinamas Planas turėtų atitikti Teisėkūros pagrindų įstatymo ir Teisės aktų projektų rengimo rekomendacijose, patvirtintose teisingumo ministro 2013 m. gruodžio 23 d. įsakymu Nr. 1R-298, nustatytus reikalavimus teisės aktui (jo dalims, struktūrai, citavimo, nuorodų teikimo (darymo) į kitus teisės aktus, pvz., 2014–2020 metų nacionalinė pažangos programa yra patvirtinta Vyriausybės nutarimu, o ne Seimo kaip yra nurodoma; datų ir kitų duomenų tinkamą nurodymą (įforminimą).</w:t>
            </w:r>
          </w:p>
        </w:tc>
        <w:tc>
          <w:tcPr>
            <w:tcW w:w="6379" w:type="dxa"/>
            <w:shd w:val="clear" w:color="auto" w:fill="auto"/>
          </w:tcPr>
          <w:p w14:paraId="1A74F30C" w14:textId="4F7B2FCF" w:rsidR="00934E56" w:rsidRPr="00934E56" w:rsidRDefault="00934E56" w:rsidP="00934E56">
            <w:pPr>
              <w:jc w:val="both"/>
              <w:rPr>
                <w:rFonts w:cstheme="minorHAnsi"/>
                <w:b/>
                <w:bCs/>
                <w:szCs w:val="24"/>
              </w:rPr>
            </w:pPr>
            <w:r>
              <w:rPr>
                <w:rFonts w:cstheme="minorHAnsi"/>
                <w:b/>
                <w:bCs/>
                <w:szCs w:val="24"/>
              </w:rPr>
              <w:t>N</w:t>
            </w:r>
            <w:r w:rsidRPr="00934E56">
              <w:rPr>
                <w:rFonts w:cstheme="minorHAnsi"/>
                <w:b/>
                <w:bCs/>
                <w:szCs w:val="24"/>
              </w:rPr>
              <w:t>eatsižvelgt</w:t>
            </w:r>
            <w:r w:rsidR="0023449D">
              <w:rPr>
                <w:rFonts w:cstheme="minorHAnsi"/>
                <w:b/>
                <w:bCs/>
                <w:szCs w:val="24"/>
              </w:rPr>
              <w:t>a</w:t>
            </w:r>
          </w:p>
          <w:p w14:paraId="42D4546F" w14:textId="5BF7002E" w:rsidR="002D6AB3" w:rsidRDefault="00934E56" w:rsidP="00934E56">
            <w:pPr>
              <w:jc w:val="both"/>
              <w:rPr>
                <w:rFonts w:eastAsia="Calibri" w:cstheme="minorHAnsi"/>
                <w:color w:val="000000"/>
                <w:szCs w:val="24"/>
              </w:rPr>
            </w:pPr>
            <w:r w:rsidRPr="00934E56">
              <w:rPr>
                <w:rFonts w:cstheme="minorHAnsi"/>
                <w:szCs w:val="24"/>
              </w:rPr>
              <w:t>Elektros energetikos sistemos sinchronizacijos projekto inžinerinės infrastruktūros vystymo planai tai specialiojo teritorijų planavimo dokumentai. Teritorijų planavimo dokumentų rengimą reglamentuoja Lietuvos Respublikos teritorijų planavimo įstatymas. Teritorijų planavimo įstatymo 23 straipsnio 1 dalyje nu</w:t>
            </w:r>
            <w:r w:rsidR="008C75A6">
              <w:rPr>
                <w:rFonts w:cstheme="minorHAnsi"/>
                <w:szCs w:val="24"/>
              </w:rPr>
              <w:t>st</w:t>
            </w:r>
            <w:r w:rsidRPr="00934E56">
              <w:rPr>
                <w:rFonts w:cstheme="minorHAnsi"/>
                <w:szCs w:val="24"/>
              </w:rPr>
              <w:t>atyta, kad v</w:t>
            </w:r>
            <w:r w:rsidRPr="00934E56">
              <w:rPr>
                <w:rFonts w:eastAsia="Calibri" w:cstheme="minorHAnsi"/>
                <w:color w:val="000000"/>
                <w:szCs w:val="24"/>
              </w:rPr>
              <w:t>alstybei svarbių projektų teritorijų planavimo dokumentams taikoma atitinkamos rūšies valstybės lygmens teritorijų planavimo dokumentų rengimo, derinimo, keitimo, koregavimo, tikrinimo, tvirtinimo, galiojimo, viešinimo ir ginčų sprendimo tvarka, išskyrus šiame straipsnyje nustatytas išimtis.</w:t>
            </w:r>
          </w:p>
          <w:p w14:paraId="139CC112" w14:textId="760E3CD2" w:rsidR="00934E56" w:rsidRPr="00934E56" w:rsidRDefault="00C56D24" w:rsidP="00934E56">
            <w:pPr>
              <w:jc w:val="both"/>
              <w:rPr>
                <w:rFonts w:eastAsia="Calibri" w:cstheme="minorHAnsi"/>
                <w:color w:val="000000"/>
                <w:szCs w:val="24"/>
              </w:rPr>
            </w:pPr>
            <w:r w:rsidRPr="00934E56">
              <w:rPr>
                <w:rFonts w:eastAsia="Calibri" w:cstheme="minorHAnsi"/>
                <w:color w:val="000000"/>
                <w:szCs w:val="24"/>
              </w:rPr>
              <w:t>Teritorijų planavimo įstatymo 30 straipsnio 8 dal</w:t>
            </w:r>
            <w:r>
              <w:rPr>
                <w:rFonts w:eastAsia="Calibri" w:cstheme="minorHAnsi"/>
                <w:color w:val="000000"/>
                <w:szCs w:val="24"/>
              </w:rPr>
              <w:t>yje nustatyta, kad</w:t>
            </w:r>
            <w:r w:rsidRPr="00934E56">
              <w:rPr>
                <w:rFonts w:eastAsia="Calibri" w:cstheme="minorHAnsi"/>
                <w:color w:val="000000"/>
                <w:szCs w:val="24"/>
              </w:rPr>
              <w:t xml:space="preserve"> </w:t>
            </w:r>
            <w:r w:rsidR="00845795">
              <w:rPr>
                <w:rFonts w:eastAsia="Calibri" w:cstheme="minorHAnsi"/>
                <w:color w:val="000000"/>
                <w:szCs w:val="24"/>
              </w:rPr>
              <w:t>s</w:t>
            </w:r>
            <w:r w:rsidR="00934E56" w:rsidRPr="00934E56">
              <w:rPr>
                <w:rFonts w:eastAsia="Calibri" w:cstheme="minorHAnsi"/>
                <w:color w:val="000000"/>
                <w:szCs w:val="24"/>
              </w:rPr>
              <w:t xml:space="preserve">pecialiojo teritorijų planavimo dokumentai rengiami, koreguojami, keičiami, derinami, tikrinami ir tvirtinami vadovaujantis šiuo įstatymu, specialiojo teritorijų planavimo dokumentų rengimą organizuojančių subjektų veiklą reglamentuojančiais įstatymais ir Vyriausybės įgaliotų institucijų vadovų kartu su aplinkos ministru patvirtintomis tam tikromis specialiojo teritorijų planavimo dokumentų rengimo taisyklėmis, kuriose nustatoma specialiojo teritorijų planavimo </w:t>
            </w:r>
            <w:r w:rsidR="00934E56" w:rsidRPr="00934E56">
              <w:rPr>
                <w:rFonts w:eastAsia="Calibri" w:cstheme="minorHAnsi"/>
                <w:color w:val="000000"/>
                <w:szCs w:val="24"/>
              </w:rPr>
              <w:lastRenderedPageBreak/>
              <w:t>dokumento organizavimo, rengimo, koregavimo, keitimo, derinimo, tikrinimo, tvirtinimo tvarka.</w:t>
            </w:r>
          </w:p>
          <w:p w14:paraId="7FA77B5E" w14:textId="29B07486" w:rsidR="00934E56" w:rsidRPr="00490EDF" w:rsidRDefault="00934E56" w:rsidP="00934E56">
            <w:pPr>
              <w:jc w:val="both"/>
              <w:rPr>
                <w:szCs w:val="24"/>
              </w:rPr>
            </w:pPr>
            <w:r w:rsidRPr="00934E56">
              <w:rPr>
                <w:rFonts w:eastAsia="Calibri" w:cstheme="minorHAnsi"/>
                <w:color w:val="000000"/>
                <w:szCs w:val="24"/>
              </w:rPr>
              <w:t>Elektros tinklų inžinerinės infrastruktūros vystymo planų (toliau – Planas)</w:t>
            </w:r>
            <w:r w:rsidRPr="00934E56">
              <w:rPr>
                <w:color w:val="000000"/>
                <w:spacing w:val="-2"/>
                <w:szCs w:val="24"/>
              </w:rPr>
              <w:t xml:space="preserve"> </w:t>
            </w:r>
            <w:r w:rsidRPr="00934E56">
              <w:rPr>
                <w:rFonts w:eastAsia="Calibri" w:cstheme="minorHAnsi"/>
                <w:color w:val="000000"/>
                <w:szCs w:val="24"/>
              </w:rPr>
              <w:t xml:space="preserve">organizavimo, rengimo, keitimo, koregavimo, derinimo, tikrinimo ir tvirtinimo tvarką, planų sudėties ir turinio reikalavimus, planavimo proceso dalyvių santykius nustato </w:t>
            </w:r>
            <w:r w:rsidRPr="00934E56">
              <w:rPr>
                <w:szCs w:val="24"/>
              </w:rPr>
              <w:t>Inžinerinės infrastruktūros vystymo (elektros, dujų ir naftos tiekimo tinklų) planų rengimo taisyklės, patvirtintos Lietuvos Respublikos energetikos ministro ir Lietuvos Respublikos aplinkos ministro 2011 m. sausio 24 d. įsakymu Nr. 1-10/D1-61 (toliau</w:t>
            </w:r>
            <w:r w:rsidR="00A33120">
              <w:rPr>
                <w:szCs w:val="24"/>
              </w:rPr>
              <w:t xml:space="preserve"> –</w:t>
            </w:r>
            <w:r w:rsidRPr="00934E56">
              <w:rPr>
                <w:szCs w:val="24"/>
              </w:rPr>
              <w:t xml:space="preserve"> Taisyklės). Taisyklių 45 punkte numatyta, kad Planą, kuris rengiamas 3 egzemplioriais, sudaro plano sprendinių grafinė (brėžiniai) ir tekstinė (aiškinamasis raštas) dalys ir planavimo </w:t>
            </w:r>
            <w:r w:rsidRPr="00490EDF">
              <w:rPr>
                <w:szCs w:val="24"/>
              </w:rPr>
              <w:t xml:space="preserve">procedūrų dokumentai. Pagal Taisyklių 49 punktą Vystymo plano tekstinėje dalyje (aiškinamajame rašte) apibūdinami planavimo tikslai, plano uždaviniai, pateikiami planuojamos teritorijos esamos būklės įvertinimo rezultatai, aprašomi ir pagrindžiami plano sprendiniai, naudota plano rengimo metodika ir kiti su plano rengimu susiję paaiškinimai. </w:t>
            </w:r>
          </w:p>
          <w:p w14:paraId="5734CF51" w14:textId="4126BB1B" w:rsidR="00934E56" w:rsidRPr="00934E56" w:rsidRDefault="00934E56" w:rsidP="00934E56">
            <w:pPr>
              <w:jc w:val="both"/>
              <w:rPr>
                <w:rFonts w:eastAsia="Calibri" w:cstheme="minorHAnsi"/>
                <w:color w:val="000000"/>
                <w:szCs w:val="24"/>
              </w:rPr>
            </w:pPr>
            <w:r w:rsidRPr="00490EDF">
              <w:rPr>
                <w:szCs w:val="24"/>
              </w:rPr>
              <w:t>Pabrėžtina, kad nei Teritorijų planavimo įstatyme, nei Taisyklėse nėra įtvirtinta</w:t>
            </w:r>
            <w:r w:rsidRPr="00934E56">
              <w:rPr>
                <w:szCs w:val="24"/>
              </w:rPr>
              <w:t xml:space="preserve">, kad Vystymo plano aiškinamasis raštas turėtų atitikti Teisėkūros pagrindų įstatymo ir Teisės aktų projektų rengimo rekomendacijose, patvirtintose </w:t>
            </w:r>
            <w:r w:rsidR="002834DC">
              <w:rPr>
                <w:szCs w:val="24"/>
              </w:rPr>
              <w:t xml:space="preserve">Lietuvos Respublikos </w:t>
            </w:r>
            <w:r w:rsidRPr="00934E56">
              <w:rPr>
                <w:szCs w:val="24"/>
              </w:rPr>
              <w:t>teisingumo ministro 2013 m. gruodžio 23 d. įsakymu Nr. 1R-298</w:t>
            </w:r>
            <w:r w:rsidR="002834DC">
              <w:rPr>
                <w:szCs w:val="24"/>
              </w:rPr>
              <w:t xml:space="preserve"> „Dėl </w:t>
            </w:r>
            <w:r w:rsidR="002834DC" w:rsidRPr="00934E56">
              <w:rPr>
                <w:szCs w:val="24"/>
              </w:rPr>
              <w:t>Teisės aktų projektų rengimo rekomendacij</w:t>
            </w:r>
            <w:r w:rsidR="002834DC">
              <w:rPr>
                <w:szCs w:val="24"/>
              </w:rPr>
              <w:t>ų patvirtinimo“</w:t>
            </w:r>
            <w:r w:rsidRPr="00934E56">
              <w:rPr>
                <w:szCs w:val="24"/>
              </w:rPr>
              <w:t>, nustatytus reikalavimus</w:t>
            </w:r>
            <w:r w:rsidR="00490EDF">
              <w:rPr>
                <w:szCs w:val="24"/>
              </w:rPr>
              <w:t>.</w:t>
            </w:r>
          </w:p>
          <w:p w14:paraId="2FECC577" w14:textId="77777777" w:rsidR="00826962" w:rsidRDefault="00934E56" w:rsidP="00414FEC">
            <w:pPr>
              <w:jc w:val="both"/>
              <w:rPr>
                <w:szCs w:val="24"/>
              </w:rPr>
            </w:pPr>
            <w:r w:rsidRPr="00934E56">
              <w:rPr>
                <w:szCs w:val="24"/>
              </w:rPr>
              <w:t>Atkreipiame dėmesį, kad pateiktos pastabos ir pasiūlymai neturi įtakos Vystymo planų sprendiniams ir sprendinių įgyvendinimui (servitutų ir elektros tinklų apsaugos zonų nustatymui bei miško žemės pavertimui kitomis naudmenomis).</w:t>
            </w:r>
          </w:p>
          <w:p w14:paraId="4439598A" w14:textId="11D3F004" w:rsidR="00F84583" w:rsidRDefault="00F84583" w:rsidP="00414FEC">
            <w:pPr>
              <w:jc w:val="both"/>
              <w:rPr>
                <w:szCs w:val="24"/>
              </w:rPr>
            </w:pPr>
            <w:r>
              <w:rPr>
                <w:szCs w:val="24"/>
              </w:rPr>
              <w:t>Pakartotinai informuojame, kad</w:t>
            </w:r>
            <w:r w:rsidR="002834DC">
              <w:rPr>
                <w:szCs w:val="24"/>
              </w:rPr>
              <w:t>,</w:t>
            </w:r>
            <w:r>
              <w:rPr>
                <w:szCs w:val="24"/>
              </w:rPr>
              <w:t xml:space="preserve"> kaip jau buvo </w:t>
            </w:r>
            <w:r w:rsidR="00AF46C0">
              <w:rPr>
                <w:szCs w:val="24"/>
              </w:rPr>
              <w:t>argumentuota</w:t>
            </w:r>
            <w:r>
              <w:rPr>
                <w:szCs w:val="24"/>
              </w:rPr>
              <w:t xml:space="preserve"> </w:t>
            </w:r>
            <w:r w:rsidRPr="0061795B">
              <w:rPr>
                <w:szCs w:val="24"/>
              </w:rPr>
              <w:t>Nacionalinės žemės tarnybos prie Žemės ūkio ministerijos</w:t>
            </w:r>
            <w:r w:rsidR="006D76C2">
              <w:rPr>
                <w:szCs w:val="24"/>
              </w:rPr>
              <w:t xml:space="preserve"> </w:t>
            </w:r>
            <w:r w:rsidR="006D76C2">
              <w:rPr>
                <w:szCs w:val="24"/>
                <w:lang w:val="en-US"/>
              </w:rPr>
              <w:t>2</w:t>
            </w:r>
            <w:r w:rsidR="006D76C2">
              <w:rPr>
                <w:szCs w:val="24"/>
              </w:rPr>
              <w:t xml:space="preserve"> pastabos įvertinime, patikslinus ar pakoregavus Vystymo planą</w:t>
            </w:r>
            <w:r w:rsidR="00397551">
              <w:rPr>
                <w:szCs w:val="24"/>
              </w:rPr>
              <w:t xml:space="preserve">, reikėtų šiuos veiksmus atlikti TPDRIS, </w:t>
            </w:r>
            <w:r w:rsidR="002834DC">
              <w:rPr>
                <w:szCs w:val="24"/>
              </w:rPr>
              <w:t xml:space="preserve"> o </w:t>
            </w:r>
            <w:r w:rsidR="00397551">
              <w:rPr>
                <w:szCs w:val="24"/>
              </w:rPr>
              <w:t xml:space="preserve">VTPSI </w:t>
            </w:r>
            <w:r w:rsidR="002834DC">
              <w:rPr>
                <w:szCs w:val="24"/>
              </w:rPr>
              <w:t xml:space="preserve">tai </w:t>
            </w:r>
            <w:r w:rsidR="00397551">
              <w:rPr>
                <w:szCs w:val="24"/>
              </w:rPr>
              <w:t>daryti nerekomenduoja.</w:t>
            </w:r>
          </w:p>
          <w:p w14:paraId="7866371B" w14:textId="71D2F1E3" w:rsidR="00F91C94" w:rsidRPr="006D76C2" w:rsidRDefault="00F91C94" w:rsidP="00414FEC">
            <w:pPr>
              <w:jc w:val="both"/>
              <w:rPr>
                <w:szCs w:val="24"/>
              </w:rPr>
            </w:pPr>
            <w:r>
              <w:rPr>
                <w:szCs w:val="24"/>
              </w:rPr>
              <w:lastRenderedPageBreak/>
              <w:t xml:space="preserve">Papildomai atkreipiame dėmesį, kad kiti panašaus pobūdžio teritorijų planavimo dokumentai </w:t>
            </w:r>
            <w:r w:rsidR="000F0BCC">
              <w:rPr>
                <w:szCs w:val="24"/>
              </w:rPr>
              <w:t>taip pat</w:t>
            </w:r>
            <w:r w:rsidR="00FE0A52">
              <w:rPr>
                <w:szCs w:val="24"/>
              </w:rPr>
              <w:t xml:space="preserve"> </w:t>
            </w:r>
            <w:r w:rsidR="00696FB1">
              <w:rPr>
                <w:szCs w:val="24"/>
              </w:rPr>
              <w:t xml:space="preserve">buvo </w:t>
            </w:r>
            <w:r w:rsidR="00FE0A52">
              <w:rPr>
                <w:szCs w:val="24"/>
              </w:rPr>
              <w:t>patvirtinti Lietuvos Respublikos Vyriausybės nutarimais</w:t>
            </w:r>
            <w:r w:rsidR="00DE57D7">
              <w:rPr>
                <w:szCs w:val="24"/>
              </w:rPr>
              <w:t xml:space="preserve"> (pvz., Lietuvos Respub</w:t>
            </w:r>
            <w:r w:rsidR="00AD4EB6">
              <w:rPr>
                <w:szCs w:val="24"/>
              </w:rPr>
              <w:t>l</w:t>
            </w:r>
            <w:r w:rsidR="00DE57D7">
              <w:rPr>
                <w:szCs w:val="24"/>
              </w:rPr>
              <w:t>ikos</w:t>
            </w:r>
            <w:r w:rsidR="00AD4EB6">
              <w:rPr>
                <w:szCs w:val="24"/>
              </w:rPr>
              <w:t xml:space="preserve"> Vyriausybės </w:t>
            </w:r>
            <w:r w:rsidR="00DE57D7">
              <w:rPr>
                <w:color w:val="000000"/>
              </w:rPr>
              <w:t xml:space="preserve">2019 m. gruodžio 11 d. </w:t>
            </w:r>
            <w:r w:rsidR="00AD4EB6">
              <w:rPr>
                <w:color w:val="000000"/>
              </w:rPr>
              <w:t xml:space="preserve">nutarimas </w:t>
            </w:r>
            <w:r w:rsidR="00DE57D7">
              <w:rPr>
                <w:color w:val="000000"/>
              </w:rPr>
              <w:t>Nr. 1278</w:t>
            </w:r>
            <w:r w:rsidR="00AD4EB6">
              <w:rPr>
                <w:color w:val="000000"/>
              </w:rPr>
              <w:t>).</w:t>
            </w:r>
          </w:p>
        </w:tc>
      </w:tr>
      <w:tr w:rsidR="00D87F60" w:rsidRPr="007D7406" w14:paraId="4133CE91" w14:textId="77777777" w:rsidTr="007E58B5">
        <w:trPr>
          <w:jc w:val="center"/>
        </w:trPr>
        <w:tc>
          <w:tcPr>
            <w:tcW w:w="1555" w:type="dxa"/>
            <w:shd w:val="clear" w:color="auto" w:fill="auto"/>
          </w:tcPr>
          <w:p w14:paraId="5FEDE360" w14:textId="77777777" w:rsidR="00D87F60" w:rsidRPr="0061795B" w:rsidRDefault="00D87F60" w:rsidP="00261A30">
            <w:pPr>
              <w:jc w:val="both"/>
              <w:rPr>
                <w:szCs w:val="24"/>
              </w:rPr>
            </w:pPr>
          </w:p>
        </w:tc>
        <w:tc>
          <w:tcPr>
            <w:tcW w:w="6662" w:type="dxa"/>
            <w:shd w:val="clear" w:color="auto" w:fill="auto"/>
          </w:tcPr>
          <w:p w14:paraId="4438C879" w14:textId="0A0A76F6" w:rsidR="00D87F60" w:rsidRDefault="00D87F60" w:rsidP="00C77D3D">
            <w:pPr>
              <w:jc w:val="both"/>
              <w:rPr>
                <w:color w:val="000000"/>
              </w:rPr>
            </w:pPr>
            <w:r>
              <w:rPr>
                <w:color w:val="000000"/>
              </w:rPr>
              <w:t> 3. Projekto rengėjas turėtų įvertinti Plano Nr. 1 ir Plano Nr. 2 10 ir 17 dalių „Literatūros ir teisės aktų sąrašas“ pagrįstumą ir tikslingumą.</w:t>
            </w:r>
          </w:p>
        </w:tc>
        <w:tc>
          <w:tcPr>
            <w:tcW w:w="6379" w:type="dxa"/>
            <w:shd w:val="clear" w:color="auto" w:fill="auto"/>
          </w:tcPr>
          <w:p w14:paraId="33C970E1" w14:textId="77777777" w:rsidR="00D87F60" w:rsidRDefault="00AE04EE" w:rsidP="001F4AD5">
            <w:pPr>
              <w:pStyle w:val="NoSpacing"/>
              <w:rPr>
                <w:b/>
                <w:bCs/>
                <w:szCs w:val="24"/>
              </w:rPr>
            </w:pPr>
            <w:r>
              <w:rPr>
                <w:b/>
                <w:bCs/>
                <w:szCs w:val="24"/>
              </w:rPr>
              <w:t>Neatsižvelgta</w:t>
            </w:r>
          </w:p>
          <w:p w14:paraId="516F9855" w14:textId="5A163954" w:rsidR="00781587" w:rsidRPr="00781587" w:rsidRDefault="00781587" w:rsidP="00781587">
            <w:pPr>
              <w:jc w:val="both"/>
              <w:rPr>
                <w:szCs w:val="24"/>
              </w:rPr>
            </w:pPr>
            <w:r w:rsidRPr="00781587">
              <w:rPr>
                <w:szCs w:val="24"/>
              </w:rPr>
              <w:t xml:space="preserve">Žiūrėti į Lietuvos Respublikos Vyriausybės kanceliarijos </w:t>
            </w:r>
            <w:r w:rsidRPr="00781587">
              <w:rPr>
                <w:rFonts w:cs="Times New Roman"/>
                <w:szCs w:val="24"/>
              </w:rPr>
              <w:t xml:space="preserve">Teisės grupės </w:t>
            </w:r>
            <w:r w:rsidRPr="00781587">
              <w:rPr>
                <w:rFonts w:cs="Times New Roman"/>
                <w:szCs w:val="24"/>
                <w:lang w:val="en-US"/>
              </w:rPr>
              <w:t>2</w:t>
            </w:r>
            <w:r w:rsidRPr="00781587">
              <w:rPr>
                <w:rFonts w:cs="Times New Roman"/>
                <w:szCs w:val="24"/>
              </w:rPr>
              <w:t xml:space="preserve"> pastabos </w:t>
            </w:r>
            <w:r w:rsidRPr="00781587">
              <w:rPr>
                <w:szCs w:val="24"/>
              </w:rPr>
              <w:t>argumentus.</w:t>
            </w:r>
          </w:p>
        </w:tc>
      </w:tr>
      <w:tr w:rsidR="00D87F60" w:rsidRPr="007D7406" w14:paraId="6ECD7DA4" w14:textId="77777777" w:rsidTr="007E58B5">
        <w:trPr>
          <w:jc w:val="center"/>
        </w:trPr>
        <w:tc>
          <w:tcPr>
            <w:tcW w:w="1555" w:type="dxa"/>
            <w:shd w:val="clear" w:color="auto" w:fill="auto"/>
          </w:tcPr>
          <w:p w14:paraId="737310D7" w14:textId="77777777" w:rsidR="00D87F60" w:rsidRPr="0061795B" w:rsidRDefault="00D87F60" w:rsidP="00261A30">
            <w:pPr>
              <w:jc w:val="both"/>
              <w:rPr>
                <w:szCs w:val="24"/>
              </w:rPr>
            </w:pPr>
          </w:p>
        </w:tc>
        <w:tc>
          <w:tcPr>
            <w:tcW w:w="6662" w:type="dxa"/>
            <w:shd w:val="clear" w:color="auto" w:fill="auto"/>
          </w:tcPr>
          <w:p w14:paraId="205A02EA" w14:textId="260AEE29" w:rsidR="00D87F60" w:rsidRDefault="00D87F60" w:rsidP="00C77D3D">
            <w:pPr>
              <w:jc w:val="both"/>
              <w:rPr>
                <w:color w:val="000000"/>
              </w:rPr>
            </w:pPr>
            <w:r>
              <w:rPr>
                <w:color w:val="000000"/>
              </w:rPr>
              <w:t> </w:t>
            </w:r>
            <w:bookmarkStart w:id="2" w:name="_Hlk71275435"/>
            <w:r>
              <w:rPr>
                <w:color w:val="000000"/>
              </w:rPr>
              <w:t>4. Atsižvelgiant į </w:t>
            </w:r>
            <w:bookmarkEnd w:id="2"/>
            <w:r>
              <w:rPr>
                <w:rFonts w:ascii="TimesNewRoman" w:hAnsi="TimesNewRoman"/>
                <w:color w:val="000000"/>
              </w:rPr>
              <w:t>Inžinerinės infrastruktūros (elektros, dujų ir naftos tiekimo tinklų) vystymo planų rengimo taisyklių, patvirtintų energetikos ministro ir aplinkos ministro 2011 m. </w:t>
            </w:r>
            <w:r>
              <w:rPr>
                <w:color w:val="000000"/>
              </w:rPr>
              <w:t>sausio 24 d. įsakymu Nr. 1-10/D1-61, 45 punktą (planą </w:t>
            </w:r>
            <w:r>
              <w:rPr>
                <w:color w:val="000000"/>
                <w:shd w:val="clear" w:color="auto" w:fill="FFFFFF"/>
              </w:rPr>
              <w:t>sudaro plano sprendinių grafinė (brėžiniai) ir tekstinė (aiškinamasis raštas) dalys ir planavimo procedūrų dokumentai), manome, kad ne grafinėje (brėžiniuose) plano dalyje turėtų būti pateikiami konkrečių žemės sklypų sąrašai, jų plotai, informacija apie tai, kad bus arba nebus nustatomi servitutai, o šia informacija (ar dalimi informacijos) atitinkamai galėtų būti papildoma plano tekstinė dalis (aiškinamasis raštas). Kita vertus, jei Projektais būtų tvirtinami konkrečių žemės sklypų sąrašai ir jų plotai, tvirtinama informacija turi atitikti faktinius realius duomenis, turėtų būti įvertintos Nacionalinės žemės tarnybos prie ŽŪM pateiktos redakcinės pastabos bei taip pat įvertinta aplinkybė, ar pasikeitus konkrečių žemės sklypų duomenims, neturės būti keičiami Vyriausybės nutarimai, kuriais bus patvirtinti svarstomi teritorijų planavimo dokumentai.</w:t>
            </w:r>
          </w:p>
        </w:tc>
        <w:tc>
          <w:tcPr>
            <w:tcW w:w="6379" w:type="dxa"/>
            <w:shd w:val="clear" w:color="auto" w:fill="auto"/>
          </w:tcPr>
          <w:p w14:paraId="04F8F9C6" w14:textId="302C2A8F" w:rsidR="00725050" w:rsidRPr="00091F6C" w:rsidRDefault="0081217F" w:rsidP="00725050">
            <w:pPr>
              <w:jc w:val="both"/>
              <w:rPr>
                <w:b/>
                <w:bCs/>
                <w:szCs w:val="24"/>
              </w:rPr>
            </w:pPr>
            <w:r>
              <w:rPr>
                <w:b/>
                <w:bCs/>
                <w:szCs w:val="24"/>
              </w:rPr>
              <w:t>N</w:t>
            </w:r>
            <w:r w:rsidR="00725050" w:rsidRPr="00091F6C">
              <w:rPr>
                <w:b/>
                <w:bCs/>
                <w:szCs w:val="24"/>
              </w:rPr>
              <w:t>eatsižvelgt</w:t>
            </w:r>
            <w:r>
              <w:rPr>
                <w:b/>
                <w:bCs/>
                <w:szCs w:val="24"/>
              </w:rPr>
              <w:t>a</w:t>
            </w:r>
          </w:p>
          <w:p w14:paraId="4B72BAD9" w14:textId="5C907F33" w:rsidR="009D0DBA" w:rsidRDefault="00696FB1" w:rsidP="009D0DBA">
            <w:pPr>
              <w:jc w:val="both"/>
              <w:rPr>
                <w:szCs w:val="24"/>
              </w:rPr>
            </w:pPr>
            <w:r w:rsidRPr="00091F6C">
              <w:rPr>
                <w:szCs w:val="24"/>
              </w:rPr>
              <w:t>Vadovau</w:t>
            </w:r>
            <w:r>
              <w:rPr>
                <w:szCs w:val="24"/>
              </w:rPr>
              <w:t>damasi</w:t>
            </w:r>
            <w:r w:rsidRPr="00091F6C">
              <w:rPr>
                <w:szCs w:val="24"/>
              </w:rPr>
              <w:t xml:space="preserve"> </w:t>
            </w:r>
            <w:r w:rsidR="00725050" w:rsidRPr="00091F6C">
              <w:rPr>
                <w:szCs w:val="24"/>
              </w:rPr>
              <w:t>Teritorijų planavimo įstatymo 7 straipsnio 2 dalies 3 punktu</w:t>
            </w:r>
            <w:r>
              <w:rPr>
                <w:szCs w:val="24"/>
              </w:rPr>
              <w:t>,</w:t>
            </w:r>
            <w:r w:rsidR="00725050" w:rsidRPr="00091F6C">
              <w:rPr>
                <w:szCs w:val="24"/>
              </w:rPr>
              <w:t xml:space="preserve"> Vyriausybė tvirtina valstybei svarbių projektų teritorijų planavimo dokumentus.</w:t>
            </w:r>
            <w:r w:rsidR="00E311EB">
              <w:rPr>
                <w:szCs w:val="24"/>
              </w:rPr>
              <w:t xml:space="preserve"> </w:t>
            </w:r>
            <w:r w:rsidR="00A330DE" w:rsidRPr="00091F6C">
              <w:rPr>
                <w:szCs w:val="24"/>
              </w:rPr>
              <w:t xml:space="preserve">Pagal Taisyklių 45 punktą planą sudaro sprendinių grafinė (brėžiniai) ir tekstinė (aiškinamasis raštas) dalys ir planavimo </w:t>
            </w:r>
            <w:r w:rsidR="00A330DE" w:rsidRPr="00102FF1">
              <w:rPr>
                <w:szCs w:val="24"/>
              </w:rPr>
              <w:t>procedūrų dokumentai</w:t>
            </w:r>
            <w:r w:rsidR="00885D1B">
              <w:rPr>
                <w:szCs w:val="24"/>
              </w:rPr>
              <w:t xml:space="preserve">. </w:t>
            </w:r>
            <w:r w:rsidR="009D0DBA" w:rsidRPr="00102FF1">
              <w:rPr>
                <w:szCs w:val="24"/>
              </w:rPr>
              <w:t>Teritorijų</w:t>
            </w:r>
            <w:r w:rsidR="009D0DBA" w:rsidRPr="00091F6C">
              <w:rPr>
                <w:szCs w:val="24"/>
              </w:rPr>
              <w:t xml:space="preserve"> planavimo įstatymo 2 straipsnio 28 dal</w:t>
            </w:r>
            <w:r w:rsidR="00807F08">
              <w:rPr>
                <w:szCs w:val="24"/>
              </w:rPr>
              <w:t>yje yra nustatyta, kad</w:t>
            </w:r>
            <w:r w:rsidR="009D0DBA" w:rsidRPr="00091F6C">
              <w:rPr>
                <w:szCs w:val="24"/>
              </w:rPr>
              <w:t xml:space="preserve"> teritorijų planavimo dokumento sprendinys tai grafiškai ir raštu išreikštas teritorijų planavimo uždavinių sprendimo rezultatas.</w:t>
            </w:r>
          </w:p>
          <w:p w14:paraId="6C2C3AB2" w14:textId="184F9C49" w:rsidR="00774748" w:rsidRPr="00774748" w:rsidRDefault="00102FF1" w:rsidP="00AA4813">
            <w:pPr>
              <w:jc w:val="both"/>
              <w:rPr>
                <w:rFonts w:cs="Times New Roman"/>
                <w:color w:val="000000"/>
                <w:szCs w:val="24"/>
              </w:rPr>
            </w:pPr>
            <w:r>
              <w:rPr>
                <w:szCs w:val="24"/>
              </w:rPr>
              <w:t>Taisyklių</w:t>
            </w:r>
            <w:r w:rsidR="00AA4813">
              <w:rPr>
                <w:szCs w:val="24"/>
              </w:rPr>
              <w:t xml:space="preserve"> </w:t>
            </w:r>
            <w:r>
              <w:rPr>
                <w:rFonts w:cs="Times New Roman"/>
                <w:color w:val="000000"/>
                <w:szCs w:val="24"/>
                <w:lang w:val="en-US"/>
              </w:rPr>
              <w:t>4</w:t>
            </w:r>
            <w:r w:rsidR="00774748" w:rsidRPr="00774748">
              <w:rPr>
                <w:rFonts w:cs="Times New Roman"/>
                <w:color w:val="000000"/>
                <w:szCs w:val="24"/>
              </w:rPr>
              <w:t>6</w:t>
            </w:r>
            <w:r w:rsidR="00AA4813">
              <w:rPr>
                <w:rFonts w:cs="Times New Roman"/>
                <w:color w:val="000000"/>
                <w:szCs w:val="24"/>
              </w:rPr>
              <w:t xml:space="preserve"> punkte nustatyta, ka</w:t>
            </w:r>
            <w:r w:rsidR="00260A2A">
              <w:rPr>
                <w:rFonts w:cs="Times New Roman"/>
                <w:color w:val="000000"/>
                <w:szCs w:val="24"/>
              </w:rPr>
              <w:t>d</w:t>
            </w:r>
            <w:r w:rsidR="00774748" w:rsidRPr="00774748">
              <w:rPr>
                <w:rFonts w:cs="Times New Roman"/>
                <w:color w:val="000000"/>
                <w:szCs w:val="24"/>
              </w:rPr>
              <w:t xml:space="preserve"> </w:t>
            </w:r>
            <w:r w:rsidR="00260A2A">
              <w:rPr>
                <w:rFonts w:cs="Times New Roman"/>
                <w:color w:val="000000"/>
                <w:szCs w:val="24"/>
              </w:rPr>
              <w:t>p</w:t>
            </w:r>
            <w:r w:rsidR="00774748" w:rsidRPr="00774748">
              <w:rPr>
                <w:rFonts w:cs="Times New Roman"/>
                <w:color w:val="000000"/>
                <w:szCs w:val="24"/>
              </w:rPr>
              <w:t>agrindiniame brėžinyje, atsižvelgiant į teritorijų planavimo lygmenį, pažymima grafiškai arba nurodoma tekstu:</w:t>
            </w:r>
          </w:p>
          <w:p w14:paraId="77D4B0A0" w14:textId="45D9CB8B" w:rsidR="00774748" w:rsidRPr="00774748" w:rsidRDefault="00B503A7" w:rsidP="00260A2A">
            <w:pPr>
              <w:jc w:val="both"/>
              <w:rPr>
                <w:rFonts w:cs="Times New Roman"/>
                <w:color w:val="000000"/>
                <w:szCs w:val="24"/>
              </w:rPr>
            </w:pPr>
            <w:bookmarkStart w:id="3" w:name="part_290f666cf130414b970aca9441375e7d"/>
            <w:bookmarkEnd w:id="3"/>
            <w:r>
              <w:rPr>
                <w:rFonts w:cs="Times New Roman"/>
                <w:color w:val="000000"/>
                <w:szCs w:val="24"/>
              </w:rPr>
              <w:t>„</w:t>
            </w:r>
            <w:r w:rsidR="00774748" w:rsidRPr="00774748">
              <w:rPr>
                <w:rFonts w:cs="Times New Roman"/>
                <w:color w:val="000000"/>
                <w:szCs w:val="24"/>
              </w:rPr>
              <w:t>46.1. planuojama teritorija, administracinių vienetų ribos;</w:t>
            </w:r>
          </w:p>
          <w:p w14:paraId="3588F4F8" w14:textId="2750BBB9" w:rsidR="00774748" w:rsidRDefault="00774748" w:rsidP="00260A2A">
            <w:pPr>
              <w:jc w:val="both"/>
              <w:rPr>
                <w:rFonts w:cs="Times New Roman"/>
                <w:color w:val="000000"/>
                <w:szCs w:val="24"/>
              </w:rPr>
            </w:pPr>
            <w:bookmarkStart w:id="4" w:name="part_e080f103b7c449ec8ba1f9bfcdab6417"/>
            <w:bookmarkEnd w:id="4"/>
            <w:r w:rsidRPr="00774748">
              <w:rPr>
                <w:rFonts w:cs="Times New Roman"/>
                <w:color w:val="000000"/>
                <w:szCs w:val="24"/>
              </w:rPr>
              <w:t>46.2. pagal numatytas prioritetines kryptis nustatytos inžinerinės infrastruktūros plėtrai reikalingos teritorijos, valstybinės ir privačios žemės plotai;</w:t>
            </w:r>
          </w:p>
          <w:p w14:paraId="5F3E65B9" w14:textId="40943D7E" w:rsidR="00333186" w:rsidRPr="00774748" w:rsidRDefault="00333186" w:rsidP="00260A2A">
            <w:pPr>
              <w:jc w:val="both"/>
              <w:rPr>
                <w:rFonts w:cs="Times New Roman"/>
                <w:color w:val="000000"/>
                <w:szCs w:val="24"/>
              </w:rPr>
            </w:pPr>
            <w:r>
              <w:rPr>
                <w:rFonts w:cs="Times New Roman"/>
                <w:color w:val="000000"/>
                <w:szCs w:val="24"/>
              </w:rPr>
              <w:t>&lt;...&gt;</w:t>
            </w:r>
          </w:p>
          <w:p w14:paraId="2EC255ED" w14:textId="77777777" w:rsidR="00774748" w:rsidRPr="00774748" w:rsidRDefault="00774748" w:rsidP="00081D8D">
            <w:pPr>
              <w:jc w:val="both"/>
              <w:rPr>
                <w:rFonts w:cs="Times New Roman"/>
                <w:color w:val="000000"/>
                <w:szCs w:val="24"/>
              </w:rPr>
            </w:pPr>
            <w:bookmarkStart w:id="5" w:name="part_f1991677f7d440459e5efa42aadad325"/>
            <w:bookmarkStart w:id="6" w:name="part_aed3f1eaa1a04212bceb76d37fcdbb29"/>
            <w:bookmarkStart w:id="7" w:name="part_514766167b3c415796a4278b98d00f13"/>
            <w:bookmarkEnd w:id="5"/>
            <w:bookmarkEnd w:id="6"/>
            <w:bookmarkEnd w:id="7"/>
            <w:r w:rsidRPr="00774748">
              <w:rPr>
                <w:rFonts w:cs="Times New Roman"/>
                <w:color w:val="000000"/>
                <w:szCs w:val="24"/>
              </w:rPr>
              <w:t>46.5. inžinerinės infrastruktūros statinių ir teritorijų apsaugos zonos, nustatytos gatvių raudonosios linijos, servitutų zonos, inžineriniai tinklai ir jų technologiniai priklausiniai;</w:t>
            </w:r>
          </w:p>
          <w:p w14:paraId="70672FE0" w14:textId="0B7BA14D" w:rsidR="00774748" w:rsidRDefault="00774748" w:rsidP="00FC3484">
            <w:pPr>
              <w:jc w:val="both"/>
              <w:rPr>
                <w:rFonts w:cs="Times New Roman"/>
                <w:color w:val="000000"/>
                <w:szCs w:val="24"/>
              </w:rPr>
            </w:pPr>
            <w:bookmarkStart w:id="8" w:name="part_10594934085646dd9e9e0606419f261c"/>
            <w:bookmarkEnd w:id="8"/>
            <w:r w:rsidRPr="00774748">
              <w:rPr>
                <w:rFonts w:cs="Times New Roman"/>
                <w:color w:val="000000"/>
                <w:szCs w:val="24"/>
              </w:rPr>
              <w:t>46.6. atsižvelgiant į rengiamo plano mastelį – esamų žemės sklypų ribos, jų kadastriniai numeriai ar žemės reformos žemėtvarkos projekto projektiniai numeriai</w:t>
            </w:r>
            <w:r w:rsidR="00333186">
              <w:rPr>
                <w:rFonts w:cs="Times New Roman"/>
                <w:color w:val="000000"/>
                <w:szCs w:val="24"/>
              </w:rPr>
              <w:t>;</w:t>
            </w:r>
          </w:p>
          <w:p w14:paraId="20E7C8FD" w14:textId="582506A3" w:rsidR="00333186" w:rsidRPr="00774748" w:rsidRDefault="00333186" w:rsidP="00FC3484">
            <w:pPr>
              <w:jc w:val="both"/>
              <w:rPr>
                <w:rFonts w:cs="Times New Roman"/>
                <w:color w:val="000000"/>
                <w:szCs w:val="24"/>
              </w:rPr>
            </w:pPr>
            <w:r>
              <w:rPr>
                <w:rFonts w:cs="Times New Roman"/>
                <w:color w:val="000000"/>
                <w:szCs w:val="24"/>
              </w:rPr>
              <w:t>&lt;...&gt;“</w:t>
            </w:r>
            <w:r w:rsidR="00F97763">
              <w:rPr>
                <w:rFonts w:cs="Times New Roman"/>
                <w:color w:val="000000"/>
                <w:szCs w:val="24"/>
              </w:rPr>
              <w:t>.</w:t>
            </w:r>
          </w:p>
          <w:p w14:paraId="3771B877" w14:textId="77EAB35E" w:rsidR="00B10EF9" w:rsidRPr="00102FF1" w:rsidRDefault="00381875" w:rsidP="00D45BE9">
            <w:pPr>
              <w:jc w:val="both"/>
              <w:rPr>
                <w:szCs w:val="24"/>
              </w:rPr>
            </w:pPr>
            <w:bookmarkStart w:id="9" w:name="part_f8ddea70e2ae4b8c80b7e8512a280b1f"/>
            <w:bookmarkEnd w:id="9"/>
            <w:r>
              <w:rPr>
                <w:color w:val="000000"/>
              </w:rPr>
              <w:t xml:space="preserve">Taisyklių </w:t>
            </w:r>
            <w:r w:rsidR="005234BD">
              <w:rPr>
                <w:color w:val="000000"/>
              </w:rPr>
              <w:t>49</w:t>
            </w:r>
            <w:r>
              <w:rPr>
                <w:color w:val="000000"/>
              </w:rPr>
              <w:t xml:space="preserve"> punkte į</w:t>
            </w:r>
            <w:r w:rsidR="00FA3510">
              <w:rPr>
                <w:color w:val="000000"/>
              </w:rPr>
              <w:t>tvirtinta</w:t>
            </w:r>
            <w:r>
              <w:rPr>
                <w:color w:val="000000"/>
              </w:rPr>
              <w:t>, kad</w:t>
            </w:r>
            <w:r w:rsidR="005234BD">
              <w:rPr>
                <w:color w:val="000000"/>
              </w:rPr>
              <w:t xml:space="preserve"> Plano tekstinėje dalyje (aiškinamajame rašte) apibūdinami planavimo tikslai, plano </w:t>
            </w:r>
            <w:r w:rsidR="005234BD">
              <w:rPr>
                <w:color w:val="000000"/>
              </w:rPr>
              <w:lastRenderedPageBreak/>
              <w:t>uždaviniai, pateikiami planuojamos teritorijos esamos būklės įvertinimo rezultatai, aprašomi ir pagrindžiami plano sprendiniai, naudota plano rengimo metodika ir kiti su plano rengimu susiję paaiškinimai.</w:t>
            </w:r>
          </w:p>
          <w:p w14:paraId="0BC1ACE2" w14:textId="2E6CA258" w:rsidR="009021F9" w:rsidRDefault="00410DA3" w:rsidP="00D45BE9">
            <w:pPr>
              <w:jc w:val="both"/>
              <w:rPr>
                <w:szCs w:val="24"/>
              </w:rPr>
            </w:pPr>
            <w:r w:rsidRPr="00091F6C">
              <w:rPr>
                <w:szCs w:val="24"/>
              </w:rPr>
              <w:t xml:space="preserve">Taigi teritorijų planavimo sprendiniai yra pateikiami dvejopa forma: brėžiniuose ir aiškinamajame </w:t>
            </w:r>
            <w:r w:rsidRPr="002B4613">
              <w:rPr>
                <w:szCs w:val="24"/>
              </w:rPr>
              <w:t>rašte</w:t>
            </w:r>
            <w:r w:rsidR="00696FB1">
              <w:rPr>
                <w:szCs w:val="24"/>
              </w:rPr>
              <w:t>,</w:t>
            </w:r>
            <w:r w:rsidR="0003471F">
              <w:rPr>
                <w:szCs w:val="24"/>
              </w:rPr>
              <w:t xml:space="preserve"> ir</w:t>
            </w:r>
            <w:r w:rsidR="00696FB1">
              <w:rPr>
                <w:szCs w:val="24"/>
              </w:rPr>
              <w:t>,</w:t>
            </w:r>
            <w:r w:rsidR="0003471F">
              <w:rPr>
                <w:szCs w:val="24"/>
              </w:rPr>
              <w:t xml:space="preserve"> kaip matyti</w:t>
            </w:r>
            <w:r w:rsidR="00287362">
              <w:rPr>
                <w:szCs w:val="24"/>
              </w:rPr>
              <w:t xml:space="preserve"> iš Taisyklių nuostatų,</w:t>
            </w:r>
            <w:r w:rsidR="002B4613">
              <w:rPr>
                <w:szCs w:val="24"/>
              </w:rPr>
              <w:t xml:space="preserve"> </w:t>
            </w:r>
            <w:r w:rsidR="009E4F1E">
              <w:rPr>
                <w:szCs w:val="24"/>
              </w:rPr>
              <w:t>brėžinyje</w:t>
            </w:r>
            <w:r w:rsidR="00105B6B">
              <w:rPr>
                <w:szCs w:val="24"/>
              </w:rPr>
              <w:t xml:space="preserve"> grafiškai ar tekst</w:t>
            </w:r>
            <w:r w:rsidR="00696FB1">
              <w:rPr>
                <w:szCs w:val="24"/>
              </w:rPr>
              <w:t>inėje dalyje</w:t>
            </w:r>
            <w:r w:rsidR="00105B6B">
              <w:rPr>
                <w:szCs w:val="24"/>
              </w:rPr>
              <w:t xml:space="preserve"> turėtų būti pateikiama visa reikalinga informacija.</w:t>
            </w:r>
          </w:p>
          <w:p w14:paraId="577C8BC2" w14:textId="3CDBCE3D" w:rsidR="00D87F60" w:rsidRDefault="00725050" w:rsidP="00D45BE9">
            <w:pPr>
              <w:jc w:val="both"/>
              <w:rPr>
                <w:szCs w:val="24"/>
              </w:rPr>
            </w:pPr>
            <w:r w:rsidRPr="00091F6C">
              <w:rPr>
                <w:szCs w:val="24"/>
              </w:rPr>
              <w:t>Žemės sklypų, patenkančių į suplanuotą trasą, faktiniai kadastro duomenys nėra teritorijų planavimo dokumentų sprendiniai, jų pasikeitimai įtakos sprendiniams neturi</w:t>
            </w:r>
            <w:r w:rsidR="00696FB1">
              <w:rPr>
                <w:szCs w:val="24"/>
              </w:rPr>
              <w:t>,</w:t>
            </w:r>
            <w:r w:rsidRPr="00091F6C">
              <w:rPr>
                <w:szCs w:val="24"/>
              </w:rPr>
              <w:t xml:space="preserve"> </w:t>
            </w:r>
            <w:r w:rsidR="00696FB1">
              <w:rPr>
                <w:szCs w:val="24"/>
              </w:rPr>
              <w:t>t</w:t>
            </w:r>
            <w:r w:rsidRPr="00091F6C">
              <w:rPr>
                <w:szCs w:val="24"/>
              </w:rPr>
              <w:t>odėl šiuo atveju nėra tikslinga keisti Plano sprendinių grafinės (brėžinių) ir tekstinės dalies (aiškinamojo rašto)</w:t>
            </w:r>
            <w:r w:rsidR="00696FB1">
              <w:rPr>
                <w:szCs w:val="24"/>
              </w:rPr>
              <w:t xml:space="preserve"> ir</w:t>
            </w:r>
            <w:r w:rsidRPr="00091F6C">
              <w:rPr>
                <w:szCs w:val="24"/>
              </w:rPr>
              <w:t xml:space="preserve"> perkel</w:t>
            </w:r>
            <w:r w:rsidR="00696FB1">
              <w:rPr>
                <w:szCs w:val="24"/>
              </w:rPr>
              <w:t>ti</w:t>
            </w:r>
            <w:r w:rsidRPr="00091F6C">
              <w:rPr>
                <w:szCs w:val="24"/>
              </w:rPr>
              <w:t xml:space="preserve"> informaciją apie žemės sklypus iš grafinės į tekstinę dalį.</w:t>
            </w:r>
          </w:p>
          <w:p w14:paraId="382E99C2" w14:textId="00E93BFE" w:rsidR="009A0704" w:rsidRPr="00D45BE9" w:rsidRDefault="009A0704" w:rsidP="00D45BE9">
            <w:pPr>
              <w:jc w:val="both"/>
              <w:rPr>
                <w:szCs w:val="24"/>
              </w:rPr>
            </w:pPr>
            <w:r>
              <w:rPr>
                <w:szCs w:val="24"/>
              </w:rPr>
              <w:t>Kaip jau buvo argumentuota</w:t>
            </w:r>
            <w:r w:rsidR="004B023D">
              <w:rPr>
                <w:szCs w:val="24"/>
              </w:rPr>
              <w:t xml:space="preserve"> </w:t>
            </w:r>
            <w:r w:rsidR="004B023D" w:rsidRPr="0061795B">
              <w:rPr>
                <w:szCs w:val="24"/>
              </w:rPr>
              <w:t>Nacionalinės žemės tarnybos prie Žemės ūkio ministerijos</w:t>
            </w:r>
            <w:r w:rsidR="004B023D">
              <w:rPr>
                <w:szCs w:val="24"/>
              </w:rPr>
              <w:t xml:space="preserve"> </w:t>
            </w:r>
            <w:r w:rsidR="004B023D">
              <w:rPr>
                <w:szCs w:val="24"/>
                <w:lang w:val="en-US"/>
              </w:rPr>
              <w:t>2</w:t>
            </w:r>
            <w:r w:rsidR="004B023D">
              <w:rPr>
                <w:szCs w:val="24"/>
              </w:rPr>
              <w:t xml:space="preserve"> pastabos įvertinime</w:t>
            </w:r>
            <w:r w:rsidR="001C6E97">
              <w:rPr>
                <w:szCs w:val="24"/>
              </w:rPr>
              <w:t>,</w:t>
            </w:r>
            <w:r w:rsidRPr="00AE7E30">
              <w:rPr>
                <w:szCs w:val="24"/>
              </w:rPr>
              <w:t xml:space="preserve"> Projektų sprendini</w:t>
            </w:r>
            <w:r w:rsidR="00696FB1">
              <w:rPr>
                <w:szCs w:val="24"/>
              </w:rPr>
              <w:t>ams</w:t>
            </w:r>
            <w:r w:rsidRPr="00AE7E30">
              <w:rPr>
                <w:szCs w:val="24"/>
              </w:rPr>
              <w:t xml:space="preserve"> </w:t>
            </w:r>
            <w:r w:rsidR="00696FB1" w:rsidRPr="00AE7E30">
              <w:rPr>
                <w:szCs w:val="24"/>
              </w:rPr>
              <w:t>įgyvendin</w:t>
            </w:r>
            <w:r w:rsidR="00696FB1">
              <w:rPr>
                <w:szCs w:val="24"/>
              </w:rPr>
              <w:t>ti</w:t>
            </w:r>
            <w:r w:rsidR="00696FB1" w:rsidRPr="00AE7E30">
              <w:rPr>
                <w:szCs w:val="24"/>
              </w:rPr>
              <w:t xml:space="preserve"> </w:t>
            </w:r>
            <w:r w:rsidRPr="00AE7E30">
              <w:rPr>
                <w:szCs w:val="24"/>
              </w:rPr>
              <w:t>(servitutų ir specialiųjų žemės naudojimo sąlygų nustatymui) bus naudojami aktualiausi duomenys</w:t>
            </w:r>
            <w:r w:rsidR="00696FB1">
              <w:rPr>
                <w:szCs w:val="24"/>
              </w:rPr>
              <w:t>,</w:t>
            </w:r>
            <w:r w:rsidRPr="00AE7E30">
              <w:rPr>
                <w:szCs w:val="24"/>
              </w:rPr>
              <w:t xml:space="preserve"> vadovaujantis dokumentų rengimo metu galiojančiais Nekilnojamo</w:t>
            </w:r>
            <w:r w:rsidR="00696FB1">
              <w:rPr>
                <w:szCs w:val="24"/>
              </w:rPr>
              <w:t>jo</w:t>
            </w:r>
            <w:r w:rsidRPr="00AE7E30">
              <w:rPr>
                <w:szCs w:val="24"/>
              </w:rPr>
              <w:t xml:space="preserve"> turto registro duomenų bazės išrašais </w:t>
            </w:r>
            <w:r w:rsidR="00696FB1">
              <w:rPr>
                <w:szCs w:val="24"/>
              </w:rPr>
              <w:t>ir</w:t>
            </w:r>
            <w:r>
              <w:rPr>
                <w:szCs w:val="24"/>
              </w:rPr>
              <w:t xml:space="preserve"> </w:t>
            </w:r>
            <w:r w:rsidRPr="00AE7E30">
              <w:rPr>
                <w:szCs w:val="24"/>
              </w:rPr>
              <w:t>Lietuvos Respublikos nekilnojamojo turto kadastro nuostatais, patvirtintais Lietuvos Respublikos Vyriausybės 2002 m. balandžio 15 d. nutarimu Nr. 534</w:t>
            </w:r>
            <w:r w:rsidR="00696FB1">
              <w:rPr>
                <w:szCs w:val="24"/>
              </w:rPr>
              <w:t xml:space="preserve"> „Dėl </w:t>
            </w:r>
            <w:r w:rsidR="00696FB1" w:rsidRPr="00AE7E30">
              <w:rPr>
                <w:szCs w:val="24"/>
              </w:rPr>
              <w:t>Lietuvos Respublikos nekilnojamojo turto kadastro nuostat</w:t>
            </w:r>
            <w:r w:rsidR="00696FB1">
              <w:rPr>
                <w:szCs w:val="24"/>
              </w:rPr>
              <w:t>ų patvirtinimo“</w:t>
            </w:r>
            <w:r w:rsidRPr="00AE7E30">
              <w:rPr>
                <w:szCs w:val="24"/>
              </w:rPr>
              <w:t>.</w:t>
            </w:r>
          </w:p>
        </w:tc>
      </w:tr>
    </w:tbl>
    <w:p w14:paraId="4BF7AD3F" w14:textId="77777777" w:rsidR="007360D9" w:rsidRDefault="007360D9" w:rsidP="007360D9"/>
    <w:p w14:paraId="1D6FECCA" w14:textId="77777777" w:rsidR="007360D9" w:rsidRDefault="007360D9" w:rsidP="000F6B58">
      <w:pPr>
        <w:jc w:val="center"/>
      </w:pPr>
    </w:p>
    <w:p w14:paraId="080E3135" w14:textId="20C0BF19" w:rsidR="00C95266" w:rsidRPr="007D7406" w:rsidRDefault="000F6B58" w:rsidP="000F6B58">
      <w:pPr>
        <w:jc w:val="center"/>
      </w:pPr>
      <w:r>
        <w:t>________________________</w:t>
      </w:r>
    </w:p>
    <w:sectPr w:rsidR="00C95266" w:rsidRPr="007D7406" w:rsidSect="006550CE">
      <w:headerReference w:type="default" r:id="rId8"/>
      <w:pgSz w:w="16838" w:h="11906" w:orient="landscape"/>
      <w:pgMar w:top="1134" w:right="1134" w:bottom="851"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3F26A" w14:textId="77777777" w:rsidR="00800AAF" w:rsidRDefault="00800AAF" w:rsidP="00E357BF">
      <w:r>
        <w:separator/>
      </w:r>
    </w:p>
  </w:endnote>
  <w:endnote w:type="continuationSeparator" w:id="0">
    <w:p w14:paraId="0E48ACE6" w14:textId="77777777" w:rsidR="00800AAF" w:rsidRDefault="00800AAF" w:rsidP="00E35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44A4C" w14:textId="77777777" w:rsidR="00800AAF" w:rsidRDefault="00800AAF" w:rsidP="00E357BF">
      <w:r>
        <w:separator/>
      </w:r>
    </w:p>
  </w:footnote>
  <w:footnote w:type="continuationSeparator" w:id="0">
    <w:p w14:paraId="7F880E10" w14:textId="77777777" w:rsidR="00800AAF" w:rsidRDefault="00800AAF" w:rsidP="00E35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317290"/>
      <w:docPartObj>
        <w:docPartGallery w:val="Page Numbers (Top of Page)"/>
        <w:docPartUnique/>
      </w:docPartObj>
    </w:sdtPr>
    <w:sdtEndPr/>
    <w:sdtContent>
      <w:p w14:paraId="60561C27" w14:textId="04D326A2" w:rsidR="00E357BF" w:rsidRDefault="00E357BF">
        <w:pPr>
          <w:pStyle w:val="Header"/>
          <w:jc w:val="center"/>
        </w:pPr>
        <w:r>
          <w:fldChar w:fldCharType="begin"/>
        </w:r>
        <w:r>
          <w:instrText>PAGE   \* MERGEFORMAT</w:instrText>
        </w:r>
        <w:r>
          <w:fldChar w:fldCharType="separate"/>
        </w:r>
        <w:r w:rsidR="0014439F">
          <w:rPr>
            <w:noProof/>
          </w:rPr>
          <w:t>2</w:t>
        </w:r>
        <w:r>
          <w:fldChar w:fldCharType="end"/>
        </w:r>
      </w:p>
    </w:sdtContent>
  </w:sdt>
  <w:p w14:paraId="5ECB1A00" w14:textId="77777777" w:rsidR="00E357BF" w:rsidRDefault="00E357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803"/>
    <w:multiLevelType w:val="multilevel"/>
    <w:tmpl w:val="B0843B14"/>
    <w:lvl w:ilvl="0">
      <w:start w:val="3"/>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F50143D"/>
    <w:multiLevelType w:val="hybridMultilevel"/>
    <w:tmpl w:val="D19860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BD7D5E"/>
    <w:multiLevelType w:val="multilevel"/>
    <w:tmpl w:val="B7FCCD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00A1FDB"/>
    <w:multiLevelType w:val="hybridMultilevel"/>
    <w:tmpl w:val="4E8CE2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69E0F98"/>
    <w:multiLevelType w:val="multilevel"/>
    <w:tmpl w:val="FC3C0BF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5" w15:restartNumberingAfterBreak="0">
    <w:nsid w:val="4716505A"/>
    <w:multiLevelType w:val="multilevel"/>
    <w:tmpl w:val="FC3C0BF4"/>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6" w15:restartNumberingAfterBreak="0">
    <w:nsid w:val="784B1485"/>
    <w:multiLevelType w:val="hybridMultilevel"/>
    <w:tmpl w:val="ACF4933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B065B18"/>
    <w:multiLevelType w:val="multilevel"/>
    <w:tmpl w:val="50FA1AC4"/>
    <w:lvl w:ilvl="0">
      <w:start w:val="1"/>
      <w:numFmt w:val="decimal"/>
      <w:lvlText w:val="%1."/>
      <w:lvlJc w:val="left"/>
      <w:pPr>
        <w:ind w:left="2345" w:hanging="360"/>
      </w:pPr>
      <w:rPr>
        <w:rFonts w:hint="default"/>
      </w:rPr>
    </w:lvl>
    <w:lvl w:ilvl="1">
      <w:start w:val="1"/>
      <w:numFmt w:val="decimal"/>
      <w:isLgl/>
      <w:lvlText w:val="%1.%2."/>
      <w:lvlJc w:val="left"/>
      <w:pPr>
        <w:ind w:left="2705" w:hanging="360"/>
      </w:pPr>
      <w:rPr>
        <w:rFonts w:hint="default"/>
      </w:rPr>
    </w:lvl>
    <w:lvl w:ilvl="2">
      <w:start w:val="1"/>
      <w:numFmt w:val="decimal"/>
      <w:isLgl/>
      <w:lvlText w:val="%1.%2.%3."/>
      <w:lvlJc w:val="left"/>
      <w:pPr>
        <w:ind w:left="3425" w:hanging="720"/>
      </w:pPr>
      <w:rPr>
        <w:rFonts w:hint="default"/>
      </w:rPr>
    </w:lvl>
    <w:lvl w:ilvl="3">
      <w:start w:val="1"/>
      <w:numFmt w:val="decimal"/>
      <w:isLgl/>
      <w:lvlText w:val="%1.%2.%3.%4."/>
      <w:lvlJc w:val="left"/>
      <w:pPr>
        <w:ind w:left="3785" w:hanging="720"/>
      </w:pPr>
      <w:rPr>
        <w:rFonts w:hint="default"/>
      </w:rPr>
    </w:lvl>
    <w:lvl w:ilvl="4">
      <w:start w:val="1"/>
      <w:numFmt w:val="decimal"/>
      <w:isLgl/>
      <w:lvlText w:val="%1.%2.%3.%4.%5."/>
      <w:lvlJc w:val="left"/>
      <w:pPr>
        <w:ind w:left="4505" w:hanging="1080"/>
      </w:pPr>
      <w:rPr>
        <w:rFonts w:hint="default"/>
      </w:rPr>
    </w:lvl>
    <w:lvl w:ilvl="5">
      <w:start w:val="1"/>
      <w:numFmt w:val="decimal"/>
      <w:isLgl/>
      <w:lvlText w:val="%1.%2.%3.%4.%5.%6."/>
      <w:lvlJc w:val="left"/>
      <w:pPr>
        <w:ind w:left="4865" w:hanging="1080"/>
      </w:pPr>
      <w:rPr>
        <w:rFonts w:hint="default"/>
      </w:rPr>
    </w:lvl>
    <w:lvl w:ilvl="6">
      <w:start w:val="1"/>
      <w:numFmt w:val="decimal"/>
      <w:isLgl/>
      <w:lvlText w:val="%1.%2.%3.%4.%5.%6.%7."/>
      <w:lvlJc w:val="left"/>
      <w:pPr>
        <w:ind w:left="5585" w:hanging="1440"/>
      </w:pPr>
      <w:rPr>
        <w:rFonts w:hint="default"/>
      </w:rPr>
    </w:lvl>
    <w:lvl w:ilvl="7">
      <w:start w:val="1"/>
      <w:numFmt w:val="decimal"/>
      <w:isLgl/>
      <w:lvlText w:val="%1.%2.%3.%4.%5.%6.%7.%8."/>
      <w:lvlJc w:val="left"/>
      <w:pPr>
        <w:ind w:left="5945" w:hanging="1440"/>
      </w:pPr>
      <w:rPr>
        <w:rFonts w:hint="default"/>
      </w:rPr>
    </w:lvl>
    <w:lvl w:ilvl="8">
      <w:start w:val="1"/>
      <w:numFmt w:val="decimal"/>
      <w:isLgl/>
      <w:lvlText w:val="%1.%2.%3.%4.%5.%6.%7.%8.%9."/>
      <w:lvlJc w:val="left"/>
      <w:pPr>
        <w:ind w:left="6665" w:hanging="1800"/>
      </w:pPr>
      <w:rPr>
        <w:rFonts w:hint="default"/>
      </w:rPr>
    </w:lvl>
  </w:abstractNum>
  <w:num w:numId="1">
    <w:abstractNumId w:val="3"/>
  </w:num>
  <w:num w:numId="2">
    <w:abstractNumId w:val="2"/>
  </w:num>
  <w:num w:numId="3">
    <w:abstractNumId w:val="4"/>
  </w:num>
  <w:num w:numId="4">
    <w:abstractNumId w:val="6"/>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AF"/>
    <w:rsid w:val="00021C85"/>
    <w:rsid w:val="000229CB"/>
    <w:rsid w:val="00031F49"/>
    <w:rsid w:val="0003411A"/>
    <w:rsid w:val="0003471F"/>
    <w:rsid w:val="00040D2D"/>
    <w:rsid w:val="00043ECC"/>
    <w:rsid w:val="00052C85"/>
    <w:rsid w:val="00062781"/>
    <w:rsid w:val="00062E73"/>
    <w:rsid w:val="000707EB"/>
    <w:rsid w:val="00081D8D"/>
    <w:rsid w:val="00091F6C"/>
    <w:rsid w:val="00095999"/>
    <w:rsid w:val="00097836"/>
    <w:rsid w:val="000A0C68"/>
    <w:rsid w:val="000A2418"/>
    <w:rsid w:val="000B2105"/>
    <w:rsid w:val="000D2FC1"/>
    <w:rsid w:val="000D4CEF"/>
    <w:rsid w:val="000D7E74"/>
    <w:rsid w:val="000E718C"/>
    <w:rsid w:val="000F0BCC"/>
    <w:rsid w:val="000F2AD4"/>
    <w:rsid w:val="000F6B58"/>
    <w:rsid w:val="00102FF1"/>
    <w:rsid w:val="001054D6"/>
    <w:rsid w:val="00105B6B"/>
    <w:rsid w:val="00111D3A"/>
    <w:rsid w:val="00113ECE"/>
    <w:rsid w:val="00114677"/>
    <w:rsid w:val="0014439F"/>
    <w:rsid w:val="00162DE4"/>
    <w:rsid w:val="00182632"/>
    <w:rsid w:val="001867CA"/>
    <w:rsid w:val="00195A24"/>
    <w:rsid w:val="001A168D"/>
    <w:rsid w:val="001A185E"/>
    <w:rsid w:val="001B423A"/>
    <w:rsid w:val="001C6E97"/>
    <w:rsid w:val="001E48B0"/>
    <w:rsid w:val="001F3D3A"/>
    <w:rsid w:val="001F4AD5"/>
    <w:rsid w:val="001F7BD9"/>
    <w:rsid w:val="00205185"/>
    <w:rsid w:val="00210FEC"/>
    <w:rsid w:val="00212C71"/>
    <w:rsid w:val="00215010"/>
    <w:rsid w:val="002209FE"/>
    <w:rsid w:val="00222EAF"/>
    <w:rsid w:val="002251A0"/>
    <w:rsid w:val="0023449D"/>
    <w:rsid w:val="00256578"/>
    <w:rsid w:val="00260A2A"/>
    <w:rsid w:val="00261A30"/>
    <w:rsid w:val="0026247B"/>
    <w:rsid w:val="0026502E"/>
    <w:rsid w:val="002834DC"/>
    <w:rsid w:val="00287362"/>
    <w:rsid w:val="0029244E"/>
    <w:rsid w:val="0029350F"/>
    <w:rsid w:val="00297CC2"/>
    <w:rsid w:val="002B35DD"/>
    <w:rsid w:val="002B4613"/>
    <w:rsid w:val="002B48BC"/>
    <w:rsid w:val="002C0011"/>
    <w:rsid w:val="002C594F"/>
    <w:rsid w:val="002D6021"/>
    <w:rsid w:val="002D6AB3"/>
    <w:rsid w:val="002E63AE"/>
    <w:rsid w:val="002F263D"/>
    <w:rsid w:val="00320F20"/>
    <w:rsid w:val="00333186"/>
    <w:rsid w:val="00352694"/>
    <w:rsid w:val="003635F7"/>
    <w:rsid w:val="00372570"/>
    <w:rsid w:val="00381875"/>
    <w:rsid w:val="00397551"/>
    <w:rsid w:val="003A5C33"/>
    <w:rsid w:val="003B4384"/>
    <w:rsid w:val="003B7ECA"/>
    <w:rsid w:val="003C4BEF"/>
    <w:rsid w:val="003D0167"/>
    <w:rsid w:val="003E0B9F"/>
    <w:rsid w:val="00410DA3"/>
    <w:rsid w:val="00414FEC"/>
    <w:rsid w:val="00423E6F"/>
    <w:rsid w:val="00427065"/>
    <w:rsid w:val="00431000"/>
    <w:rsid w:val="004344CE"/>
    <w:rsid w:val="00436244"/>
    <w:rsid w:val="0044393E"/>
    <w:rsid w:val="0044651B"/>
    <w:rsid w:val="0046659C"/>
    <w:rsid w:val="00490EDF"/>
    <w:rsid w:val="00491B89"/>
    <w:rsid w:val="004B023D"/>
    <w:rsid w:val="004B2F8C"/>
    <w:rsid w:val="004B4F7C"/>
    <w:rsid w:val="004B70F3"/>
    <w:rsid w:val="004C0196"/>
    <w:rsid w:val="004E3E37"/>
    <w:rsid w:val="004E56FA"/>
    <w:rsid w:val="004E7848"/>
    <w:rsid w:val="004F0A4B"/>
    <w:rsid w:val="004F4AC5"/>
    <w:rsid w:val="0051166D"/>
    <w:rsid w:val="0052146E"/>
    <w:rsid w:val="005217E2"/>
    <w:rsid w:val="005234BD"/>
    <w:rsid w:val="00530697"/>
    <w:rsid w:val="00543B72"/>
    <w:rsid w:val="0055299B"/>
    <w:rsid w:val="00564F8E"/>
    <w:rsid w:val="00565113"/>
    <w:rsid w:val="00565AE4"/>
    <w:rsid w:val="00575E49"/>
    <w:rsid w:val="005801C5"/>
    <w:rsid w:val="005F0BBC"/>
    <w:rsid w:val="00612AF6"/>
    <w:rsid w:val="0061795B"/>
    <w:rsid w:val="00643D41"/>
    <w:rsid w:val="006440CA"/>
    <w:rsid w:val="006447F9"/>
    <w:rsid w:val="006550CE"/>
    <w:rsid w:val="00657F70"/>
    <w:rsid w:val="00681AB7"/>
    <w:rsid w:val="00681CA0"/>
    <w:rsid w:val="00696FB1"/>
    <w:rsid w:val="006A68EA"/>
    <w:rsid w:val="006D2E1F"/>
    <w:rsid w:val="006D76C2"/>
    <w:rsid w:val="006E41BE"/>
    <w:rsid w:val="006F6E07"/>
    <w:rsid w:val="006F7CF0"/>
    <w:rsid w:val="00717E51"/>
    <w:rsid w:val="00725050"/>
    <w:rsid w:val="007360D9"/>
    <w:rsid w:val="00774748"/>
    <w:rsid w:val="00775C54"/>
    <w:rsid w:val="00781587"/>
    <w:rsid w:val="00782A93"/>
    <w:rsid w:val="00786CB3"/>
    <w:rsid w:val="00796EFA"/>
    <w:rsid w:val="007B57D0"/>
    <w:rsid w:val="007D439B"/>
    <w:rsid w:val="007D7406"/>
    <w:rsid w:val="007E58B5"/>
    <w:rsid w:val="007F3E60"/>
    <w:rsid w:val="00800577"/>
    <w:rsid w:val="00800AAF"/>
    <w:rsid w:val="00807A78"/>
    <w:rsid w:val="00807F08"/>
    <w:rsid w:val="0081217F"/>
    <w:rsid w:val="00826962"/>
    <w:rsid w:val="0082758A"/>
    <w:rsid w:val="00833862"/>
    <w:rsid w:val="00843A4A"/>
    <w:rsid w:val="00845795"/>
    <w:rsid w:val="008541AD"/>
    <w:rsid w:val="008648D6"/>
    <w:rsid w:val="00871649"/>
    <w:rsid w:val="00885D1B"/>
    <w:rsid w:val="00890F2A"/>
    <w:rsid w:val="008A06DF"/>
    <w:rsid w:val="008A6800"/>
    <w:rsid w:val="008B463E"/>
    <w:rsid w:val="008C75A6"/>
    <w:rsid w:val="008E2C1F"/>
    <w:rsid w:val="008E3D4A"/>
    <w:rsid w:val="008F6FAF"/>
    <w:rsid w:val="009021F9"/>
    <w:rsid w:val="00905287"/>
    <w:rsid w:val="00916F35"/>
    <w:rsid w:val="009201D3"/>
    <w:rsid w:val="00931825"/>
    <w:rsid w:val="0093439E"/>
    <w:rsid w:val="00934E56"/>
    <w:rsid w:val="00957A72"/>
    <w:rsid w:val="00977BCD"/>
    <w:rsid w:val="009819C2"/>
    <w:rsid w:val="0099010B"/>
    <w:rsid w:val="009A0704"/>
    <w:rsid w:val="009A570B"/>
    <w:rsid w:val="009B6E88"/>
    <w:rsid w:val="009B729E"/>
    <w:rsid w:val="009C2AF0"/>
    <w:rsid w:val="009C2FAC"/>
    <w:rsid w:val="009D0DBA"/>
    <w:rsid w:val="009E4F1E"/>
    <w:rsid w:val="009F1DEB"/>
    <w:rsid w:val="009F260D"/>
    <w:rsid w:val="00A0309D"/>
    <w:rsid w:val="00A20A03"/>
    <w:rsid w:val="00A250F6"/>
    <w:rsid w:val="00A25123"/>
    <w:rsid w:val="00A2646F"/>
    <w:rsid w:val="00A330DE"/>
    <w:rsid w:val="00A33120"/>
    <w:rsid w:val="00A55331"/>
    <w:rsid w:val="00A64FB8"/>
    <w:rsid w:val="00A6700C"/>
    <w:rsid w:val="00A82F77"/>
    <w:rsid w:val="00A85213"/>
    <w:rsid w:val="00A958B6"/>
    <w:rsid w:val="00AA4813"/>
    <w:rsid w:val="00AB769E"/>
    <w:rsid w:val="00AC247E"/>
    <w:rsid w:val="00AC3173"/>
    <w:rsid w:val="00AD0F10"/>
    <w:rsid w:val="00AD151C"/>
    <w:rsid w:val="00AD2306"/>
    <w:rsid w:val="00AD4EB6"/>
    <w:rsid w:val="00AD5F9B"/>
    <w:rsid w:val="00AE04EE"/>
    <w:rsid w:val="00AE0B18"/>
    <w:rsid w:val="00AE7E30"/>
    <w:rsid w:val="00AF1638"/>
    <w:rsid w:val="00AF1DBB"/>
    <w:rsid w:val="00AF46C0"/>
    <w:rsid w:val="00B07938"/>
    <w:rsid w:val="00B1011C"/>
    <w:rsid w:val="00B10EF9"/>
    <w:rsid w:val="00B254E4"/>
    <w:rsid w:val="00B255D8"/>
    <w:rsid w:val="00B31C75"/>
    <w:rsid w:val="00B31DCA"/>
    <w:rsid w:val="00B325EF"/>
    <w:rsid w:val="00B35005"/>
    <w:rsid w:val="00B42166"/>
    <w:rsid w:val="00B47A3C"/>
    <w:rsid w:val="00B503A7"/>
    <w:rsid w:val="00B5323A"/>
    <w:rsid w:val="00B75EA5"/>
    <w:rsid w:val="00B80C41"/>
    <w:rsid w:val="00B87718"/>
    <w:rsid w:val="00B877F6"/>
    <w:rsid w:val="00BB2F0D"/>
    <w:rsid w:val="00BD0F67"/>
    <w:rsid w:val="00C12706"/>
    <w:rsid w:val="00C3318C"/>
    <w:rsid w:val="00C33A85"/>
    <w:rsid w:val="00C424EF"/>
    <w:rsid w:val="00C43A8D"/>
    <w:rsid w:val="00C47E08"/>
    <w:rsid w:val="00C56D24"/>
    <w:rsid w:val="00C61E49"/>
    <w:rsid w:val="00C77D3D"/>
    <w:rsid w:val="00C95266"/>
    <w:rsid w:val="00C95CD8"/>
    <w:rsid w:val="00CB7A45"/>
    <w:rsid w:val="00CC204E"/>
    <w:rsid w:val="00CC20F3"/>
    <w:rsid w:val="00CE1DF4"/>
    <w:rsid w:val="00CE5D80"/>
    <w:rsid w:val="00CF1356"/>
    <w:rsid w:val="00D11F03"/>
    <w:rsid w:val="00D2657E"/>
    <w:rsid w:val="00D4074B"/>
    <w:rsid w:val="00D45BE9"/>
    <w:rsid w:val="00D50829"/>
    <w:rsid w:val="00D57BDC"/>
    <w:rsid w:val="00D624D0"/>
    <w:rsid w:val="00D740B7"/>
    <w:rsid w:val="00D87F60"/>
    <w:rsid w:val="00D9469C"/>
    <w:rsid w:val="00D96137"/>
    <w:rsid w:val="00D9788C"/>
    <w:rsid w:val="00DA475C"/>
    <w:rsid w:val="00DB159F"/>
    <w:rsid w:val="00DB4469"/>
    <w:rsid w:val="00DC115F"/>
    <w:rsid w:val="00DC1F6F"/>
    <w:rsid w:val="00DE22FE"/>
    <w:rsid w:val="00DE57D7"/>
    <w:rsid w:val="00DE6ED2"/>
    <w:rsid w:val="00DE7B51"/>
    <w:rsid w:val="00DF1AC0"/>
    <w:rsid w:val="00DF5A96"/>
    <w:rsid w:val="00E0150D"/>
    <w:rsid w:val="00E0733F"/>
    <w:rsid w:val="00E1168A"/>
    <w:rsid w:val="00E1739B"/>
    <w:rsid w:val="00E219D3"/>
    <w:rsid w:val="00E311EB"/>
    <w:rsid w:val="00E357BF"/>
    <w:rsid w:val="00E3659F"/>
    <w:rsid w:val="00E576EB"/>
    <w:rsid w:val="00E82EBC"/>
    <w:rsid w:val="00E83D38"/>
    <w:rsid w:val="00EA2DEA"/>
    <w:rsid w:val="00EB2A8E"/>
    <w:rsid w:val="00ED0D69"/>
    <w:rsid w:val="00EE1B5A"/>
    <w:rsid w:val="00EF3181"/>
    <w:rsid w:val="00EF7B24"/>
    <w:rsid w:val="00F101AC"/>
    <w:rsid w:val="00F13B1A"/>
    <w:rsid w:val="00F31693"/>
    <w:rsid w:val="00F32094"/>
    <w:rsid w:val="00F35F06"/>
    <w:rsid w:val="00F84583"/>
    <w:rsid w:val="00F91C94"/>
    <w:rsid w:val="00F97763"/>
    <w:rsid w:val="00FA2578"/>
    <w:rsid w:val="00FA3510"/>
    <w:rsid w:val="00FA5947"/>
    <w:rsid w:val="00FB3FEE"/>
    <w:rsid w:val="00FB76AA"/>
    <w:rsid w:val="00FC124B"/>
    <w:rsid w:val="00FC3484"/>
    <w:rsid w:val="00FC3C29"/>
    <w:rsid w:val="00FD1A96"/>
    <w:rsid w:val="00FE0A52"/>
    <w:rsid w:val="00FF1570"/>
    <w:rsid w:val="00FF6A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B538C"/>
  <w15:chartTrackingRefBased/>
  <w15:docId w15:val="{9B21E9D5-EC97-4A24-8E10-E3EBA79D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318C"/>
    <w:rPr>
      <w:rFonts w:cs="Calibri"/>
      <w:sz w:val="24"/>
      <w:lang w:eastAsia="en-US"/>
    </w:rPr>
  </w:style>
  <w:style w:type="paragraph" w:styleId="Heading1">
    <w:name w:val="heading 1"/>
    <w:basedOn w:val="Normal"/>
    <w:next w:val="Normal"/>
    <w:link w:val="Heading1Char"/>
    <w:qFormat/>
    <w:rsid w:val="00C3318C"/>
    <w:pPr>
      <w:keepNext/>
      <w:outlineLvl w:val="0"/>
    </w:pPr>
    <w:rPr>
      <w:rFonts w:ascii="Cambria" w:hAnsi="Cambria" w:cs="Times New Roman"/>
      <w:b/>
      <w:color w:val="1F497D"/>
      <w:sz w:val="28"/>
    </w:rPr>
  </w:style>
  <w:style w:type="paragraph" w:styleId="Heading2">
    <w:name w:val="heading 2"/>
    <w:basedOn w:val="Normal"/>
    <w:next w:val="Normal"/>
    <w:link w:val="Heading2Char"/>
    <w:semiHidden/>
    <w:unhideWhenUsed/>
    <w:qFormat/>
    <w:rsid w:val="00C3318C"/>
    <w:pPr>
      <w:keepNext/>
      <w:keepLines/>
      <w:spacing w:before="40"/>
      <w:outlineLvl w:val="1"/>
    </w:pPr>
    <w:rPr>
      <w:rFonts w:ascii="Cambria" w:eastAsia="MS Gothic" w:hAnsi="Cambria" w:cs="Times New Roman"/>
      <w:color w:val="365F9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Subtitle"/>
    <w:qFormat/>
    <w:rsid w:val="00C3318C"/>
    <w:rPr>
      <w:lang w:val="en-US"/>
    </w:rPr>
  </w:style>
  <w:style w:type="paragraph" w:styleId="Subtitle">
    <w:name w:val="Subtitle"/>
    <w:basedOn w:val="Normal"/>
    <w:next w:val="Normal"/>
    <w:link w:val="SubtitleChar"/>
    <w:qFormat/>
    <w:rsid w:val="00C3318C"/>
    <w:pPr>
      <w:numPr>
        <w:ilvl w:val="1"/>
      </w:numPr>
      <w:spacing w:after="160"/>
    </w:pPr>
    <w:rPr>
      <w:rFonts w:ascii="Calibri" w:eastAsia="MS Mincho" w:hAnsi="Calibri" w:cs="Arial"/>
      <w:color w:val="5A5A5A"/>
      <w:spacing w:val="15"/>
      <w:sz w:val="22"/>
      <w:szCs w:val="22"/>
    </w:rPr>
  </w:style>
  <w:style w:type="character" w:customStyle="1" w:styleId="SubtitleChar">
    <w:name w:val="Subtitle Char"/>
    <w:link w:val="Subtitle"/>
    <w:rsid w:val="00C3318C"/>
    <w:rPr>
      <w:rFonts w:ascii="Calibri" w:eastAsia="MS Mincho" w:hAnsi="Calibri" w:cs="Arial"/>
      <w:color w:val="5A5A5A"/>
      <w:spacing w:val="15"/>
      <w:sz w:val="22"/>
      <w:szCs w:val="22"/>
    </w:rPr>
  </w:style>
  <w:style w:type="character" w:customStyle="1" w:styleId="Heading1Char">
    <w:name w:val="Heading 1 Char"/>
    <w:link w:val="Heading1"/>
    <w:rsid w:val="00C3318C"/>
    <w:rPr>
      <w:rFonts w:ascii="Cambria" w:hAnsi="Cambria"/>
      <w:b/>
      <w:color w:val="1F497D"/>
      <w:sz w:val="28"/>
      <w:lang w:val="en-US"/>
    </w:rPr>
  </w:style>
  <w:style w:type="character" w:customStyle="1" w:styleId="Heading2Char">
    <w:name w:val="Heading 2 Char"/>
    <w:link w:val="Heading2"/>
    <w:semiHidden/>
    <w:rsid w:val="00C3318C"/>
    <w:rPr>
      <w:rFonts w:ascii="Cambria" w:eastAsia="MS Gothic" w:hAnsi="Cambria"/>
      <w:color w:val="365F91"/>
      <w:sz w:val="26"/>
      <w:szCs w:val="26"/>
    </w:rPr>
  </w:style>
  <w:style w:type="paragraph" w:styleId="Title">
    <w:name w:val="Title"/>
    <w:basedOn w:val="Normal"/>
    <w:next w:val="Normal"/>
    <w:link w:val="TitleChar"/>
    <w:uiPriority w:val="10"/>
    <w:qFormat/>
    <w:rsid w:val="00C3318C"/>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link w:val="Title"/>
    <w:uiPriority w:val="10"/>
    <w:rsid w:val="00C3318C"/>
    <w:rPr>
      <w:rFonts w:ascii="Cambria" w:eastAsia="MS Gothic" w:hAnsi="Cambria"/>
      <w:color w:val="17365D"/>
      <w:spacing w:val="5"/>
      <w:kern w:val="28"/>
      <w:sz w:val="52"/>
      <w:szCs w:val="52"/>
    </w:rPr>
  </w:style>
  <w:style w:type="paragraph" w:styleId="ListParagraph">
    <w:name w:val="List Paragraph"/>
    <w:basedOn w:val="Normal"/>
    <w:uiPriority w:val="34"/>
    <w:qFormat/>
    <w:rsid w:val="00222EAF"/>
    <w:pPr>
      <w:ind w:left="720"/>
      <w:contextualSpacing/>
    </w:pPr>
    <w:rPr>
      <w:rFonts w:cs="Times New Roman"/>
      <w:szCs w:val="24"/>
      <w:lang w:val="en-GB"/>
    </w:rPr>
  </w:style>
  <w:style w:type="character" w:customStyle="1" w:styleId="Bodytext">
    <w:name w:val="Body text_"/>
    <w:link w:val="BodyText2"/>
    <w:rsid w:val="008B463E"/>
    <w:rPr>
      <w:shd w:val="clear" w:color="auto" w:fill="FFFFFF"/>
    </w:rPr>
  </w:style>
  <w:style w:type="character" w:customStyle="1" w:styleId="BodytextBold">
    <w:name w:val="Body text + Bold"/>
    <w:rsid w:val="008B463E"/>
    <w:rPr>
      <w:b/>
      <w:bCs/>
      <w:color w:val="000000"/>
      <w:spacing w:val="0"/>
      <w:w w:val="100"/>
      <w:position w:val="0"/>
      <w:shd w:val="clear" w:color="auto" w:fill="FFFFFF"/>
      <w:lang w:val="lt-LT" w:eastAsia="lt-LT" w:bidi="lt-LT"/>
    </w:rPr>
  </w:style>
  <w:style w:type="paragraph" w:customStyle="1" w:styleId="BodyText2">
    <w:name w:val="Body Text2"/>
    <w:basedOn w:val="Normal"/>
    <w:link w:val="Bodytext"/>
    <w:rsid w:val="008B463E"/>
    <w:pPr>
      <w:widowControl w:val="0"/>
      <w:shd w:val="clear" w:color="auto" w:fill="FFFFFF"/>
      <w:spacing w:before="300" w:after="60" w:line="0" w:lineRule="atLeast"/>
      <w:jc w:val="both"/>
    </w:pPr>
    <w:rPr>
      <w:rFonts w:cs="Times New Roman"/>
      <w:sz w:val="20"/>
    </w:rPr>
  </w:style>
  <w:style w:type="character" w:customStyle="1" w:styleId="Bodytext2NotBold">
    <w:name w:val="Body text (2) + Not Bold"/>
    <w:rsid w:val="008B463E"/>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table" w:styleId="TableGrid">
    <w:name w:val="Table Grid"/>
    <w:basedOn w:val="TableNormal"/>
    <w:uiPriority w:val="59"/>
    <w:rsid w:val="00511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F32094"/>
    <w:rPr>
      <w:sz w:val="16"/>
      <w:szCs w:val="16"/>
    </w:rPr>
  </w:style>
  <w:style w:type="paragraph" w:styleId="CommentText">
    <w:name w:val="annotation text"/>
    <w:basedOn w:val="Normal"/>
    <w:link w:val="CommentTextChar"/>
    <w:uiPriority w:val="99"/>
    <w:unhideWhenUsed/>
    <w:rsid w:val="00F32094"/>
    <w:rPr>
      <w:sz w:val="20"/>
    </w:rPr>
  </w:style>
  <w:style w:type="character" w:customStyle="1" w:styleId="CommentTextChar">
    <w:name w:val="Comment Text Char"/>
    <w:link w:val="CommentText"/>
    <w:uiPriority w:val="99"/>
    <w:rsid w:val="00F32094"/>
    <w:rPr>
      <w:rFonts w:cs="Calibri"/>
    </w:rPr>
  </w:style>
  <w:style w:type="paragraph" w:styleId="CommentSubject">
    <w:name w:val="annotation subject"/>
    <w:basedOn w:val="CommentText"/>
    <w:next w:val="CommentText"/>
    <w:link w:val="CommentSubjectChar"/>
    <w:uiPriority w:val="99"/>
    <w:semiHidden/>
    <w:unhideWhenUsed/>
    <w:rsid w:val="00F32094"/>
    <w:rPr>
      <w:b/>
      <w:bCs/>
    </w:rPr>
  </w:style>
  <w:style w:type="character" w:customStyle="1" w:styleId="CommentSubjectChar">
    <w:name w:val="Comment Subject Char"/>
    <w:link w:val="CommentSubject"/>
    <w:uiPriority w:val="99"/>
    <w:semiHidden/>
    <w:rsid w:val="00F32094"/>
    <w:rPr>
      <w:rFonts w:cs="Calibri"/>
      <w:b/>
      <w:bCs/>
    </w:rPr>
  </w:style>
  <w:style w:type="paragraph" w:styleId="BalloonText">
    <w:name w:val="Balloon Text"/>
    <w:basedOn w:val="Normal"/>
    <w:link w:val="BalloonTextChar"/>
    <w:uiPriority w:val="99"/>
    <w:semiHidden/>
    <w:unhideWhenUsed/>
    <w:rsid w:val="00F32094"/>
    <w:rPr>
      <w:rFonts w:ascii="Segoe UI" w:hAnsi="Segoe UI" w:cs="Segoe UI"/>
      <w:sz w:val="18"/>
      <w:szCs w:val="18"/>
    </w:rPr>
  </w:style>
  <w:style w:type="character" w:customStyle="1" w:styleId="BalloonTextChar">
    <w:name w:val="Balloon Text Char"/>
    <w:link w:val="BalloonText"/>
    <w:uiPriority w:val="99"/>
    <w:semiHidden/>
    <w:rsid w:val="00F32094"/>
    <w:rPr>
      <w:rFonts w:ascii="Segoe UI" w:hAnsi="Segoe UI" w:cs="Segoe UI"/>
      <w:sz w:val="18"/>
      <w:szCs w:val="18"/>
    </w:rPr>
  </w:style>
  <w:style w:type="character" w:customStyle="1" w:styleId="Pagrindinistekstas1">
    <w:name w:val="Pagrindinis tekstas1"/>
    <w:rsid w:val="00F32094"/>
    <w:rPr>
      <w:rFonts w:ascii="Times New Roman" w:eastAsia="Times New Roman" w:hAnsi="Times New Roman" w:cs="Times New Roman"/>
      <w:b w:val="0"/>
      <w:bCs w:val="0"/>
      <w:i w:val="0"/>
      <w:iCs w:val="0"/>
      <w:smallCaps w:val="0"/>
      <w:strike/>
      <w:color w:val="000000"/>
      <w:spacing w:val="0"/>
      <w:w w:val="100"/>
      <w:position w:val="0"/>
      <w:sz w:val="20"/>
      <w:szCs w:val="20"/>
      <w:u w:val="none"/>
      <w:lang w:val="lt-LT" w:eastAsia="lt-LT" w:bidi="lt-LT"/>
    </w:rPr>
  </w:style>
  <w:style w:type="paragraph" w:styleId="BodyText0">
    <w:name w:val="Body Text"/>
    <w:basedOn w:val="Normal"/>
    <w:link w:val="BodyTextChar"/>
    <w:uiPriority w:val="99"/>
    <w:semiHidden/>
    <w:unhideWhenUsed/>
    <w:rsid w:val="00ED0D69"/>
    <w:pPr>
      <w:spacing w:before="100" w:beforeAutospacing="1" w:after="100" w:afterAutospacing="1"/>
    </w:pPr>
    <w:rPr>
      <w:rFonts w:cs="Times New Roman"/>
      <w:szCs w:val="24"/>
      <w:lang w:eastAsia="lt-LT"/>
    </w:rPr>
  </w:style>
  <w:style w:type="character" w:customStyle="1" w:styleId="BodyTextChar">
    <w:name w:val="Body Text Char"/>
    <w:basedOn w:val="DefaultParagraphFont"/>
    <w:link w:val="BodyText0"/>
    <w:uiPriority w:val="99"/>
    <w:semiHidden/>
    <w:rsid w:val="00ED0D69"/>
    <w:rPr>
      <w:sz w:val="24"/>
      <w:szCs w:val="24"/>
    </w:rPr>
  </w:style>
  <w:style w:type="paragraph" w:customStyle="1" w:styleId="Default">
    <w:name w:val="Default"/>
    <w:basedOn w:val="Normal"/>
    <w:rsid w:val="007D7406"/>
    <w:pPr>
      <w:autoSpaceDE w:val="0"/>
      <w:autoSpaceDN w:val="0"/>
    </w:pPr>
    <w:rPr>
      <w:rFonts w:eastAsiaTheme="minorHAnsi" w:cs="Times New Roman"/>
      <w:color w:val="000000"/>
      <w:szCs w:val="24"/>
      <w:lang w:eastAsia="lt-LT"/>
    </w:rPr>
  </w:style>
  <w:style w:type="paragraph" w:styleId="NoSpacing">
    <w:name w:val="No Spacing"/>
    <w:uiPriority w:val="1"/>
    <w:qFormat/>
    <w:rsid w:val="001B423A"/>
    <w:pPr>
      <w:jc w:val="both"/>
    </w:pPr>
    <w:rPr>
      <w:sz w:val="24"/>
      <w:lang w:eastAsia="en-US"/>
    </w:rPr>
  </w:style>
  <w:style w:type="paragraph" w:styleId="Header">
    <w:name w:val="header"/>
    <w:basedOn w:val="Normal"/>
    <w:link w:val="HeaderChar"/>
    <w:uiPriority w:val="99"/>
    <w:unhideWhenUsed/>
    <w:rsid w:val="00E357BF"/>
    <w:pPr>
      <w:tabs>
        <w:tab w:val="center" w:pos="4819"/>
        <w:tab w:val="right" w:pos="9638"/>
      </w:tabs>
    </w:pPr>
  </w:style>
  <w:style w:type="character" w:customStyle="1" w:styleId="HeaderChar">
    <w:name w:val="Header Char"/>
    <w:basedOn w:val="DefaultParagraphFont"/>
    <w:link w:val="Header"/>
    <w:uiPriority w:val="99"/>
    <w:rsid w:val="00E357BF"/>
    <w:rPr>
      <w:rFonts w:cs="Calibri"/>
      <w:sz w:val="24"/>
      <w:lang w:eastAsia="en-US"/>
    </w:rPr>
  </w:style>
  <w:style w:type="paragraph" w:styleId="Footer">
    <w:name w:val="footer"/>
    <w:basedOn w:val="Normal"/>
    <w:link w:val="FooterChar"/>
    <w:uiPriority w:val="99"/>
    <w:unhideWhenUsed/>
    <w:rsid w:val="00E357BF"/>
    <w:pPr>
      <w:tabs>
        <w:tab w:val="center" w:pos="4819"/>
        <w:tab w:val="right" w:pos="9638"/>
      </w:tabs>
    </w:pPr>
  </w:style>
  <w:style w:type="character" w:customStyle="1" w:styleId="FooterChar">
    <w:name w:val="Footer Char"/>
    <w:basedOn w:val="DefaultParagraphFont"/>
    <w:link w:val="Footer"/>
    <w:uiPriority w:val="99"/>
    <w:rsid w:val="00E357BF"/>
    <w:rPr>
      <w:rFonts w:cs="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3258">
      <w:bodyDiv w:val="1"/>
      <w:marLeft w:val="0"/>
      <w:marRight w:val="0"/>
      <w:marTop w:val="0"/>
      <w:marBottom w:val="0"/>
      <w:divBdr>
        <w:top w:val="none" w:sz="0" w:space="0" w:color="auto"/>
        <w:left w:val="none" w:sz="0" w:space="0" w:color="auto"/>
        <w:bottom w:val="none" w:sz="0" w:space="0" w:color="auto"/>
        <w:right w:val="none" w:sz="0" w:space="0" w:color="auto"/>
      </w:divBdr>
    </w:div>
    <w:div w:id="500854247">
      <w:bodyDiv w:val="1"/>
      <w:marLeft w:val="0"/>
      <w:marRight w:val="0"/>
      <w:marTop w:val="0"/>
      <w:marBottom w:val="0"/>
      <w:divBdr>
        <w:top w:val="none" w:sz="0" w:space="0" w:color="auto"/>
        <w:left w:val="none" w:sz="0" w:space="0" w:color="auto"/>
        <w:bottom w:val="none" w:sz="0" w:space="0" w:color="auto"/>
        <w:right w:val="none" w:sz="0" w:space="0" w:color="auto"/>
      </w:divBdr>
    </w:div>
    <w:div w:id="1264220470">
      <w:bodyDiv w:val="1"/>
      <w:marLeft w:val="225"/>
      <w:marRight w:val="225"/>
      <w:marTop w:val="0"/>
      <w:marBottom w:val="0"/>
      <w:divBdr>
        <w:top w:val="none" w:sz="0" w:space="0" w:color="auto"/>
        <w:left w:val="none" w:sz="0" w:space="0" w:color="auto"/>
        <w:bottom w:val="none" w:sz="0" w:space="0" w:color="auto"/>
        <w:right w:val="none" w:sz="0" w:space="0" w:color="auto"/>
      </w:divBdr>
      <w:divsChild>
        <w:div w:id="1027633729">
          <w:marLeft w:val="0"/>
          <w:marRight w:val="0"/>
          <w:marTop w:val="0"/>
          <w:marBottom w:val="0"/>
          <w:divBdr>
            <w:top w:val="none" w:sz="0" w:space="0" w:color="auto"/>
            <w:left w:val="none" w:sz="0" w:space="0" w:color="auto"/>
            <w:bottom w:val="none" w:sz="0" w:space="0" w:color="auto"/>
            <w:right w:val="none" w:sz="0" w:space="0" w:color="auto"/>
          </w:divBdr>
        </w:div>
      </w:divsChild>
    </w:div>
    <w:div w:id="1333068732">
      <w:bodyDiv w:val="1"/>
      <w:marLeft w:val="0"/>
      <w:marRight w:val="0"/>
      <w:marTop w:val="0"/>
      <w:marBottom w:val="0"/>
      <w:divBdr>
        <w:top w:val="none" w:sz="0" w:space="0" w:color="auto"/>
        <w:left w:val="none" w:sz="0" w:space="0" w:color="auto"/>
        <w:bottom w:val="none" w:sz="0" w:space="0" w:color="auto"/>
        <w:right w:val="none" w:sz="0" w:space="0" w:color="auto"/>
      </w:divBdr>
      <w:divsChild>
        <w:div w:id="162668071">
          <w:marLeft w:val="0"/>
          <w:marRight w:val="0"/>
          <w:marTop w:val="0"/>
          <w:marBottom w:val="0"/>
          <w:divBdr>
            <w:top w:val="none" w:sz="0" w:space="0" w:color="auto"/>
            <w:left w:val="none" w:sz="0" w:space="0" w:color="auto"/>
            <w:bottom w:val="none" w:sz="0" w:space="0" w:color="auto"/>
            <w:right w:val="none" w:sz="0" w:space="0" w:color="auto"/>
          </w:divBdr>
        </w:div>
        <w:div w:id="1181358887">
          <w:marLeft w:val="0"/>
          <w:marRight w:val="0"/>
          <w:marTop w:val="0"/>
          <w:marBottom w:val="0"/>
          <w:divBdr>
            <w:top w:val="none" w:sz="0" w:space="0" w:color="auto"/>
            <w:left w:val="none" w:sz="0" w:space="0" w:color="auto"/>
            <w:bottom w:val="none" w:sz="0" w:space="0" w:color="auto"/>
            <w:right w:val="none" w:sz="0" w:space="0" w:color="auto"/>
          </w:divBdr>
        </w:div>
        <w:div w:id="1215851493">
          <w:marLeft w:val="0"/>
          <w:marRight w:val="0"/>
          <w:marTop w:val="0"/>
          <w:marBottom w:val="0"/>
          <w:divBdr>
            <w:top w:val="none" w:sz="0" w:space="0" w:color="auto"/>
            <w:left w:val="none" w:sz="0" w:space="0" w:color="auto"/>
            <w:bottom w:val="none" w:sz="0" w:space="0" w:color="auto"/>
            <w:right w:val="none" w:sz="0" w:space="0" w:color="auto"/>
          </w:divBdr>
        </w:div>
        <w:div w:id="1574119422">
          <w:marLeft w:val="0"/>
          <w:marRight w:val="0"/>
          <w:marTop w:val="0"/>
          <w:marBottom w:val="0"/>
          <w:divBdr>
            <w:top w:val="none" w:sz="0" w:space="0" w:color="auto"/>
            <w:left w:val="none" w:sz="0" w:space="0" w:color="auto"/>
            <w:bottom w:val="none" w:sz="0" w:space="0" w:color="auto"/>
            <w:right w:val="none" w:sz="0" w:space="0" w:color="auto"/>
          </w:divBdr>
        </w:div>
        <w:div w:id="1207445853">
          <w:marLeft w:val="0"/>
          <w:marRight w:val="0"/>
          <w:marTop w:val="0"/>
          <w:marBottom w:val="0"/>
          <w:divBdr>
            <w:top w:val="none" w:sz="0" w:space="0" w:color="auto"/>
            <w:left w:val="none" w:sz="0" w:space="0" w:color="auto"/>
            <w:bottom w:val="none" w:sz="0" w:space="0" w:color="auto"/>
            <w:right w:val="none" w:sz="0" w:space="0" w:color="auto"/>
          </w:divBdr>
        </w:div>
        <w:div w:id="1802918442">
          <w:marLeft w:val="0"/>
          <w:marRight w:val="0"/>
          <w:marTop w:val="0"/>
          <w:marBottom w:val="0"/>
          <w:divBdr>
            <w:top w:val="none" w:sz="0" w:space="0" w:color="auto"/>
            <w:left w:val="none" w:sz="0" w:space="0" w:color="auto"/>
            <w:bottom w:val="none" w:sz="0" w:space="0" w:color="auto"/>
            <w:right w:val="none" w:sz="0" w:space="0" w:color="auto"/>
          </w:divBdr>
        </w:div>
        <w:div w:id="817695099">
          <w:marLeft w:val="0"/>
          <w:marRight w:val="0"/>
          <w:marTop w:val="0"/>
          <w:marBottom w:val="0"/>
          <w:divBdr>
            <w:top w:val="none" w:sz="0" w:space="0" w:color="auto"/>
            <w:left w:val="none" w:sz="0" w:space="0" w:color="auto"/>
            <w:bottom w:val="none" w:sz="0" w:space="0" w:color="auto"/>
            <w:right w:val="none" w:sz="0" w:space="0" w:color="auto"/>
          </w:divBdr>
        </w:div>
      </w:divsChild>
    </w:div>
    <w:div w:id="1575117927">
      <w:bodyDiv w:val="1"/>
      <w:marLeft w:val="0"/>
      <w:marRight w:val="0"/>
      <w:marTop w:val="0"/>
      <w:marBottom w:val="0"/>
      <w:divBdr>
        <w:top w:val="none" w:sz="0" w:space="0" w:color="auto"/>
        <w:left w:val="none" w:sz="0" w:space="0" w:color="auto"/>
        <w:bottom w:val="none" w:sz="0" w:space="0" w:color="auto"/>
        <w:right w:val="none" w:sz="0" w:space="0" w:color="auto"/>
      </w:divBdr>
      <w:divsChild>
        <w:div w:id="722949822">
          <w:marLeft w:val="0"/>
          <w:marRight w:val="0"/>
          <w:marTop w:val="0"/>
          <w:marBottom w:val="0"/>
          <w:divBdr>
            <w:top w:val="none" w:sz="0" w:space="0" w:color="auto"/>
            <w:left w:val="none" w:sz="0" w:space="0" w:color="auto"/>
            <w:bottom w:val="none" w:sz="0" w:space="0" w:color="auto"/>
            <w:right w:val="none" w:sz="0" w:space="0" w:color="auto"/>
          </w:divBdr>
        </w:div>
        <w:div w:id="1063479819">
          <w:marLeft w:val="0"/>
          <w:marRight w:val="0"/>
          <w:marTop w:val="0"/>
          <w:marBottom w:val="0"/>
          <w:divBdr>
            <w:top w:val="none" w:sz="0" w:space="0" w:color="auto"/>
            <w:left w:val="none" w:sz="0" w:space="0" w:color="auto"/>
            <w:bottom w:val="none" w:sz="0" w:space="0" w:color="auto"/>
            <w:right w:val="none" w:sz="0" w:space="0" w:color="auto"/>
          </w:divBdr>
          <w:divsChild>
            <w:div w:id="1318919120">
              <w:marLeft w:val="0"/>
              <w:marRight w:val="0"/>
              <w:marTop w:val="0"/>
              <w:marBottom w:val="0"/>
              <w:divBdr>
                <w:top w:val="none" w:sz="0" w:space="0" w:color="auto"/>
                <w:left w:val="none" w:sz="0" w:space="0" w:color="auto"/>
                <w:bottom w:val="none" w:sz="0" w:space="0" w:color="auto"/>
                <w:right w:val="none" w:sz="0" w:space="0" w:color="auto"/>
              </w:divBdr>
            </w:div>
            <w:div w:id="2099708664">
              <w:marLeft w:val="0"/>
              <w:marRight w:val="0"/>
              <w:marTop w:val="0"/>
              <w:marBottom w:val="0"/>
              <w:divBdr>
                <w:top w:val="none" w:sz="0" w:space="0" w:color="auto"/>
                <w:left w:val="none" w:sz="0" w:space="0" w:color="auto"/>
                <w:bottom w:val="none" w:sz="0" w:space="0" w:color="auto"/>
                <w:right w:val="none" w:sz="0" w:space="0" w:color="auto"/>
              </w:divBdr>
            </w:div>
            <w:div w:id="20861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099609">
      <w:bodyDiv w:val="1"/>
      <w:marLeft w:val="0"/>
      <w:marRight w:val="0"/>
      <w:marTop w:val="0"/>
      <w:marBottom w:val="0"/>
      <w:divBdr>
        <w:top w:val="none" w:sz="0" w:space="0" w:color="auto"/>
        <w:left w:val="none" w:sz="0" w:space="0" w:color="auto"/>
        <w:bottom w:val="none" w:sz="0" w:space="0" w:color="auto"/>
        <w:right w:val="none" w:sz="0" w:space="0" w:color="auto"/>
      </w:divBdr>
    </w:div>
    <w:div w:id="1839270222">
      <w:bodyDiv w:val="1"/>
      <w:marLeft w:val="0"/>
      <w:marRight w:val="0"/>
      <w:marTop w:val="0"/>
      <w:marBottom w:val="0"/>
      <w:divBdr>
        <w:top w:val="none" w:sz="0" w:space="0" w:color="auto"/>
        <w:left w:val="none" w:sz="0" w:space="0" w:color="auto"/>
        <w:bottom w:val="none" w:sz="0" w:space="0" w:color="auto"/>
        <w:right w:val="none" w:sz="0" w:space="0" w:color="auto"/>
      </w:divBdr>
    </w:div>
    <w:div w:id="213864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072FC-15DC-4724-AC2A-8F937395E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373</TotalTime>
  <Pages>6</Pages>
  <Words>2463</Words>
  <Characters>14041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Grebliunaite</dc:creator>
  <cp:keywords/>
  <dc:description/>
  <cp:lastModifiedBy>Giedrė Šeškevičienė</cp:lastModifiedBy>
  <cp:revision>236</cp:revision>
  <cp:lastPrinted>2017-05-02T12:51:00Z</cp:lastPrinted>
  <dcterms:created xsi:type="dcterms:W3CDTF">2021-04-27T11:41:00Z</dcterms:created>
  <dcterms:modified xsi:type="dcterms:W3CDTF">2021-05-18T08:45:00Z</dcterms:modified>
</cp:coreProperties>
</file>