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AC016" w14:textId="7640C966" w:rsidR="00CE1DF4" w:rsidRPr="00D435AB" w:rsidRDefault="00CE1DF4" w:rsidP="00D435AB">
      <w:pPr>
        <w:autoSpaceDE w:val="0"/>
        <w:autoSpaceDN w:val="0"/>
        <w:adjustRightInd w:val="0"/>
        <w:jc w:val="center"/>
        <w:rPr>
          <w:rFonts w:cs="Times New Roman"/>
          <w:b/>
          <w:caps/>
          <w:szCs w:val="24"/>
        </w:rPr>
      </w:pPr>
      <w:bookmarkStart w:id="0" w:name="OLE_LINK1"/>
      <w:bookmarkStart w:id="1" w:name="OLE_LINK2"/>
      <w:r w:rsidRPr="001E48B0">
        <w:rPr>
          <w:b/>
          <w:bCs/>
          <w:caps/>
          <w:szCs w:val="24"/>
        </w:rPr>
        <w:t>Lietuvos Respublikos Vyriausybės nutarimo „</w:t>
      </w:r>
      <w:r w:rsidR="006678E7" w:rsidRPr="00CC5E15">
        <w:rPr>
          <w:rFonts w:cs="Times New Roman"/>
          <w:b/>
          <w:caps/>
          <w:szCs w:val="24"/>
        </w:rPr>
        <w:t>Dėl miško žemės</w:t>
      </w:r>
      <w:r w:rsidR="006678E7">
        <w:rPr>
          <w:rFonts w:cs="Times New Roman"/>
          <w:b/>
          <w:caps/>
          <w:szCs w:val="24"/>
        </w:rPr>
        <w:t>, KURIOS REIKIA</w:t>
      </w:r>
      <w:r w:rsidR="006678E7" w:rsidRPr="00CC5E15">
        <w:rPr>
          <w:rFonts w:cs="Times New Roman"/>
          <w:b/>
          <w:caps/>
          <w:szCs w:val="24"/>
        </w:rPr>
        <w:t xml:space="preserve"> ypatingos valstybinės svarbos elektros energetikos sistemos sinchronizacijos projekt</w:t>
      </w:r>
      <w:r w:rsidR="006678E7">
        <w:rPr>
          <w:rFonts w:cs="Times New Roman"/>
          <w:b/>
          <w:caps/>
          <w:szCs w:val="24"/>
        </w:rPr>
        <w:t>UI</w:t>
      </w:r>
      <w:r w:rsidR="006678E7" w:rsidRPr="00CC5E15">
        <w:rPr>
          <w:rFonts w:cs="Times New Roman"/>
          <w:b/>
          <w:caps/>
          <w:szCs w:val="24"/>
        </w:rPr>
        <w:t xml:space="preserve"> „330 kV elektros perdavimo linijos Kruonio HAE–Bitėnai statyba“ įgyvendinti</w:t>
      </w:r>
      <w:r w:rsidR="006678E7">
        <w:rPr>
          <w:rFonts w:cs="Times New Roman"/>
          <w:b/>
          <w:caps/>
          <w:szCs w:val="24"/>
        </w:rPr>
        <w:t xml:space="preserve">, </w:t>
      </w:r>
      <w:r w:rsidR="006678E7" w:rsidRPr="00CC5E15">
        <w:rPr>
          <w:rFonts w:cs="Times New Roman"/>
          <w:b/>
          <w:caps/>
          <w:szCs w:val="24"/>
        </w:rPr>
        <w:t xml:space="preserve">pavertimo kitomis naudmenomis </w:t>
      </w:r>
      <w:r w:rsidR="006678E7" w:rsidRPr="003D2C38">
        <w:rPr>
          <w:rFonts w:cs="Times New Roman"/>
          <w:b/>
          <w:bCs/>
          <w:color w:val="000000"/>
          <w:szCs w:val="24"/>
        </w:rPr>
        <w:t>IR KOMPENSAVIMO UŽ MIŠKO ŽEMĖS PAVERTIMĄ KITOMIS NAUDMENOMIS</w:t>
      </w:r>
      <w:r w:rsidR="00A20A03" w:rsidRPr="001E48B0">
        <w:rPr>
          <w:b/>
          <w:bCs/>
          <w:caps/>
          <w:szCs w:val="24"/>
        </w:rPr>
        <w:t>“ projekt</w:t>
      </w:r>
      <w:r w:rsidR="00111D3A">
        <w:rPr>
          <w:b/>
          <w:bCs/>
          <w:caps/>
          <w:szCs w:val="24"/>
        </w:rPr>
        <w:t>O</w:t>
      </w:r>
      <w:r w:rsidR="00957A72">
        <w:rPr>
          <w:b/>
          <w:bCs/>
          <w:caps/>
          <w:szCs w:val="24"/>
        </w:rPr>
        <w:t xml:space="preserve"> (toliau – </w:t>
      </w:r>
      <w:r w:rsidR="002D7C16">
        <w:rPr>
          <w:b/>
          <w:bCs/>
          <w:caps/>
          <w:szCs w:val="24"/>
        </w:rPr>
        <w:t xml:space="preserve">NUTARIMO </w:t>
      </w:r>
      <w:r w:rsidR="00957A72">
        <w:rPr>
          <w:b/>
          <w:bCs/>
          <w:caps/>
          <w:szCs w:val="24"/>
        </w:rPr>
        <w:t>Projekta</w:t>
      </w:r>
      <w:r w:rsidR="00D435AB">
        <w:rPr>
          <w:b/>
          <w:bCs/>
          <w:caps/>
          <w:szCs w:val="24"/>
        </w:rPr>
        <w:t>S</w:t>
      </w:r>
      <w:r w:rsidR="00957A72">
        <w:rPr>
          <w:b/>
          <w:bCs/>
          <w:caps/>
          <w:szCs w:val="24"/>
        </w:rPr>
        <w:t>)</w:t>
      </w:r>
    </w:p>
    <w:p w14:paraId="578DD639" w14:textId="07B71D1C" w:rsidR="00EF7B24" w:rsidRPr="007D7406" w:rsidRDefault="000A2418" w:rsidP="00EF7B24">
      <w:pPr>
        <w:jc w:val="center"/>
        <w:rPr>
          <w:b/>
          <w:szCs w:val="24"/>
        </w:rPr>
      </w:pPr>
      <w:r w:rsidRPr="00111D3A">
        <w:rPr>
          <w:b/>
        </w:rPr>
        <w:t xml:space="preserve"> </w:t>
      </w:r>
      <w:r w:rsidR="00EF7B24" w:rsidRPr="007D7406">
        <w:rPr>
          <w:b/>
          <w:szCs w:val="24"/>
        </w:rPr>
        <w:t>DERINIMO PAŽYMA</w:t>
      </w:r>
      <w:bookmarkEnd w:id="0"/>
      <w:bookmarkEnd w:id="1"/>
    </w:p>
    <w:p w14:paraId="077DC5DC" w14:textId="77777777" w:rsidR="0051166D" w:rsidRPr="007D7406" w:rsidRDefault="0051166D"/>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647"/>
        <w:gridCol w:w="6365"/>
      </w:tblGrid>
      <w:tr w:rsidR="00EF7B24" w:rsidRPr="007D7406" w14:paraId="0FD5BA17" w14:textId="77777777" w:rsidTr="00D435AB">
        <w:trPr>
          <w:jc w:val="center"/>
        </w:trPr>
        <w:tc>
          <w:tcPr>
            <w:tcW w:w="1584" w:type="dxa"/>
            <w:shd w:val="clear" w:color="auto" w:fill="auto"/>
          </w:tcPr>
          <w:p w14:paraId="7F1C4F93" w14:textId="77777777" w:rsidR="00EF7B24" w:rsidRPr="007D7406" w:rsidRDefault="00EF7B24" w:rsidP="00EF7B24">
            <w:pPr>
              <w:jc w:val="center"/>
            </w:pPr>
            <w:r w:rsidRPr="007D7406">
              <w:rPr>
                <w:b/>
                <w:bCs/>
                <w:szCs w:val="24"/>
              </w:rPr>
              <w:t>Institucijos arba ūkio subjekto pavadinimas, rašto data, numeris</w:t>
            </w:r>
          </w:p>
        </w:tc>
        <w:tc>
          <w:tcPr>
            <w:tcW w:w="6647" w:type="dxa"/>
            <w:shd w:val="clear" w:color="auto" w:fill="auto"/>
          </w:tcPr>
          <w:p w14:paraId="0BD8105E" w14:textId="77777777" w:rsidR="00EF7B24" w:rsidRPr="007D7406" w:rsidRDefault="00EF7B24" w:rsidP="00EF7B24">
            <w:pPr>
              <w:jc w:val="center"/>
              <w:rPr>
                <w:b/>
                <w:bCs/>
                <w:szCs w:val="24"/>
              </w:rPr>
            </w:pPr>
          </w:p>
          <w:p w14:paraId="1982C603" w14:textId="77777777" w:rsidR="00517FA1" w:rsidRDefault="00517FA1" w:rsidP="00EF7B24">
            <w:pPr>
              <w:jc w:val="center"/>
              <w:rPr>
                <w:b/>
                <w:bCs/>
                <w:szCs w:val="24"/>
              </w:rPr>
            </w:pPr>
          </w:p>
          <w:p w14:paraId="7C25C59E" w14:textId="0B7EC61C" w:rsidR="00EF7B24" w:rsidRPr="007D7406" w:rsidRDefault="00EF7B24" w:rsidP="00EF7B24">
            <w:pPr>
              <w:jc w:val="center"/>
            </w:pPr>
            <w:r w:rsidRPr="007D7406">
              <w:rPr>
                <w:b/>
                <w:bCs/>
                <w:szCs w:val="24"/>
              </w:rPr>
              <w:t>Pastabos ir pasiūlymai</w:t>
            </w:r>
          </w:p>
        </w:tc>
        <w:tc>
          <w:tcPr>
            <w:tcW w:w="6365" w:type="dxa"/>
            <w:shd w:val="clear" w:color="auto" w:fill="auto"/>
          </w:tcPr>
          <w:p w14:paraId="23141967" w14:textId="77777777" w:rsidR="00EF7B24" w:rsidRPr="007D7406" w:rsidRDefault="00EF7B24" w:rsidP="00EF7B24">
            <w:pPr>
              <w:jc w:val="center"/>
              <w:rPr>
                <w:b/>
                <w:bCs/>
                <w:szCs w:val="24"/>
              </w:rPr>
            </w:pPr>
          </w:p>
          <w:p w14:paraId="3499001C" w14:textId="77777777" w:rsidR="00517FA1" w:rsidRDefault="00517FA1" w:rsidP="00EF7B24">
            <w:pPr>
              <w:jc w:val="center"/>
              <w:rPr>
                <w:b/>
                <w:bCs/>
                <w:szCs w:val="24"/>
              </w:rPr>
            </w:pPr>
          </w:p>
          <w:p w14:paraId="501B2B1E" w14:textId="48F33083" w:rsidR="00EF7B24" w:rsidRPr="007D7406" w:rsidRDefault="00EF7B24" w:rsidP="00EF7B24">
            <w:pPr>
              <w:jc w:val="center"/>
              <w:rPr>
                <w:szCs w:val="24"/>
              </w:rPr>
            </w:pPr>
            <w:r w:rsidRPr="007D7406">
              <w:rPr>
                <w:b/>
                <w:bCs/>
                <w:szCs w:val="24"/>
              </w:rPr>
              <w:t>Argumentai (neatsižvelgta, atsižvelgta iš dalies)</w:t>
            </w:r>
          </w:p>
          <w:p w14:paraId="3D520D51" w14:textId="77777777" w:rsidR="00EF7B24" w:rsidRPr="007D7406" w:rsidRDefault="00EF7B24" w:rsidP="00EF7B24">
            <w:pPr>
              <w:jc w:val="center"/>
            </w:pPr>
          </w:p>
        </w:tc>
      </w:tr>
      <w:tr w:rsidR="0051166D" w:rsidRPr="007D7406" w14:paraId="423F5CC4" w14:textId="77777777" w:rsidTr="00D435AB">
        <w:trPr>
          <w:jc w:val="center"/>
        </w:trPr>
        <w:tc>
          <w:tcPr>
            <w:tcW w:w="1584" w:type="dxa"/>
            <w:shd w:val="clear" w:color="auto" w:fill="auto"/>
          </w:tcPr>
          <w:p w14:paraId="7EADA016" w14:textId="4C795849" w:rsidR="0051166D" w:rsidRDefault="00AD3168" w:rsidP="00261A30">
            <w:pPr>
              <w:jc w:val="both"/>
              <w:rPr>
                <w:szCs w:val="24"/>
              </w:rPr>
            </w:pPr>
            <w:r>
              <w:rPr>
                <w:szCs w:val="24"/>
              </w:rPr>
              <w:t>Lietuvos Respublikos aplinkos ministerijos</w:t>
            </w:r>
          </w:p>
          <w:p w14:paraId="6042FFFB" w14:textId="032F76C5" w:rsidR="00532763" w:rsidRDefault="00CA653B" w:rsidP="00261A30">
            <w:pPr>
              <w:jc w:val="both"/>
              <w:rPr>
                <w:szCs w:val="24"/>
              </w:rPr>
            </w:pPr>
            <w:r>
              <w:rPr>
                <w:szCs w:val="24"/>
              </w:rPr>
              <w:t>2021-11-03 raštas Nr. </w:t>
            </w:r>
            <w:r w:rsidR="00532763" w:rsidRPr="00532763">
              <w:rPr>
                <w:szCs w:val="24"/>
              </w:rPr>
              <w:t>(66)-D8(E)-6831</w:t>
            </w:r>
          </w:p>
          <w:p w14:paraId="1E309D8E" w14:textId="77777777" w:rsidR="00532763" w:rsidRPr="00532763" w:rsidRDefault="00532763" w:rsidP="00261A30">
            <w:pPr>
              <w:jc w:val="both"/>
              <w:rPr>
                <w:szCs w:val="24"/>
                <w:lang w:val="en-US"/>
              </w:rPr>
            </w:pPr>
          </w:p>
          <w:p w14:paraId="1550B9C8" w14:textId="29215459" w:rsidR="00AD3168" w:rsidRPr="0061795B" w:rsidRDefault="00AD3168" w:rsidP="00261A30">
            <w:pPr>
              <w:jc w:val="both"/>
              <w:rPr>
                <w:szCs w:val="24"/>
              </w:rPr>
            </w:pPr>
          </w:p>
        </w:tc>
        <w:tc>
          <w:tcPr>
            <w:tcW w:w="6647" w:type="dxa"/>
            <w:shd w:val="clear" w:color="auto" w:fill="auto"/>
          </w:tcPr>
          <w:p w14:paraId="3D4A0D25" w14:textId="77777777" w:rsidR="00F42DDD" w:rsidRDefault="00F42DDD" w:rsidP="00F42DDD">
            <w:pPr>
              <w:pStyle w:val="BodyText0"/>
              <w:spacing w:before="0" w:beforeAutospacing="0" w:after="0" w:afterAutospacing="0"/>
              <w:jc w:val="both"/>
              <w:rPr>
                <w:iCs/>
              </w:rPr>
            </w:pPr>
            <w:r w:rsidRPr="00447936">
              <w:rPr>
                <w:iCs/>
              </w:rPr>
              <w:t>Miško žemės pavertimo kitomis naudmenomis ir kompensavimo už miško žemės pavertimą kitomis naudmenomis tvarkos aprašo, patvirtinto Lietuvos Respublikos Vyriausybės 2011 m. rugsėjo 28 d. nutarimu Nr. 1131 ,,Dėl Miško žemės pavertimo kitomis naudmenomis ir kompensavimo už miško žemės pavertimą kitomis naudmenomis tvarkos aprašo patvirtinimo ir kai kurių Lietuvos Respublikos Vyriausybės nutarimų pripažinimo netekusiais galios“, </w:t>
            </w:r>
            <w:r w:rsidRPr="00447936">
              <w:rPr>
                <w:bCs/>
                <w:iCs/>
              </w:rPr>
              <w:t>17 punkte nustatyta</w:t>
            </w:r>
            <w:r w:rsidRPr="00447936">
              <w:rPr>
                <w:iCs/>
              </w:rPr>
              <w:t>, kad miško žemę paverčiant kitomis naudmenomis iškirsta mediena </w:t>
            </w:r>
            <w:r w:rsidRPr="00447936">
              <w:rPr>
                <w:bCs/>
                <w:iCs/>
              </w:rPr>
              <w:t>disponuoja valstybinės miško žemės patikėtiniai</w:t>
            </w:r>
            <w:r w:rsidRPr="00447936">
              <w:rPr>
                <w:iCs/>
              </w:rPr>
              <w:t xml:space="preserve">, valdantys šią miško žemę iki jos pavertimo kitomis naudmenomis, arba kitomis naudmenomis paverčiamos privačios miško žemės savininkai. </w:t>
            </w:r>
          </w:p>
          <w:p w14:paraId="5CE71F7A" w14:textId="2055EB0B" w:rsidR="00F42DDD" w:rsidRDefault="00F42DDD" w:rsidP="00F42DDD">
            <w:pPr>
              <w:pStyle w:val="BodyText0"/>
              <w:spacing w:before="0" w:beforeAutospacing="0" w:after="0" w:afterAutospacing="0"/>
              <w:jc w:val="both"/>
              <w:rPr>
                <w:iCs/>
              </w:rPr>
            </w:pPr>
            <w:r>
              <w:rPr>
                <w:iCs/>
              </w:rPr>
              <w:t xml:space="preserve">Informuojame, </w:t>
            </w:r>
            <w:r w:rsidRPr="00447936">
              <w:rPr>
                <w:iCs/>
              </w:rPr>
              <w:t>kad Nacionalin</w:t>
            </w:r>
            <w:r>
              <w:rPr>
                <w:iCs/>
              </w:rPr>
              <w:t>ė žemės tarnyba</w:t>
            </w:r>
            <w:r w:rsidRPr="00447936">
              <w:rPr>
                <w:iCs/>
              </w:rPr>
              <w:t xml:space="preserve">, kuri yra </w:t>
            </w:r>
            <w:r>
              <w:rPr>
                <w:iCs/>
              </w:rPr>
              <w:t>1.2</w:t>
            </w:r>
            <w:r w:rsidR="007D0206">
              <w:rPr>
                <w:iCs/>
              </w:rPr>
              <w:t> </w:t>
            </w:r>
            <w:r>
              <w:rPr>
                <w:iCs/>
              </w:rPr>
              <w:t xml:space="preserve">papunktyje nurodyto </w:t>
            </w:r>
            <w:r w:rsidRPr="00447936">
              <w:rPr>
                <w:iCs/>
              </w:rPr>
              <w:t>žemės sklyp</w:t>
            </w:r>
            <w:r>
              <w:rPr>
                <w:iCs/>
              </w:rPr>
              <w:t xml:space="preserve">o ir </w:t>
            </w:r>
            <w:r w:rsidRPr="00447936">
              <w:rPr>
                <w:iCs/>
              </w:rPr>
              <w:t>nesuformuot</w:t>
            </w:r>
            <w:r>
              <w:rPr>
                <w:iCs/>
              </w:rPr>
              <w:t>ų</w:t>
            </w:r>
            <w:r w:rsidRPr="00447936">
              <w:rPr>
                <w:iCs/>
              </w:rPr>
              <w:t xml:space="preserve"> žemės sklyp</w:t>
            </w:r>
            <w:r>
              <w:rPr>
                <w:iCs/>
              </w:rPr>
              <w:t xml:space="preserve">ų </w:t>
            </w:r>
            <w:r w:rsidRPr="00447936">
              <w:rPr>
                <w:iCs/>
              </w:rPr>
              <w:t>patikėtinė,</w:t>
            </w:r>
            <w:r>
              <w:rPr>
                <w:iCs/>
              </w:rPr>
              <w:t xml:space="preserve"> yra išrei</w:t>
            </w:r>
            <w:r w:rsidR="00074A15">
              <w:rPr>
                <w:iCs/>
              </w:rPr>
              <w:t>š</w:t>
            </w:r>
            <w:r>
              <w:rPr>
                <w:iCs/>
              </w:rPr>
              <w:t>kus</w:t>
            </w:r>
            <w:r w:rsidR="00074A15">
              <w:rPr>
                <w:iCs/>
              </w:rPr>
              <w:t>i</w:t>
            </w:r>
            <w:r>
              <w:rPr>
                <w:iCs/>
              </w:rPr>
              <w:t xml:space="preserve"> nuomonę, kad </w:t>
            </w:r>
            <w:r w:rsidRPr="00447936">
              <w:rPr>
                <w:iCs/>
              </w:rPr>
              <w:t>Nacionalin</w:t>
            </w:r>
            <w:r>
              <w:rPr>
                <w:iCs/>
              </w:rPr>
              <w:t>ė žemės tarnybai</w:t>
            </w:r>
            <w:r w:rsidRPr="00447936">
              <w:rPr>
                <w:iCs/>
              </w:rPr>
              <w:t xml:space="preserve"> teisės aktuose nėra numatyta nei teisė, nei pare</w:t>
            </w:r>
            <w:r>
              <w:rPr>
                <w:iCs/>
              </w:rPr>
              <w:t>iga disponuoti iškirsta mediena.</w:t>
            </w:r>
          </w:p>
          <w:p w14:paraId="29AF7FC3" w14:textId="77777777" w:rsidR="00F42DDD" w:rsidRDefault="00F42DDD" w:rsidP="00F42DDD">
            <w:pPr>
              <w:pStyle w:val="BodyText0"/>
              <w:spacing w:before="0" w:beforeAutospacing="0" w:after="0" w:afterAutospacing="0"/>
              <w:jc w:val="both"/>
            </w:pPr>
            <w:r w:rsidRPr="009B4636">
              <w:t xml:space="preserve">Lietuvos Respublikoje miškų </w:t>
            </w:r>
            <w:r>
              <w:t xml:space="preserve">įstatymo 7 straipsnio </w:t>
            </w:r>
            <w:r w:rsidRPr="009B4636">
              <w:t>1</w:t>
            </w:r>
            <w:r>
              <w:t xml:space="preserve"> dalyje nustatyta, kad </w:t>
            </w:r>
            <w:r w:rsidRPr="009B4636">
              <w:t xml:space="preserve">Lietuvos Respublikoje miškų </w:t>
            </w:r>
            <w:r w:rsidRPr="009B4636">
              <w:rPr>
                <w:bCs/>
              </w:rPr>
              <w:t xml:space="preserve">urėdija </w:t>
            </w:r>
            <w:r w:rsidRPr="009B4636">
              <w:t xml:space="preserve">veikia pagal Lietuvos Respublikos valstybės ir savivaldybės įmonių įstatymą, </w:t>
            </w:r>
            <w:r w:rsidRPr="00BB20E0">
              <w:t>vykdo kompleksinę miškų ūkio veiklą valstybiniuose miškuose,</w:t>
            </w:r>
            <w:r w:rsidRPr="009B4636">
              <w:t xml:space="preserve"> Vyriausybės nustatyta tvarka didmeninėje ir mažmeninėje </w:t>
            </w:r>
            <w:r w:rsidRPr="009B4636">
              <w:lastRenderedPageBreak/>
              <w:t>prekyboje parduoda žaliavinę medieną, miško kirtimo liekanas ir nenukirstą mišką.</w:t>
            </w:r>
          </w:p>
          <w:p w14:paraId="4CC519A8" w14:textId="77777777" w:rsidR="00F42DDD" w:rsidRDefault="00F42DDD" w:rsidP="00F42DDD">
            <w:pPr>
              <w:pStyle w:val="BodyText0"/>
              <w:spacing w:before="0" w:beforeAutospacing="0" w:after="0" w:afterAutospacing="0"/>
              <w:jc w:val="both"/>
              <w:rPr>
                <w:iCs/>
              </w:rPr>
            </w:pPr>
            <w:r w:rsidRPr="00447936">
              <w:rPr>
                <w:iCs/>
              </w:rPr>
              <w:t>Atsižvelgdami į Nacionalin</w:t>
            </w:r>
            <w:r>
              <w:rPr>
                <w:iCs/>
              </w:rPr>
              <w:t xml:space="preserve">ė žemės tarnybos išsakytą nuomonę ir Miškų įstatymo nuostatas </w:t>
            </w:r>
            <w:r w:rsidRPr="00447936">
              <w:rPr>
                <w:iCs/>
              </w:rPr>
              <w:t xml:space="preserve">siūlome tikslinti Nutarimo </w:t>
            </w:r>
            <w:r>
              <w:rPr>
                <w:iCs/>
              </w:rPr>
              <w:t>p</w:t>
            </w:r>
            <w:r w:rsidRPr="00447936">
              <w:rPr>
                <w:iCs/>
              </w:rPr>
              <w:t xml:space="preserve">rojektą, </w:t>
            </w:r>
            <w:r>
              <w:rPr>
                <w:iCs/>
              </w:rPr>
              <w:t>papildant 3.3 papunkčiu:</w:t>
            </w:r>
          </w:p>
          <w:p w14:paraId="2DFEE545" w14:textId="34C6F85A" w:rsidR="0051166D" w:rsidRPr="007D7406" w:rsidRDefault="00F42DDD" w:rsidP="00916F35">
            <w:pPr>
              <w:jc w:val="both"/>
            </w:pPr>
            <w:r>
              <w:rPr>
                <w:rFonts w:cs="Times New Roman"/>
                <w:iCs/>
              </w:rPr>
              <w:t xml:space="preserve">„3.3. </w:t>
            </w:r>
            <w:r w:rsidRPr="00881D3A">
              <w:rPr>
                <w:rFonts w:cs="Times New Roman"/>
                <w:iCs/>
              </w:rPr>
              <w:t>šio nutarimo</w:t>
            </w:r>
            <w:r>
              <w:rPr>
                <w:rFonts w:cs="Times New Roman"/>
                <w:iCs/>
              </w:rPr>
              <w:t xml:space="preserve"> 1.2 papunktyje</w:t>
            </w:r>
            <w:r w:rsidRPr="00881D3A">
              <w:rPr>
                <w:rFonts w:cs="Times New Roman"/>
                <w:iCs/>
              </w:rPr>
              <w:t xml:space="preserve"> paverčiamose kitomis naudmenomis valstybinės miško žemės teritorijose mišką kerta ir mediena disponuoja VĮ Valstybinių miškų urėdija.</w:t>
            </w:r>
            <w:r>
              <w:rPr>
                <w:rFonts w:cs="Times New Roman"/>
                <w:iCs/>
              </w:rPr>
              <w:t>“</w:t>
            </w:r>
            <w:r w:rsidRPr="00447936">
              <w:rPr>
                <w:rFonts w:cs="Times New Roman"/>
                <w:iCs/>
              </w:rPr>
              <w:t>.</w:t>
            </w:r>
          </w:p>
        </w:tc>
        <w:tc>
          <w:tcPr>
            <w:tcW w:w="6365" w:type="dxa"/>
            <w:shd w:val="clear" w:color="auto" w:fill="auto"/>
          </w:tcPr>
          <w:p w14:paraId="1E6784B5" w14:textId="21440047" w:rsidR="007D7406" w:rsidRPr="00B87718" w:rsidRDefault="00643D41" w:rsidP="001F4AD5">
            <w:pPr>
              <w:pStyle w:val="NoSpacing"/>
              <w:rPr>
                <w:b/>
                <w:bCs/>
                <w:szCs w:val="24"/>
              </w:rPr>
            </w:pPr>
            <w:r>
              <w:rPr>
                <w:b/>
                <w:bCs/>
                <w:szCs w:val="24"/>
              </w:rPr>
              <w:lastRenderedPageBreak/>
              <w:t>Nea</w:t>
            </w:r>
            <w:r w:rsidR="00FA5947" w:rsidRPr="00B87718">
              <w:rPr>
                <w:b/>
                <w:bCs/>
                <w:szCs w:val="24"/>
              </w:rPr>
              <w:t>tsižvelgta</w:t>
            </w:r>
          </w:p>
          <w:p w14:paraId="678AB788" w14:textId="0EE44D52" w:rsidR="00174C15" w:rsidRPr="00D879F2" w:rsidRDefault="00AE000E" w:rsidP="00174C15">
            <w:pPr>
              <w:pStyle w:val="BodyText0"/>
              <w:spacing w:before="0" w:beforeAutospacing="0" w:after="0" w:afterAutospacing="0"/>
              <w:jc w:val="both"/>
            </w:pPr>
            <w:r w:rsidRPr="00D879F2">
              <w:t>Iš esmės neprieštaraudami pasiūlyme išsakyt</w:t>
            </w:r>
            <w:r w:rsidR="009602F3" w:rsidRPr="00D879F2">
              <w:t>am tikslui</w:t>
            </w:r>
            <w:r w:rsidRPr="00D879F2">
              <w:t>, turime atkreipti dėmesį į tai, kad k</w:t>
            </w:r>
            <w:r w:rsidR="00174C15" w:rsidRPr="00D879F2">
              <w:t>lausimas, kas</w:t>
            </w:r>
            <w:r w:rsidR="00BC1CE1" w:rsidRPr="00D879F2">
              <w:t xml:space="preserve"> disponuoja </w:t>
            </w:r>
            <w:r w:rsidR="00174C15" w:rsidRPr="00D879F2">
              <w:t>iškirsta mediena</w:t>
            </w:r>
            <w:r w:rsidR="00D77AA3">
              <w:t>,</w:t>
            </w:r>
            <w:r w:rsidR="00174C15" w:rsidRPr="00D879F2">
              <w:t xml:space="preserve"> nėra šio Nutarimo projekto dalykas. Šis klausimas išspręstas Miško žemės pavertimo kitomis naudmenomis ir kompensavimo už miško žemės pavertimą kitomis naudmenomis tvarkos aprašo, patvirtinto Lietuvos Respublikos Vyriausybės 2011 m. rugsėjo 28 d. nutarimu Nr. 1131 </w:t>
            </w:r>
            <w:r w:rsidR="0047573F" w:rsidRPr="00D879F2">
              <w:rPr>
                <w:iCs/>
              </w:rPr>
              <w:t>,,Dėl Miško žemės pavertimo kitomis naudmenomis ir kompensavimo už miško žemės pavertimą kitomis naudmenomis tvarkos aprašo patvirtinimo ir kai kurių Lietuvos Respublikos Vyriausybės nutarimų pripažinimo netekusiais galios“</w:t>
            </w:r>
            <w:r w:rsidR="0047573F" w:rsidRPr="00D879F2">
              <w:t xml:space="preserve"> </w:t>
            </w:r>
            <w:r w:rsidR="00174C15" w:rsidRPr="00D879F2">
              <w:t>(toliau – Aprašas), nuostatomis. Aprašo 17</w:t>
            </w:r>
            <w:r w:rsidR="001D6F4C" w:rsidRPr="00D879F2">
              <w:t> </w:t>
            </w:r>
            <w:r w:rsidR="00174C15" w:rsidRPr="00D879F2">
              <w:t>punkte aiškiai nustatyta, kad būtent patikėtiniai, valdantys miško žemę iki jos pavertimo kitomis naudmenomis, arba kitomis naudmenomis paverčiamos privačios miško žemės savininkai</w:t>
            </w:r>
            <w:r w:rsidR="00D77AA3">
              <w:t xml:space="preserve"> </w:t>
            </w:r>
            <w:r w:rsidR="00174C15" w:rsidRPr="00D879F2">
              <w:t xml:space="preserve">yra tie subjektai, kurie </w:t>
            </w:r>
            <w:r w:rsidR="00B63593" w:rsidRPr="00D879F2">
              <w:t xml:space="preserve">ir </w:t>
            </w:r>
            <w:r w:rsidR="00174C15" w:rsidRPr="00D879F2">
              <w:t xml:space="preserve">yra atsakingi už </w:t>
            </w:r>
            <w:r w:rsidR="00D77AA3">
              <w:t xml:space="preserve">disponavimą </w:t>
            </w:r>
            <w:r w:rsidR="00174C15" w:rsidRPr="00D879F2">
              <w:t>iškirst</w:t>
            </w:r>
            <w:r w:rsidR="00D77AA3">
              <w:t>a</w:t>
            </w:r>
            <w:r w:rsidR="00174C15" w:rsidRPr="00D879F2">
              <w:t xml:space="preserve"> medien</w:t>
            </w:r>
            <w:r w:rsidR="00D77AA3">
              <w:t>a</w:t>
            </w:r>
            <w:r w:rsidR="00174C15" w:rsidRPr="00D879F2">
              <w:t>.</w:t>
            </w:r>
          </w:p>
          <w:p w14:paraId="0B65BAC7" w14:textId="41C42867" w:rsidR="00243668" w:rsidRPr="00D879F2" w:rsidRDefault="003C3DCD" w:rsidP="00174C15">
            <w:pPr>
              <w:pStyle w:val="BodyText0"/>
              <w:spacing w:before="0" w:beforeAutospacing="0" w:after="0" w:afterAutospacing="0"/>
              <w:jc w:val="both"/>
            </w:pPr>
            <w:r w:rsidRPr="00D879F2">
              <w:t>Pažymėtina ir tai, ka</w:t>
            </w:r>
            <w:r w:rsidR="0084322B" w:rsidRPr="00D879F2">
              <w:t xml:space="preserve">d </w:t>
            </w:r>
            <w:r w:rsidR="00C5037C" w:rsidRPr="00D879F2">
              <w:t>mišk</w:t>
            </w:r>
            <w:r w:rsidR="00454BCD" w:rsidRPr="00D879F2">
              <w:t>o kirtimo</w:t>
            </w:r>
            <w:r w:rsidR="00D11C9A" w:rsidRPr="00D879F2">
              <w:t xml:space="preserve"> organizavimo</w:t>
            </w:r>
            <w:r w:rsidR="00454BCD" w:rsidRPr="00D879F2">
              <w:t xml:space="preserve"> klausimas taip pat nėra šio Nutarimo projekto dalykas</w:t>
            </w:r>
            <w:r w:rsidR="00D66228" w:rsidRPr="00D879F2">
              <w:t>. Apraš</w:t>
            </w:r>
            <w:r w:rsidR="00F1495C" w:rsidRPr="00D879F2">
              <w:t>e</w:t>
            </w:r>
            <w:r w:rsidR="00D66228" w:rsidRPr="00D879F2">
              <w:t>, kuriuo vadovaujantis rengiamas Nutarimo projektas</w:t>
            </w:r>
            <w:r w:rsidR="00DA756E" w:rsidRPr="00D879F2">
              <w:t xml:space="preserve">, </w:t>
            </w:r>
            <w:r w:rsidR="00F1495C" w:rsidRPr="00D879F2">
              <w:t>nėra nustatyta, kad miško kirtim</w:t>
            </w:r>
            <w:r w:rsidR="004D16F9" w:rsidRPr="00D879F2">
              <w:t>o organizavimo klausima</w:t>
            </w:r>
            <w:r w:rsidR="003729B8" w:rsidRPr="00D879F2">
              <w:t xml:space="preserve">s ir kiti </w:t>
            </w:r>
            <w:r w:rsidR="00E42A70" w:rsidRPr="00D879F2">
              <w:t>šiame procese dal</w:t>
            </w:r>
            <w:r w:rsidR="00FC3DBC" w:rsidRPr="00D879F2">
              <w:t>y</w:t>
            </w:r>
            <w:r w:rsidR="00E42A70" w:rsidRPr="00D879F2">
              <w:t>vaujančių subjektų santykiai</w:t>
            </w:r>
            <w:r w:rsidR="00F1495C" w:rsidRPr="00D879F2">
              <w:t xml:space="preserve"> </w:t>
            </w:r>
            <w:r w:rsidR="00860905" w:rsidRPr="00D879F2">
              <w:t xml:space="preserve">po miško žemės pavertimo </w:t>
            </w:r>
            <w:r w:rsidR="00860905" w:rsidRPr="00D879F2">
              <w:lastRenderedPageBreak/>
              <w:t>kitomis naudmenomis</w:t>
            </w:r>
            <w:r w:rsidR="00703453" w:rsidRPr="00D879F2">
              <w:t xml:space="preserve">, </w:t>
            </w:r>
            <w:r w:rsidR="00F1495C" w:rsidRPr="00D879F2">
              <w:t xml:space="preserve">turėtų būti </w:t>
            </w:r>
            <w:r w:rsidR="004D16F9" w:rsidRPr="00D879F2">
              <w:t>įtvirtinti rengiamu Nutarimo projektu.</w:t>
            </w:r>
          </w:p>
          <w:p w14:paraId="4FAFD185" w14:textId="45709736" w:rsidR="00174C15" w:rsidRPr="00D879F2" w:rsidRDefault="00174C15" w:rsidP="00174C15">
            <w:pPr>
              <w:pStyle w:val="BodyText0"/>
              <w:spacing w:before="0" w:beforeAutospacing="0" w:after="0" w:afterAutospacing="0"/>
              <w:jc w:val="both"/>
            </w:pPr>
            <w:r w:rsidRPr="00D879F2">
              <w:t xml:space="preserve">Jeigu suinteresuotos institucijos laikosi nuomonės, kad esamas reguliavimas yra ydingas ir keistinas, tokiu atveju turėtų būti inicijuojamas aplinkos ministro valdymo sričiai priskirto Aprašo pakeitimo projektas, darant reikiamas išimtis dėl šiuo metu galiojančių įpareigojimų valstybinės miško žemės patikėtiniams. </w:t>
            </w:r>
          </w:p>
          <w:p w14:paraId="1A295244" w14:textId="77777777" w:rsidR="00FA5947" w:rsidRPr="00D879F2" w:rsidRDefault="00174C15" w:rsidP="00FA088C">
            <w:pPr>
              <w:pStyle w:val="BodyText0"/>
              <w:spacing w:before="0" w:beforeAutospacing="0" w:after="0" w:afterAutospacing="0"/>
              <w:jc w:val="both"/>
            </w:pPr>
            <w:r w:rsidRPr="00D879F2">
              <w:t xml:space="preserve">Suinteresuotų institucijų pasiūlymo įgyvendinimas </w:t>
            </w:r>
            <w:r w:rsidR="003C3DCD" w:rsidRPr="00D879F2">
              <w:t xml:space="preserve">Nutarimo projekte </w:t>
            </w:r>
            <w:r w:rsidRPr="00D879F2">
              <w:t>šiuo atveju reikštų ydingos teisėkūros praktikos kūrimą, kai vienkartinio taikymo teisės aktais bandoma paneigti norminiu teisės aktu nustatytą teisinį reguliavimą</w:t>
            </w:r>
            <w:r w:rsidR="003C3DCD" w:rsidRPr="00D879F2">
              <w:t xml:space="preserve"> (sprendimas neatitiktų tvarkos, pagal kurią rengiami tokie sprendimai)</w:t>
            </w:r>
            <w:r w:rsidRPr="00D879F2">
              <w:t>.</w:t>
            </w:r>
          </w:p>
          <w:p w14:paraId="0AA6F631" w14:textId="37135675" w:rsidR="00B70B65" w:rsidRPr="007D7406" w:rsidRDefault="00F43B84" w:rsidP="00FA088C">
            <w:pPr>
              <w:pStyle w:val="BodyText0"/>
              <w:spacing w:before="0" w:beforeAutospacing="0" w:after="0" w:afterAutospacing="0"/>
              <w:jc w:val="both"/>
            </w:pPr>
            <w:r w:rsidRPr="00D879F2">
              <w:t>Taip pat paminėtina, kad valstybės įmonė Valstybinių miškų urėdija 2021 m. lapkričio 19 d. raštu Nr. S(E)-21-1380 derino pateiktą Nutarimo projektą be pastabų.</w:t>
            </w:r>
          </w:p>
        </w:tc>
      </w:tr>
      <w:tr w:rsidR="00D435AB" w:rsidRPr="007D7406" w14:paraId="04E65196" w14:textId="77777777" w:rsidTr="00D435AB">
        <w:trPr>
          <w:jc w:val="center"/>
        </w:trPr>
        <w:tc>
          <w:tcPr>
            <w:tcW w:w="1584" w:type="dxa"/>
            <w:shd w:val="clear" w:color="auto" w:fill="auto"/>
          </w:tcPr>
          <w:p w14:paraId="129FDA47" w14:textId="77777777" w:rsidR="00D435AB" w:rsidRDefault="005A7C1F" w:rsidP="00D435AB">
            <w:pPr>
              <w:jc w:val="both"/>
              <w:rPr>
                <w:szCs w:val="24"/>
              </w:rPr>
            </w:pPr>
            <w:r>
              <w:rPr>
                <w:szCs w:val="24"/>
              </w:rPr>
              <w:lastRenderedPageBreak/>
              <w:t xml:space="preserve">Lietuvos Respublikos žemės ūkio ministerijos </w:t>
            </w:r>
          </w:p>
          <w:p w14:paraId="014397F9" w14:textId="19464BC3" w:rsidR="00967ADB" w:rsidRPr="00AE000E" w:rsidRDefault="00967ADB" w:rsidP="00967ADB">
            <w:pPr>
              <w:jc w:val="both"/>
              <w:rPr>
                <w:szCs w:val="24"/>
              </w:rPr>
            </w:pPr>
            <w:r>
              <w:rPr>
                <w:szCs w:val="24"/>
              </w:rPr>
              <w:t xml:space="preserve">2021-11-12 raštas Nr. </w:t>
            </w:r>
            <w:r w:rsidRPr="00967ADB">
              <w:rPr>
                <w:szCs w:val="24"/>
              </w:rPr>
              <w:t>2D-3123 (12.146 E )</w:t>
            </w:r>
          </w:p>
        </w:tc>
        <w:tc>
          <w:tcPr>
            <w:tcW w:w="6647" w:type="dxa"/>
            <w:shd w:val="clear" w:color="auto" w:fill="auto"/>
          </w:tcPr>
          <w:p w14:paraId="304795D6" w14:textId="77777777" w:rsidR="007C3278" w:rsidRPr="0098436F" w:rsidRDefault="007C3278" w:rsidP="000E5754">
            <w:pPr>
              <w:jc w:val="both"/>
              <w:rPr>
                <w:color w:val="000000"/>
                <w:szCs w:val="24"/>
                <w:lang w:eastAsia="lt-LT"/>
              </w:rPr>
            </w:pPr>
            <w:r w:rsidRPr="0098436F">
              <w:rPr>
                <w:color w:val="000000"/>
                <w:szCs w:val="24"/>
                <w:lang w:eastAsia="lt-LT"/>
              </w:rPr>
              <w:t>Miško žemės pavertimo kitomis naudmenomis ir kompensavimo už miško žemės pavertimą kitomis naudmenomis tvarkos aprašo, patvirtinto Lietuvos Respublikos Vyriausybės 2011 m. rugsėjo 28 d. nutarimu Nr. 1131 ,,Dėl Miško žemės pavertimo kitomis naudmenomis ir kompensavimo už miško žemės pavertimą kitomis naudmenomis tvarkos aprašo patvirtinimo ir kai kurių Lietuvos Respublikos Vyriausybės nutarimų pripažinimo netekusiais galios“, 17 punkte nustatyta, kad miško žemę paverčiant kitomis naudmenomis iškirsta mediena disponuoja valstybinės miško žemės patikėtiniai, valdantys šią miško žemę iki jos pavertimo kitomis naudmenomis, arba kitomis naudmenomis paverčiamos privačios miško žemės savininkai.</w:t>
            </w:r>
          </w:p>
          <w:p w14:paraId="454BF19B" w14:textId="77777777" w:rsidR="007C3278" w:rsidRDefault="007C3278" w:rsidP="000E5754">
            <w:pPr>
              <w:jc w:val="both"/>
              <w:rPr>
                <w:color w:val="000000"/>
                <w:szCs w:val="24"/>
                <w:lang w:eastAsia="lt-LT"/>
              </w:rPr>
            </w:pPr>
            <w:r w:rsidRPr="0098436F">
              <w:rPr>
                <w:color w:val="000000"/>
                <w:szCs w:val="24"/>
                <w:lang w:eastAsia="lt-LT"/>
              </w:rPr>
              <w:t xml:space="preserve"> </w:t>
            </w:r>
            <w:r w:rsidRPr="00D86F5F">
              <w:rPr>
                <w:color w:val="000000"/>
                <w:szCs w:val="24"/>
                <w:lang w:eastAsia="lt-LT"/>
              </w:rPr>
              <w:t xml:space="preserve">Nutarimo projekto </w:t>
            </w:r>
            <w:r w:rsidRPr="0098436F">
              <w:rPr>
                <w:color w:val="000000"/>
                <w:szCs w:val="24"/>
                <w:lang w:eastAsia="lt-LT"/>
              </w:rPr>
              <w:t>1.2 papunktyje nurodyt</w:t>
            </w:r>
            <w:r w:rsidRPr="00D86F5F">
              <w:rPr>
                <w:color w:val="000000"/>
                <w:szCs w:val="24"/>
                <w:lang w:eastAsia="lt-LT"/>
              </w:rPr>
              <w:t>o</w:t>
            </w:r>
            <w:r w:rsidRPr="0098436F">
              <w:rPr>
                <w:color w:val="000000"/>
                <w:szCs w:val="24"/>
                <w:lang w:eastAsia="lt-LT"/>
              </w:rPr>
              <w:t xml:space="preserve"> </w:t>
            </w:r>
            <w:r w:rsidRPr="00D86F5F">
              <w:rPr>
                <w:color w:val="000000"/>
                <w:szCs w:val="24"/>
                <w:lang w:eastAsia="lt-LT"/>
              </w:rPr>
              <w:t xml:space="preserve">valstybinės </w:t>
            </w:r>
            <w:r w:rsidRPr="0098436F">
              <w:rPr>
                <w:color w:val="000000"/>
                <w:szCs w:val="24"/>
                <w:lang w:eastAsia="lt-LT"/>
              </w:rPr>
              <w:t>žemės sklyp</w:t>
            </w:r>
            <w:r w:rsidRPr="00D86F5F">
              <w:rPr>
                <w:color w:val="000000"/>
                <w:szCs w:val="24"/>
                <w:lang w:eastAsia="lt-LT"/>
              </w:rPr>
              <w:t xml:space="preserve">o patikėtinė ir </w:t>
            </w:r>
            <w:r w:rsidRPr="0098436F">
              <w:rPr>
                <w:color w:val="000000"/>
                <w:szCs w:val="24"/>
                <w:lang w:eastAsia="lt-LT"/>
              </w:rPr>
              <w:t xml:space="preserve">nesuformuotų žemės </w:t>
            </w:r>
            <w:r w:rsidRPr="00D86F5F">
              <w:rPr>
                <w:color w:val="000000"/>
                <w:szCs w:val="24"/>
                <w:lang w:eastAsia="lt-LT"/>
              </w:rPr>
              <w:t>plotų</w:t>
            </w:r>
            <w:r w:rsidRPr="0098436F">
              <w:rPr>
                <w:color w:val="000000"/>
                <w:szCs w:val="24"/>
                <w:lang w:eastAsia="lt-LT"/>
              </w:rPr>
              <w:t xml:space="preserve"> patikėtinė</w:t>
            </w:r>
            <w:r w:rsidRPr="00D86F5F">
              <w:rPr>
                <w:color w:val="000000"/>
                <w:szCs w:val="24"/>
                <w:lang w:eastAsia="lt-LT"/>
              </w:rPr>
              <w:t xml:space="preserve"> yra </w:t>
            </w:r>
            <w:r w:rsidRPr="0098436F">
              <w:rPr>
                <w:color w:val="000000"/>
                <w:szCs w:val="24"/>
                <w:lang w:eastAsia="lt-LT"/>
              </w:rPr>
              <w:t xml:space="preserve">Nacionalinė žemės tarnyba </w:t>
            </w:r>
            <w:r w:rsidRPr="00D86F5F">
              <w:rPr>
                <w:color w:val="000000"/>
                <w:szCs w:val="24"/>
                <w:lang w:eastAsia="lt-LT"/>
              </w:rPr>
              <w:t xml:space="preserve">prie Žemės ūkio ministerijos (toliau – Nacionalinė žemės tarnyba). </w:t>
            </w:r>
            <w:r w:rsidRPr="0098436F">
              <w:rPr>
                <w:color w:val="000000"/>
                <w:szCs w:val="24"/>
                <w:lang w:eastAsia="lt-LT"/>
              </w:rPr>
              <w:t xml:space="preserve"> </w:t>
            </w:r>
            <w:r w:rsidRPr="00D86F5F">
              <w:rPr>
                <w:color w:val="000000"/>
                <w:szCs w:val="24"/>
                <w:lang w:eastAsia="lt-LT"/>
              </w:rPr>
              <w:t xml:space="preserve">Teisės aktai, reglamentuojantys </w:t>
            </w:r>
            <w:r w:rsidRPr="0098436F">
              <w:rPr>
                <w:color w:val="000000"/>
                <w:szCs w:val="24"/>
                <w:lang w:eastAsia="lt-LT"/>
              </w:rPr>
              <w:t>Nacionalinė</w:t>
            </w:r>
            <w:r w:rsidRPr="00D86F5F">
              <w:rPr>
                <w:color w:val="000000"/>
                <w:szCs w:val="24"/>
                <w:lang w:eastAsia="lt-LT"/>
              </w:rPr>
              <w:t>s</w:t>
            </w:r>
            <w:r w:rsidRPr="0098436F">
              <w:rPr>
                <w:color w:val="000000"/>
                <w:szCs w:val="24"/>
                <w:lang w:eastAsia="lt-LT"/>
              </w:rPr>
              <w:t xml:space="preserve"> žemės tarnyb</w:t>
            </w:r>
            <w:r w:rsidRPr="00D86F5F">
              <w:rPr>
                <w:color w:val="000000"/>
                <w:szCs w:val="24"/>
                <w:lang w:eastAsia="lt-LT"/>
              </w:rPr>
              <w:t xml:space="preserve">os veiklą, nenumato, kad Nacionalinė žemės tarnyba gali disponuoti iškirsta mediena. </w:t>
            </w:r>
          </w:p>
          <w:p w14:paraId="1929D0D9" w14:textId="6AB41B31" w:rsidR="00D435AB" w:rsidRPr="00210FEC" w:rsidRDefault="007C3278" w:rsidP="000E5754">
            <w:pPr>
              <w:jc w:val="both"/>
              <w:rPr>
                <w:szCs w:val="24"/>
              </w:rPr>
            </w:pPr>
            <w:r w:rsidRPr="00D86F5F">
              <w:rPr>
                <w:szCs w:val="24"/>
              </w:rPr>
              <w:lastRenderedPageBreak/>
              <w:t>Atsižvelg</w:t>
            </w:r>
            <w:r>
              <w:rPr>
                <w:szCs w:val="24"/>
              </w:rPr>
              <w:t>dami</w:t>
            </w:r>
            <w:r w:rsidRPr="00D86F5F">
              <w:rPr>
                <w:szCs w:val="24"/>
              </w:rPr>
              <w:t xml:space="preserve"> į </w:t>
            </w:r>
            <w:r>
              <w:rPr>
                <w:szCs w:val="24"/>
              </w:rPr>
              <w:t xml:space="preserve">tai, kas </w:t>
            </w:r>
            <w:r w:rsidRPr="00D86F5F">
              <w:rPr>
                <w:szCs w:val="24"/>
              </w:rPr>
              <w:t>išdėstyt</w:t>
            </w:r>
            <w:r>
              <w:rPr>
                <w:szCs w:val="24"/>
              </w:rPr>
              <w:t>a</w:t>
            </w:r>
            <w:r w:rsidRPr="00D86F5F">
              <w:rPr>
                <w:szCs w:val="24"/>
              </w:rPr>
              <w:t>, ir siek</w:t>
            </w:r>
            <w:r>
              <w:rPr>
                <w:szCs w:val="24"/>
              </w:rPr>
              <w:t>dami</w:t>
            </w:r>
            <w:r w:rsidRPr="00D86F5F">
              <w:rPr>
                <w:szCs w:val="24"/>
              </w:rPr>
              <w:t xml:space="preserve"> aiškumo, siūlome tikslinti Nutarimo </w:t>
            </w:r>
            <w:r>
              <w:rPr>
                <w:szCs w:val="24"/>
              </w:rPr>
              <w:t>p</w:t>
            </w:r>
            <w:r w:rsidRPr="00D86F5F">
              <w:rPr>
                <w:szCs w:val="24"/>
              </w:rPr>
              <w:t>rojektą, reglamentuojant, kokie subjektai disponuos iškirsta mediena.</w:t>
            </w:r>
          </w:p>
        </w:tc>
        <w:tc>
          <w:tcPr>
            <w:tcW w:w="6365" w:type="dxa"/>
            <w:shd w:val="clear" w:color="auto" w:fill="auto"/>
          </w:tcPr>
          <w:p w14:paraId="11945044" w14:textId="77777777" w:rsidR="00D435AB" w:rsidRPr="00B87718" w:rsidRDefault="00D435AB" w:rsidP="00D435AB">
            <w:pPr>
              <w:pStyle w:val="NoSpacing"/>
              <w:rPr>
                <w:b/>
                <w:bCs/>
                <w:szCs w:val="24"/>
              </w:rPr>
            </w:pPr>
            <w:r>
              <w:rPr>
                <w:b/>
                <w:bCs/>
                <w:szCs w:val="24"/>
              </w:rPr>
              <w:lastRenderedPageBreak/>
              <w:t>Nea</w:t>
            </w:r>
            <w:r w:rsidRPr="00B87718">
              <w:rPr>
                <w:b/>
                <w:bCs/>
                <w:szCs w:val="24"/>
              </w:rPr>
              <w:t>tsižvelgta</w:t>
            </w:r>
          </w:p>
          <w:p w14:paraId="743DE0CF" w14:textId="5D505827" w:rsidR="00D435AB" w:rsidRPr="00AE7E30" w:rsidRDefault="00C312E2" w:rsidP="00D435AB">
            <w:pPr>
              <w:jc w:val="both"/>
              <w:rPr>
                <w:szCs w:val="24"/>
              </w:rPr>
            </w:pPr>
            <w:r>
              <w:rPr>
                <w:szCs w:val="24"/>
              </w:rPr>
              <w:t xml:space="preserve">Žr. į </w:t>
            </w:r>
            <w:r w:rsidR="001E54A1">
              <w:rPr>
                <w:szCs w:val="24"/>
              </w:rPr>
              <w:t xml:space="preserve">neatsižvelgimo į </w:t>
            </w:r>
            <w:r>
              <w:rPr>
                <w:szCs w:val="24"/>
              </w:rPr>
              <w:t>Aplinkos ministerijos pastab</w:t>
            </w:r>
            <w:r w:rsidR="001E54A1">
              <w:rPr>
                <w:szCs w:val="24"/>
              </w:rPr>
              <w:t>ą</w:t>
            </w:r>
            <w:r>
              <w:rPr>
                <w:szCs w:val="24"/>
              </w:rPr>
              <w:t xml:space="preserve"> argumentus. </w:t>
            </w:r>
          </w:p>
        </w:tc>
      </w:tr>
      <w:tr w:rsidR="001B1401" w:rsidRPr="007D7406" w14:paraId="5DD13228" w14:textId="77777777" w:rsidTr="00D435AB">
        <w:trPr>
          <w:jc w:val="center"/>
        </w:trPr>
        <w:tc>
          <w:tcPr>
            <w:tcW w:w="1584" w:type="dxa"/>
            <w:shd w:val="clear" w:color="auto" w:fill="auto"/>
          </w:tcPr>
          <w:p w14:paraId="4938CFD0" w14:textId="42757958" w:rsidR="001B1401" w:rsidRDefault="001B1401" w:rsidP="00D435AB">
            <w:pPr>
              <w:jc w:val="both"/>
              <w:rPr>
                <w:szCs w:val="24"/>
              </w:rPr>
            </w:pPr>
            <w:r>
              <w:rPr>
                <w:szCs w:val="24"/>
              </w:rPr>
              <w:t>Nacionalinės žemės tarnybos prie Žemės ūkio ministerijos</w:t>
            </w:r>
            <w:r>
              <w:t xml:space="preserve"> </w:t>
            </w:r>
            <w:r w:rsidRPr="005672FD">
              <w:rPr>
                <w:szCs w:val="24"/>
              </w:rPr>
              <w:t>2021-11-22</w:t>
            </w:r>
            <w:r>
              <w:rPr>
                <w:szCs w:val="24"/>
              </w:rPr>
              <w:t xml:space="preserve"> raštas Nr. </w:t>
            </w:r>
            <w:r w:rsidRPr="00472DEB">
              <w:rPr>
                <w:szCs w:val="24"/>
              </w:rPr>
              <w:t>1SD-2450-(3.3 E.)</w:t>
            </w:r>
          </w:p>
        </w:tc>
        <w:tc>
          <w:tcPr>
            <w:tcW w:w="6647" w:type="dxa"/>
            <w:shd w:val="clear" w:color="auto" w:fill="auto"/>
          </w:tcPr>
          <w:p w14:paraId="23894524" w14:textId="129FD03E" w:rsidR="001B1401" w:rsidRPr="0098436F" w:rsidRDefault="008C2F5F" w:rsidP="000E5754">
            <w:pPr>
              <w:jc w:val="both"/>
              <w:rPr>
                <w:color w:val="000000"/>
                <w:szCs w:val="24"/>
                <w:lang w:eastAsia="lt-LT"/>
              </w:rPr>
            </w:pPr>
            <w:r>
              <w:t>1.</w:t>
            </w:r>
            <w:r>
              <w:rPr>
                <w:sz w:val="14"/>
                <w:szCs w:val="14"/>
              </w:rPr>
              <w:t>    </w:t>
            </w:r>
            <w:r>
              <w:t>Siekdami aiškumo, siūlome apsvarstyti galimybę papildyti projekto preambulę nuoroda į Lietuvos Respublikos miškų įstatymo 11 straipsnio 10 dalį, kurioje reglamentuojama, kad sumokėtos piniginės kompensacijos įtraukiamos į valstybės biudžeto pajamas.</w:t>
            </w:r>
          </w:p>
        </w:tc>
        <w:tc>
          <w:tcPr>
            <w:tcW w:w="6365" w:type="dxa"/>
            <w:shd w:val="clear" w:color="auto" w:fill="auto"/>
          </w:tcPr>
          <w:p w14:paraId="6FF2894B" w14:textId="77777777" w:rsidR="001B1401" w:rsidRPr="00F7234E" w:rsidRDefault="008C2F5F" w:rsidP="00D435AB">
            <w:pPr>
              <w:pStyle w:val="NoSpacing"/>
              <w:rPr>
                <w:b/>
                <w:bCs/>
                <w:szCs w:val="24"/>
              </w:rPr>
            </w:pPr>
            <w:r w:rsidRPr="00F7234E">
              <w:rPr>
                <w:b/>
                <w:bCs/>
                <w:szCs w:val="24"/>
              </w:rPr>
              <w:t>Neatsižvelgta</w:t>
            </w:r>
          </w:p>
          <w:p w14:paraId="4037A295" w14:textId="4FB27D7A" w:rsidR="008C2F5F" w:rsidRDefault="00856332" w:rsidP="00135966">
            <w:pPr>
              <w:pStyle w:val="NoSpacing"/>
              <w:rPr>
                <w:color w:val="000000"/>
                <w:szCs w:val="24"/>
              </w:rPr>
            </w:pPr>
            <w:r>
              <w:t>Lietuvos Respublikos miškų įstatymo 11 straipsnio 10 dal</w:t>
            </w:r>
            <w:r w:rsidR="00D97BE1">
              <w:t>yje yra nustatyta, kad s</w:t>
            </w:r>
            <w:r w:rsidR="000816D8" w:rsidRPr="00F7234E">
              <w:rPr>
                <w:color w:val="000000"/>
                <w:szCs w:val="24"/>
              </w:rPr>
              <w:t xml:space="preserve">umokėtos piniginės kompensacijos įtraukiamos į valstybės biudžeto pajamas </w:t>
            </w:r>
            <w:r w:rsidR="000816D8" w:rsidRPr="00AE1608">
              <w:rPr>
                <w:i/>
                <w:iCs/>
                <w:color w:val="000000"/>
                <w:szCs w:val="24"/>
              </w:rPr>
              <w:t>ir naudojamos naujiems miškams įveisti skirtai žemei įsigyti, miškams įveisti ir kitoms su miškų priežiūra, apsauga ir tvarkymu susijusioms šio įstatymo 7 straipsnio 2 dalyje nurodytoms priemonėms finansuoti</w:t>
            </w:r>
            <w:r w:rsidR="000816D8" w:rsidRPr="00F7234E">
              <w:rPr>
                <w:color w:val="000000"/>
                <w:szCs w:val="24"/>
              </w:rPr>
              <w:t xml:space="preserve">. </w:t>
            </w:r>
          </w:p>
          <w:p w14:paraId="642E431A" w14:textId="678ACBA2" w:rsidR="00D97BE1" w:rsidRPr="00D97BE1" w:rsidRDefault="00D97BE1">
            <w:pPr>
              <w:pStyle w:val="NoSpacing"/>
              <w:rPr>
                <w:szCs w:val="24"/>
              </w:rPr>
            </w:pPr>
            <w:r>
              <w:rPr>
                <w:szCs w:val="24"/>
              </w:rPr>
              <w:t>Informuojame, kad</w:t>
            </w:r>
            <w:r w:rsidR="00135966">
              <w:rPr>
                <w:szCs w:val="24"/>
              </w:rPr>
              <w:t>,</w:t>
            </w:r>
            <w:r w:rsidR="003D3DD7">
              <w:rPr>
                <w:szCs w:val="24"/>
              </w:rPr>
              <w:t xml:space="preserve"> </w:t>
            </w:r>
            <w:r w:rsidR="0066230C">
              <w:rPr>
                <w:szCs w:val="24"/>
              </w:rPr>
              <w:t>Nutarimo projekto preambulėje yra teikiama</w:t>
            </w:r>
            <w:r w:rsidR="001B4509">
              <w:rPr>
                <w:szCs w:val="24"/>
              </w:rPr>
              <w:t xml:space="preserve"> nuoroda</w:t>
            </w:r>
            <w:r w:rsidR="0066230C">
              <w:rPr>
                <w:szCs w:val="24"/>
              </w:rPr>
              <w:t xml:space="preserve"> į šio įstatymo</w:t>
            </w:r>
            <w:r w:rsidR="001B4509">
              <w:rPr>
                <w:szCs w:val="24"/>
              </w:rPr>
              <w:t xml:space="preserve"> </w:t>
            </w:r>
            <w:r w:rsidR="001B4509" w:rsidRPr="00AF0017">
              <w:rPr>
                <w:szCs w:val="24"/>
              </w:rPr>
              <w:t xml:space="preserve">11 </w:t>
            </w:r>
            <w:r w:rsidR="001B4509" w:rsidRPr="003D3DD7">
              <w:rPr>
                <w:szCs w:val="24"/>
              </w:rPr>
              <w:t>straipsnio 8 ir 9 dalis, kuriose</w:t>
            </w:r>
            <w:r w:rsidR="00FB618F" w:rsidRPr="003D3DD7">
              <w:rPr>
                <w:szCs w:val="24"/>
              </w:rPr>
              <w:t xml:space="preserve"> taip pat įtvirtinta </w:t>
            </w:r>
            <w:r w:rsidR="003D3DD7" w:rsidRPr="003D3DD7">
              <w:rPr>
                <w:szCs w:val="24"/>
              </w:rPr>
              <w:t xml:space="preserve">pareiga </w:t>
            </w:r>
            <w:r w:rsidR="00FB618F" w:rsidRPr="003D3DD7">
              <w:rPr>
                <w:szCs w:val="24"/>
              </w:rPr>
              <w:t xml:space="preserve">atitinkamiems subjektams </w:t>
            </w:r>
            <w:r w:rsidR="00FB618F" w:rsidRPr="003D3DD7">
              <w:rPr>
                <w:color w:val="000000"/>
                <w:szCs w:val="24"/>
              </w:rPr>
              <w:t xml:space="preserve">sumokėti į valstybės biudžetą </w:t>
            </w:r>
            <w:r w:rsidR="003D3DD7">
              <w:rPr>
                <w:color w:val="000000"/>
                <w:szCs w:val="24"/>
              </w:rPr>
              <w:t xml:space="preserve">apskaičiuotą </w:t>
            </w:r>
            <w:r w:rsidR="00FB618F" w:rsidRPr="003D3DD7">
              <w:rPr>
                <w:color w:val="000000"/>
                <w:szCs w:val="24"/>
              </w:rPr>
              <w:t>piniginę kompensaciją.</w:t>
            </w:r>
            <w:r w:rsidR="00135966">
              <w:rPr>
                <w:color w:val="000000"/>
                <w:szCs w:val="24"/>
              </w:rPr>
              <w:t xml:space="preserve"> Be to, </w:t>
            </w:r>
            <w:r w:rsidR="003D3DD7">
              <w:rPr>
                <w:szCs w:val="24"/>
              </w:rPr>
              <w:t xml:space="preserve">siūlomoje </w:t>
            </w:r>
            <w:r w:rsidR="00AE1608">
              <w:rPr>
                <w:szCs w:val="24"/>
              </w:rPr>
              <w:t>preambul</w:t>
            </w:r>
            <w:r w:rsidR="002C5A64">
              <w:rPr>
                <w:szCs w:val="24"/>
              </w:rPr>
              <w:t>ėje</w:t>
            </w:r>
            <w:r w:rsidR="001B4509">
              <w:rPr>
                <w:szCs w:val="24"/>
              </w:rPr>
              <w:t xml:space="preserve"> </w:t>
            </w:r>
            <w:r w:rsidR="002C5A64">
              <w:rPr>
                <w:szCs w:val="24"/>
              </w:rPr>
              <w:t xml:space="preserve">nurodyti </w:t>
            </w:r>
            <w:r w:rsidR="00AE1608">
              <w:rPr>
                <w:szCs w:val="24"/>
              </w:rPr>
              <w:t xml:space="preserve">Miškų įstatymo </w:t>
            </w:r>
            <w:r w:rsidR="00E46605">
              <w:t>11 straipsnio 10 dalyje</w:t>
            </w:r>
            <w:r w:rsidR="00BA4D93">
              <w:t xml:space="preserve"> </w:t>
            </w:r>
            <w:r w:rsidR="00AE1608">
              <w:t>akcentuojamas įtrauktų į valstybės biudžetą piniginių kompensacijų tolesnis panaudojimas</w:t>
            </w:r>
            <w:r w:rsidR="00135966">
              <w:t xml:space="preserve">. Tai </w:t>
            </w:r>
            <w:r w:rsidR="005834EB">
              <w:rPr>
                <w:color w:val="000000"/>
                <w:szCs w:val="24"/>
              </w:rPr>
              <w:t xml:space="preserve">būtų </w:t>
            </w:r>
            <w:r w:rsidR="00350541">
              <w:rPr>
                <w:color w:val="000000"/>
                <w:szCs w:val="24"/>
              </w:rPr>
              <w:t>perteklin</w:t>
            </w:r>
            <w:r w:rsidR="005834EB">
              <w:rPr>
                <w:color w:val="000000"/>
                <w:szCs w:val="24"/>
              </w:rPr>
              <w:t>is</w:t>
            </w:r>
            <w:r w:rsidR="005E2D12">
              <w:rPr>
                <w:color w:val="000000"/>
                <w:szCs w:val="24"/>
              </w:rPr>
              <w:t xml:space="preserve"> reguliavimas</w:t>
            </w:r>
            <w:r w:rsidR="005834EB">
              <w:rPr>
                <w:color w:val="000000"/>
                <w:szCs w:val="24"/>
              </w:rPr>
              <w:t>, nes šiuo Nutarimo projektu nėra siekiama nustatyt</w:t>
            </w:r>
            <w:r w:rsidR="00DD68D4">
              <w:rPr>
                <w:color w:val="000000"/>
                <w:szCs w:val="24"/>
              </w:rPr>
              <w:t>i, kur lėšos bus naudojamos</w:t>
            </w:r>
            <w:r w:rsidR="005E2D12">
              <w:rPr>
                <w:color w:val="000000"/>
                <w:szCs w:val="24"/>
              </w:rPr>
              <w:t xml:space="preserve">, jas sumokėjus į valstybės biudžetą. </w:t>
            </w:r>
          </w:p>
        </w:tc>
      </w:tr>
      <w:tr w:rsidR="002A17CD" w:rsidRPr="007D7406" w14:paraId="48CD745A" w14:textId="77777777" w:rsidTr="00D435AB">
        <w:trPr>
          <w:jc w:val="center"/>
        </w:trPr>
        <w:tc>
          <w:tcPr>
            <w:tcW w:w="1584" w:type="dxa"/>
            <w:shd w:val="clear" w:color="auto" w:fill="auto"/>
          </w:tcPr>
          <w:p w14:paraId="3BE26777" w14:textId="76F57AD0" w:rsidR="00472DEB" w:rsidRDefault="00472DEB" w:rsidP="005672FD">
            <w:pPr>
              <w:jc w:val="both"/>
              <w:rPr>
                <w:szCs w:val="24"/>
              </w:rPr>
            </w:pPr>
          </w:p>
        </w:tc>
        <w:tc>
          <w:tcPr>
            <w:tcW w:w="6647" w:type="dxa"/>
            <w:shd w:val="clear" w:color="auto" w:fill="auto"/>
          </w:tcPr>
          <w:p w14:paraId="4D3A6683" w14:textId="4FCE1A91" w:rsidR="00EB23F9" w:rsidRPr="00D71D59" w:rsidRDefault="00EB23F9" w:rsidP="00EB23F9">
            <w:pPr>
              <w:pStyle w:val="Default"/>
              <w:tabs>
                <w:tab w:val="left" w:pos="1134"/>
              </w:tabs>
              <w:adjustRightInd w:val="0"/>
              <w:contextualSpacing/>
              <w:jc w:val="both"/>
              <w:rPr>
                <w:color w:val="auto"/>
              </w:rPr>
            </w:pPr>
            <w:bookmarkStart w:id="2" w:name="_Hlk88126687"/>
            <w:r>
              <w:rPr>
                <w:color w:val="auto"/>
              </w:rPr>
              <w:t xml:space="preserve">2. </w:t>
            </w:r>
            <w:r w:rsidRPr="00D71D59">
              <w:rPr>
                <w:color w:val="auto"/>
              </w:rPr>
              <w:t xml:space="preserve">Miško žemės pavertimo kitomis naudmenomis ir kompensavimo už miško žemės pavertimą kitomis naudmenomis tvarkos aprašo, patvirtinto Lietuvos Respublikos Vyriausybės </w:t>
            </w:r>
            <w:r w:rsidRPr="00D71D59">
              <w:rPr>
                <w:color w:val="auto"/>
              </w:rPr>
              <w:br/>
              <w:t>2011 m. rugsėjo 28 d. nutarimu Nr. 1131 ,,</w:t>
            </w:r>
            <w:r w:rsidRPr="00D71D59">
              <w:rPr>
                <w:bCs/>
                <w:color w:val="auto"/>
              </w:rPr>
              <w:t>Dėl Miško žemės pavertimo kitomis naudmenomis ir kompensavimo už miško žemės pavertimą kitomis naudmenomis tvarkos aprašo patvirtinimo ir kai kurių Lietuvos Respublikos Vyriausybės nutarimų pripažinimo netekusiais galios</w:t>
            </w:r>
            <w:r w:rsidRPr="00D71D59">
              <w:rPr>
                <w:color w:val="auto"/>
              </w:rPr>
              <w:t xml:space="preserve">“ </w:t>
            </w:r>
            <w:bookmarkEnd w:id="2"/>
            <w:r w:rsidRPr="00D71D59">
              <w:rPr>
                <w:color w:val="auto"/>
              </w:rPr>
              <w:t xml:space="preserve">(toliau – </w:t>
            </w:r>
            <w:r w:rsidRPr="00B17856">
              <w:rPr>
                <w:color w:val="auto"/>
              </w:rPr>
              <w:t>Aprašas</w:t>
            </w:r>
            <w:r w:rsidRPr="00D71D59">
              <w:rPr>
                <w:color w:val="auto"/>
              </w:rPr>
              <w:t xml:space="preserve">), 17 punkte reglamentuojama, kad miško žemę paverčiant kitomis naudmenomis iškirsta mediena disponuoja valstybinės miško žemės patikėtiniai, valdantys šią miško žemę iki jos pavertimo kitomis naudmenomis, arba kitomis naudmenomis paverčiamos privačios miško žemės savininkai. </w:t>
            </w:r>
          </w:p>
          <w:p w14:paraId="77A826F4" w14:textId="08977C01" w:rsidR="002A17CD" w:rsidRPr="00EB23F9" w:rsidRDefault="00EB23F9" w:rsidP="00EB23F9">
            <w:pPr>
              <w:pStyle w:val="Default"/>
              <w:tabs>
                <w:tab w:val="left" w:pos="1134"/>
              </w:tabs>
              <w:contextualSpacing/>
              <w:jc w:val="both"/>
              <w:rPr>
                <w:color w:val="auto"/>
              </w:rPr>
            </w:pPr>
            <w:r w:rsidRPr="00D71D59">
              <w:rPr>
                <w:color w:val="auto"/>
              </w:rPr>
              <w:t xml:space="preserve">Pažymime, kad Nacionalinei žemės tarnybai teisės aktuose nėra numatyta nei teisė, nei pareiga disponuoti iškirsta mediena </w:t>
            </w:r>
            <w:r w:rsidRPr="00D71D59">
              <w:rPr>
                <w:color w:val="auto"/>
              </w:rPr>
              <w:lastRenderedPageBreak/>
              <w:t>(Lietuvos Respublikos žemės įstatymo 32 straipsnio 3 dalis ir Miškų įstatymo 4 straipsnio 12 dalis). Atsižvelgdami į tai, kas nurodyta, ir siekdami aiškumo, siūlome tikslinti</w:t>
            </w:r>
            <w:r>
              <w:rPr>
                <w:color w:val="auto"/>
              </w:rPr>
              <w:t xml:space="preserve"> (papildyti)</w:t>
            </w:r>
            <w:r w:rsidRPr="00D71D59">
              <w:rPr>
                <w:color w:val="auto"/>
              </w:rPr>
              <w:t xml:space="preserve"> Projektą, reglamentuojant, kok</w:t>
            </w:r>
            <w:r>
              <w:rPr>
                <w:color w:val="auto"/>
              </w:rPr>
              <w:t>s</w:t>
            </w:r>
            <w:r w:rsidRPr="00D71D59">
              <w:rPr>
                <w:color w:val="auto"/>
              </w:rPr>
              <w:t xml:space="preserve"> subjekta</w:t>
            </w:r>
            <w:r>
              <w:rPr>
                <w:color w:val="auto"/>
              </w:rPr>
              <w:t>s</w:t>
            </w:r>
            <w:r w:rsidRPr="00D71D59">
              <w:rPr>
                <w:color w:val="auto"/>
              </w:rPr>
              <w:t xml:space="preserve"> disponuos iškirsta mediena, miško žemę paverčiant kitomis naudmenomis Projekt</w:t>
            </w:r>
            <w:r>
              <w:rPr>
                <w:color w:val="auto"/>
              </w:rPr>
              <w:t>o 1.</w:t>
            </w:r>
            <w:r w:rsidRPr="00F02A2C">
              <w:rPr>
                <w:color w:val="auto"/>
              </w:rPr>
              <w:t xml:space="preserve">2 </w:t>
            </w:r>
            <w:r w:rsidRPr="00D71D59">
              <w:rPr>
                <w:color w:val="auto"/>
              </w:rPr>
              <w:t>papunktyje siūlomais nustatyti atvejais.</w:t>
            </w:r>
          </w:p>
        </w:tc>
        <w:tc>
          <w:tcPr>
            <w:tcW w:w="6365" w:type="dxa"/>
            <w:shd w:val="clear" w:color="auto" w:fill="auto"/>
          </w:tcPr>
          <w:p w14:paraId="4ECEEA94" w14:textId="77777777" w:rsidR="00494FF5" w:rsidRPr="00B87718" w:rsidRDefault="00494FF5" w:rsidP="00494FF5">
            <w:pPr>
              <w:pStyle w:val="NoSpacing"/>
              <w:rPr>
                <w:b/>
                <w:bCs/>
                <w:szCs w:val="24"/>
              </w:rPr>
            </w:pPr>
            <w:r>
              <w:rPr>
                <w:b/>
                <w:bCs/>
                <w:szCs w:val="24"/>
              </w:rPr>
              <w:lastRenderedPageBreak/>
              <w:t>Nea</w:t>
            </w:r>
            <w:r w:rsidRPr="00B87718">
              <w:rPr>
                <w:b/>
                <w:bCs/>
                <w:szCs w:val="24"/>
              </w:rPr>
              <w:t>tsižvelgta</w:t>
            </w:r>
          </w:p>
          <w:p w14:paraId="08EB5FF8" w14:textId="61176178" w:rsidR="002A17CD" w:rsidRDefault="00A72D4A" w:rsidP="00494FF5">
            <w:pPr>
              <w:pStyle w:val="NoSpacing"/>
              <w:rPr>
                <w:b/>
                <w:bCs/>
                <w:szCs w:val="24"/>
              </w:rPr>
            </w:pPr>
            <w:r>
              <w:rPr>
                <w:szCs w:val="24"/>
              </w:rPr>
              <w:t>Žr. į neatsižvelgimo į Aplinkos ministerijos pastabą argumentus.</w:t>
            </w:r>
          </w:p>
        </w:tc>
      </w:tr>
      <w:tr w:rsidR="00146F36" w:rsidRPr="007D7406" w14:paraId="2079BE50" w14:textId="77777777" w:rsidTr="00D435AB">
        <w:trPr>
          <w:jc w:val="center"/>
        </w:trPr>
        <w:tc>
          <w:tcPr>
            <w:tcW w:w="1584" w:type="dxa"/>
            <w:shd w:val="clear" w:color="auto" w:fill="auto"/>
          </w:tcPr>
          <w:p w14:paraId="18D3839A" w14:textId="77777777" w:rsidR="00146F36" w:rsidRDefault="00146F36" w:rsidP="005672FD">
            <w:pPr>
              <w:jc w:val="both"/>
              <w:rPr>
                <w:szCs w:val="24"/>
              </w:rPr>
            </w:pPr>
          </w:p>
        </w:tc>
        <w:tc>
          <w:tcPr>
            <w:tcW w:w="6647" w:type="dxa"/>
            <w:shd w:val="clear" w:color="auto" w:fill="auto"/>
          </w:tcPr>
          <w:p w14:paraId="3FA862B8" w14:textId="4327413D" w:rsidR="00146F36" w:rsidRPr="00F02A2C" w:rsidRDefault="00146F36" w:rsidP="00146F36">
            <w:pPr>
              <w:pStyle w:val="default0"/>
              <w:contextualSpacing/>
              <w:jc w:val="both"/>
              <w:rPr>
                <w:lang w:val="lt-LT"/>
              </w:rPr>
            </w:pPr>
            <w:r w:rsidRPr="00F02A2C">
              <w:rPr>
                <w:lang w:val="lt-LT"/>
              </w:rPr>
              <w:t xml:space="preserve">3. </w:t>
            </w:r>
            <w:r w:rsidRPr="00146F36">
              <w:rPr>
                <w:lang w:val="lt-LT"/>
              </w:rPr>
              <w:t>Miškų įstatymo </w:t>
            </w:r>
            <w:r w:rsidRPr="00F02A2C">
              <w:rPr>
                <w:lang w:val="lt-LT"/>
              </w:rPr>
              <w:t>11 </w:t>
            </w:r>
            <w:r w:rsidRPr="00146F36">
              <w:rPr>
                <w:lang w:val="lt-LT"/>
              </w:rPr>
              <w:t>straipsnio 8 dalyje reglamentuojama, kad: asmenys, inicijuojantys valstybinės miško žemės pavertimą kitomis naudmenomis, privalo į valstybės biudžetą sumokėti piniginę kompensaciją, kurią sudaro kitomis naudmenomis paverčiamos miško žemės sklypo vertė rinkos kainomis, jame augančio medyno įveisimo ir išauginimo iki amžiaus, kurį šis medynas pasiekė pavertimo kitomis naudmenomis metu, išlaidos ir prarasto medienos prieaugio, kurį šis medynas sukauptų iki nustatyto pagrindinių kirtimų amžiaus, vertė nenukirsto miško kainomis; miško žemę paverčiant kitomis naudmenomis, išskyrus šio straipsnio 1 dalies 8 punkte numatytą atvejį, III grupės miškuose, mokama dvigubo dydžio piniginė kompensacija, II grupės miškuose – trigubo dydžio piniginė kompensacija; reikalavimas sumokėti piniginę kompensaciją netaikomas už tą kitomis naudmenomis paverčiamos miško žemės dalį, kurioje formuojami atskirieji želdynai ir (ar) įrengiamos kapinės, taip pat kurioje įgyvendinami ypatingos valstybinės svarbos krašto apsaugos srities projektai.</w:t>
            </w:r>
          </w:p>
          <w:p w14:paraId="39E00962" w14:textId="77777777" w:rsidR="00146F36" w:rsidRPr="00F02A2C" w:rsidRDefault="00146F36" w:rsidP="00146F36">
            <w:pPr>
              <w:pStyle w:val="default0"/>
              <w:contextualSpacing/>
              <w:jc w:val="both"/>
              <w:rPr>
                <w:lang w:val="lt-LT"/>
              </w:rPr>
            </w:pPr>
            <w:r w:rsidRPr="00146F36">
              <w:rPr>
                <w:lang w:val="lt-LT"/>
              </w:rPr>
              <w:t xml:space="preserve">Pagal Projekto sprendinius kitomis naudmenomis planuojama paversti valstybinę miško žemę, patikėjimo teise valdomą valstybinės įmonės Valstybinių miškų urėdijos ir Nacionalinės žemės tarnybos, taip pat privačiuose žemės sklypuose esančią miško žemę (Projekto 1.1, 1.2 papunkčiai ir 2 punktas), reikalingą ypatingos valstybinės svarbos elektros energetikos sistemos sinchronizacijos projektui „330 </w:t>
            </w:r>
            <w:proofErr w:type="spellStart"/>
            <w:r w:rsidRPr="00146F36">
              <w:rPr>
                <w:lang w:val="lt-LT"/>
              </w:rPr>
              <w:t>kV</w:t>
            </w:r>
            <w:proofErr w:type="spellEnd"/>
            <w:r w:rsidRPr="00146F36">
              <w:rPr>
                <w:lang w:val="lt-LT"/>
              </w:rPr>
              <w:t xml:space="preserve"> elektros perdavimo linijos Kruonio HAE–Bitėnai statyba“ įgyvendinti. Pagal Projekto 1.2.2–1.2.4 papunkčius, kitomis naudmenomis planuojama paversti ir miško žemę, esančią nesuformuotoje valstybinėje žemėje. Tačiau, remiantis Projekto minėtuose papunkčiuose nurodyta </w:t>
            </w:r>
            <w:r w:rsidRPr="00146F36">
              <w:rPr>
                <w:lang w:val="lt-LT"/>
              </w:rPr>
              <w:lastRenderedPageBreak/>
              <w:t>informacija, nėra galimybės identifikuoti kitomis naudmenomis planuojamos paversti miško žemės, esančios nesuformuotoje valstybinėje žemėje. Todėl, siekdami aiškumo, siūlome apsvarstyti galimybę papildyti Projekto 1.2.2–1.2.4 papunkčius duomenimis, pagal kuriuos būtų galima identifikuoti kitomis naudmenomis planuojamos paversti miško žemės, esančios nesuformuotoje valstybinėje žemėje, plotus (pavyzdžiui, nurodant planuojamos paversti kitomis naudmenomis miško žemės ploto nesuformuotoje valstybinėje žemėje ribų posūkio taškų koordinates valstybinėje koordinačių sistemoje).</w:t>
            </w:r>
          </w:p>
          <w:p w14:paraId="056C5881" w14:textId="1EFE11A7" w:rsidR="00146F36" w:rsidRPr="00F02A2C" w:rsidRDefault="00146F36" w:rsidP="00146F36">
            <w:pPr>
              <w:pStyle w:val="default0"/>
              <w:contextualSpacing/>
              <w:jc w:val="both"/>
              <w:rPr>
                <w:lang w:val="lt-LT"/>
              </w:rPr>
            </w:pPr>
            <w:r w:rsidRPr="00146F36">
              <w:rPr>
                <w:lang w:val="lt-LT"/>
              </w:rPr>
              <w:t>Apraše, reglamentuojančiame miško žemės pavertimo kitomis naudmenomis tvarką, kompensavimo pinigais ar miško įveisimu</w:t>
            </w:r>
            <w:r w:rsidRPr="00146F36">
              <w:rPr>
                <w:b/>
                <w:bCs/>
                <w:lang w:val="lt-LT"/>
              </w:rPr>
              <w:t> </w:t>
            </w:r>
            <w:r w:rsidRPr="00146F36">
              <w:rPr>
                <w:lang w:val="lt-LT"/>
              </w:rPr>
              <w:t>už miško žemės pavertimą kitomis naudmenomis taikymo tvarką, piniginių kompensacijų apskaičiavimo tvarką, nėra įtvirtintos nuostatos, kurioje būtų reglamentuojama, kad piniginė kompensacija už kitomis naudmenomis paverčiamą miško žemę neapskaičiuojama ir nemokama, kai kitomis naudmenomis paverčiamas miško žemės plotas yra nesuformuotoje valstybinėje žemėje. Todėl manome, kad į Projekto 3.1 papunktyje siūlomą nurodyti kompensacijos dydį taip pat turi būti įtraukta ir kompensacija už miško žemės, esančios nesuformuotoje valstybinėje žemėje, nurodytoje Projekto 1.2.2, 1.2.3 ir 1.2.4 papunkčiuose, pavertimą kitomis naudmenomis.</w:t>
            </w:r>
          </w:p>
        </w:tc>
        <w:tc>
          <w:tcPr>
            <w:tcW w:w="6365" w:type="dxa"/>
            <w:shd w:val="clear" w:color="auto" w:fill="auto"/>
          </w:tcPr>
          <w:p w14:paraId="11C9371E" w14:textId="02D98B5D" w:rsidR="006C76F5" w:rsidRPr="00596485" w:rsidRDefault="006C76F5" w:rsidP="006C76F5">
            <w:pPr>
              <w:pStyle w:val="NoSpacing"/>
              <w:rPr>
                <w:b/>
                <w:bCs/>
                <w:lang w:eastAsia="lt-LT"/>
              </w:rPr>
            </w:pPr>
            <w:r w:rsidRPr="00596485">
              <w:rPr>
                <w:b/>
                <w:bCs/>
                <w:lang w:eastAsia="lt-LT"/>
              </w:rPr>
              <w:lastRenderedPageBreak/>
              <w:t>Neatsižvelgta</w:t>
            </w:r>
          </w:p>
          <w:p w14:paraId="6F542847" w14:textId="5E48E44B" w:rsidR="006C76F5" w:rsidRPr="00596485" w:rsidRDefault="006C76F5" w:rsidP="006C76F5">
            <w:pPr>
              <w:pStyle w:val="NoSpacing"/>
              <w:rPr>
                <w:lang w:eastAsia="lt-LT"/>
              </w:rPr>
            </w:pPr>
            <w:r w:rsidRPr="00596485">
              <w:rPr>
                <w:lang w:eastAsia="lt-LT"/>
              </w:rPr>
              <w:t xml:space="preserve">Aprašo 10 punkte yra nustatyta, kad piniginės kompensacijos dydį, vadovaudamasi </w:t>
            </w:r>
            <w:r w:rsidR="005E2D12">
              <w:rPr>
                <w:lang w:eastAsia="lt-LT"/>
              </w:rPr>
              <w:t>M</w:t>
            </w:r>
            <w:r w:rsidRPr="00596485">
              <w:rPr>
                <w:lang w:eastAsia="lt-LT"/>
              </w:rPr>
              <w:t>iškų įstatymo 11</w:t>
            </w:r>
            <w:r w:rsidR="006A11A0">
              <w:rPr>
                <w:lang w:eastAsia="lt-LT"/>
              </w:rPr>
              <w:t> </w:t>
            </w:r>
            <w:r w:rsidRPr="00596485">
              <w:rPr>
                <w:lang w:eastAsia="lt-LT"/>
              </w:rPr>
              <w:t xml:space="preserve">straipsnio 8 dalimi ir Aprašo priedu, apskaičiuoja ir planavimo organizatoriui pateikia Valstybinė miškų tarnyba. </w:t>
            </w:r>
          </w:p>
          <w:p w14:paraId="0A9A1658" w14:textId="77777777" w:rsidR="006C76F5" w:rsidRPr="00596485" w:rsidRDefault="006C76F5" w:rsidP="006C76F5">
            <w:pPr>
              <w:jc w:val="both"/>
              <w:rPr>
                <w:rFonts w:cs="Times New Roman"/>
                <w:szCs w:val="24"/>
                <w:lang w:eastAsia="lt-LT"/>
              </w:rPr>
            </w:pPr>
            <w:r w:rsidRPr="00596485">
              <w:rPr>
                <w:rFonts w:cs="Times New Roman"/>
                <w:szCs w:val="24"/>
                <w:lang w:eastAsia="lt-LT"/>
              </w:rPr>
              <w:t>Vadovaujantis Aprašo 10 punktu, remdamasi Vystymo plano sprendiniais bei Lietuvos Respublikos miškų valstybės kadastro duomenimis, Valstybinė miškų tarnyba parengė ir pateikė pažymas apie piniginę kompensaciją už miško žemės pavertimą kitomis naudmenomis ir Lietuvos Respublikos miškų valstybės kadastro žemėlapio ištraukas su planuojamais paversti kitomis naudmenomis miško žemės plotais.</w:t>
            </w:r>
          </w:p>
          <w:p w14:paraId="5457ECD5" w14:textId="77777777" w:rsidR="006C76F5" w:rsidRPr="00596485" w:rsidRDefault="006C76F5" w:rsidP="006C76F5">
            <w:pPr>
              <w:jc w:val="both"/>
              <w:rPr>
                <w:rFonts w:cs="Times New Roman"/>
                <w:szCs w:val="24"/>
                <w:lang w:eastAsia="lt-LT"/>
              </w:rPr>
            </w:pPr>
            <w:r w:rsidRPr="00596485">
              <w:rPr>
                <w:rFonts w:cs="Times New Roman"/>
                <w:szCs w:val="24"/>
                <w:lang w:eastAsia="lt-LT"/>
              </w:rPr>
              <w:t>Vertinant pažymose pateiktą informaciją ir atsižvelgiant į papildomai pateiktą Valstybinės miškų tarnybos informaciją, pažymėtina, kad pažymose pateiktas ir Nutarimo projekte numatomas įtvirtinti kompensacijos dydis apima ir kompensaciją už miško žemės, esančios nesuformuotoje valstybinėje žemėje, nurodytoje Nutarimo projekto 1.2.2, 1.2.3 ir 1.2.4 papunkčiuose, pavertimą kitomis naudmenomis.</w:t>
            </w:r>
          </w:p>
          <w:p w14:paraId="1C73C366" w14:textId="5C1157E3" w:rsidR="00C005ED" w:rsidRPr="00596485" w:rsidRDefault="00C005ED" w:rsidP="00191DD6">
            <w:pPr>
              <w:pStyle w:val="NoSpacing"/>
            </w:pPr>
            <w:r w:rsidRPr="00596485">
              <w:t>Paminėtina ir tai, kad prie Nut</w:t>
            </w:r>
            <w:r w:rsidR="00F76B76">
              <w:t>a</w:t>
            </w:r>
            <w:r w:rsidRPr="00596485">
              <w:t xml:space="preserve">rimo projekto </w:t>
            </w:r>
            <w:r w:rsidR="0068552C">
              <w:t xml:space="preserve">yra </w:t>
            </w:r>
            <w:r w:rsidRPr="00596485">
              <w:t>pridėtos Valstybinių miškų tarnybos parengtos Lietuvos Respublikos miškų valstybės kadastro žemėlapio ištraukos, kuriose yra nurodyti planuojami paversti kitomis naudmenomis miško žemės plotai</w:t>
            </w:r>
            <w:r w:rsidR="00BD0D6B">
              <w:t xml:space="preserve">, ir </w:t>
            </w:r>
            <w:r w:rsidR="001E54A1">
              <w:t>prireikus</w:t>
            </w:r>
            <w:r w:rsidRPr="00596485">
              <w:t xml:space="preserve"> šiuos plotus galima identifikuoti. </w:t>
            </w:r>
          </w:p>
          <w:p w14:paraId="5517BC59" w14:textId="20657602" w:rsidR="003F73FE" w:rsidRDefault="006C76F5" w:rsidP="00CE41F7">
            <w:pPr>
              <w:pStyle w:val="NoSpacing"/>
              <w:rPr>
                <w:lang w:eastAsia="lt-LT"/>
              </w:rPr>
            </w:pPr>
            <w:r w:rsidRPr="00596485">
              <w:rPr>
                <w:lang w:eastAsia="lt-LT"/>
              </w:rPr>
              <w:t xml:space="preserve">Pažymime, kad miško žemė kitomis naudmenomis paverčiama pagal Ypatingos valstybinės svarbos elektros energetikos sistemos sinchronizacijos projekto „330 </w:t>
            </w:r>
            <w:proofErr w:type="spellStart"/>
            <w:r w:rsidRPr="00596485">
              <w:rPr>
                <w:lang w:eastAsia="lt-LT"/>
              </w:rPr>
              <w:t>kV</w:t>
            </w:r>
            <w:proofErr w:type="spellEnd"/>
            <w:r w:rsidRPr="00596485">
              <w:rPr>
                <w:lang w:eastAsia="lt-LT"/>
              </w:rPr>
              <w:t xml:space="preserve"> elektros perdavimo linijos Kruonio HAE–Bitėnai statyba“ inžinerinės infrastruktūros vystymo plano, patvirtinto Lietuvos Respublikos </w:t>
            </w:r>
            <w:r w:rsidRPr="00596485">
              <w:rPr>
                <w:lang w:eastAsia="lt-LT"/>
              </w:rPr>
              <w:lastRenderedPageBreak/>
              <w:t xml:space="preserve">Vyriausybės 2021 m. gegužės 19 d. nutarimu Nr. 370 „Dėl Ypatingos valstybinės svarbos elektros energetikos sistemos sinchronizacijos projekto „330 </w:t>
            </w:r>
            <w:proofErr w:type="spellStart"/>
            <w:r w:rsidRPr="00596485">
              <w:rPr>
                <w:lang w:eastAsia="lt-LT"/>
              </w:rPr>
              <w:t>kV</w:t>
            </w:r>
            <w:proofErr w:type="spellEnd"/>
            <w:r w:rsidRPr="00596485">
              <w:rPr>
                <w:lang w:eastAsia="lt-LT"/>
              </w:rPr>
              <w:t xml:space="preserve"> elektros perdavimo linijos Kruonio HAE–Bitėnai statyba“ inžinerinės infrastruktūros vystymo plano patvirtinimo“ (toliau – Vystymo planas) sprendinius. Vystymo plano Vilkaviškio r., Šakių r. ir Jurbarko r. savivaldybių konkretizuotų sprendinių (M1:5000) grafinėje dalyje yra pažymėti miško žemės plotai, kurie yra paverčiami kitomis naudmenomis.</w:t>
            </w:r>
            <w:r w:rsidR="003F73FE">
              <w:rPr>
                <w:lang w:eastAsia="lt-LT"/>
              </w:rPr>
              <w:t xml:space="preserve"> </w:t>
            </w:r>
            <w:r w:rsidR="003F73FE" w:rsidRPr="00596485">
              <w:rPr>
                <w:lang w:eastAsia="lt-LT"/>
              </w:rPr>
              <w:t xml:space="preserve">Su Vystymo plano sprendiniais galima susipažinti  Lietuvos Respublikos teritorijų planavimo dokumentų rengimo ir teritorijų planavimo proceso valstybinės priežiūros informacinėje sistemoje (TPDRIS) adresu </w:t>
            </w:r>
            <w:hyperlink r:id="rId8" w:history="1">
              <w:r w:rsidR="003F73FE" w:rsidRPr="00596485">
                <w:rPr>
                  <w:rStyle w:val="Hyperlink"/>
                  <w:color w:val="auto"/>
                  <w:lang w:eastAsia="lt-LT"/>
                </w:rPr>
                <w:t>www.tpdris.lt</w:t>
              </w:r>
            </w:hyperlink>
            <w:r w:rsidR="003F73FE" w:rsidRPr="00596485">
              <w:rPr>
                <w:lang w:eastAsia="lt-LT"/>
              </w:rPr>
              <w:t>, TPD Nr. S-NC-00-19-437.</w:t>
            </w:r>
          </w:p>
          <w:p w14:paraId="424B51A6" w14:textId="25BE06C4" w:rsidR="006C76F5" w:rsidRPr="00596485" w:rsidRDefault="003F73FE" w:rsidP="003F73FE">
            <w:pPr>
              <w:pStyle w:val="NoSpacing"/>
              <w:rPr>
                <w:lang w:eastAsia="lt-LT"/>
              </w:rPr>
            </w:pPr>
            <w:r>
              <w:rPr>
                <w:lang w:eastAsia="lt-LT"/>
              </w:rPr>
              <w:t xml:space="preserve">Taigi yra visos galimybės </w:t>
            </w:r>
            <w:r w:rsidRPr="00146F36">
              <w:t xml:space="preserve">identifikuoti kitomis naudmenomis planuojamos paversti miško žemės, esančios </w:t>
            </w:r>
            <w:r w:rsidR="00A56304">
              <w:t xml:space="preserve">atskirais žemės sklypais </w:t>
            </w:r>
            <w:r w:rsidRPr="00146F36">
              <w:t>nesuformuotoje valstybinėje žemėje</w:t>
            </w:r>
            <w:r w:rsidR="00CE41F7">
              <w:t>, plotus</w:t>
            </w:r>
            <w:r>
              <w:t xml:space="preserve"> ir</w:t>
            </w:r>
            <w:r w:rsidR="00CE41F7">
              <w:t xml:space="preserve">, manytina, siūlymas </w:t>
            </w:r>
            <w:r>
              <w:t>papildoma</w:t>
            </w:r>
            <w:r w:rsidR="00CE41F7">
              <w:t>i</w:t>
            </w:r>
            <w:r>
              <w:t xml:space="preserve"> </w:t>
            </w:r>
            <w:r w:rsidRPr="00596485">
              <w:rPr>
                <w:lang w:eastAsia="lt-LT"/>
              </w:rPr>
              <w:t xml:space="preserve">Nutarimo projekte </w:t>
            </w:r>
            <w:r>
              <w:rPr>
                <w:lang w:eastAsia="lt-LT"/>
              </w:rPr>
              <w:t xml:space="preserve">įrašyti </w:t>
            </w:r>
            <w:r w:rsidR="00CE41F7">
              <w:rPr>
                <w:lang w:eastAsia="lt-LT"/>
              </w:rPr>
              <w:t xml:space="preserve">tokių plotų </w:t>
            </w:r>
            <w:r w:rsidR="006C76F5" w:rsidRPr="00596485">
              <w:rPr>
                <w:lang w:eastAsia="lt-LT"/>
              </w:rPr>
              <w:t>koordina</w:t>
            </w:r>
            <w:r w:rsidR="00CE41F7">
              <w:rPr>
                <w:lang w:eastAsia="lt-LT"/>
              </w:rPr>
              <w:t xml:space="preserve">tes būtų netikslingas ir perteklinis sprendimas. </w:t>
            </w:r>
          </w:p>
          <w:p w14:paraId="288C1120" w14:textId="77777777" w:rsidR="00146F36" w:rsidRPr="00596485" w:rsidRDefault="00146F36">
            <w:pPr>
              <w:pStyle w:val="NoSpacing"/>
              <w:rPr>
                <w:b/>
                <w:bCs/>
                <w:szCs w:val="24"/>
              </w:rPr>
            </w:pPr>
          </w:p>
        </w:tc>
      </w:tr>
    </w:tbl>
    <w:p w14:paraId="4BF7AD3F" w14:textId="77777777" w:rsidR="007360D9" w:rsidRDefault="007360D9" w:rsidP="007360D9"/>
    <w:p w14:paraId="080E3135" w14:textId="6233D5B7" w:rsidR="00C95266" w:rsidRDefault="000F6B58" w:rsidP="000F6B58">
      <w:pPr>
        <w:jc w:val="center"/>
      </w:pPr>
      <w:r>
        <w:t>________________________</w:t>
      </w:r>
    </w:p>
    <w:p w14:paraId="799AAF42" w14:textId="775B0D8C" w:rsidR="005059C7" w:rsidRDefault="005059C7" w:rsidP="000F6B58">
      <w:pPr>
        <w:jc w:val="center"/>
      </w:pPr>
    </w:p>
    <w:p w14:paraId="02BBC612" w14:textId="78AA5DFA" w:rsidR="005059C7" w:rsidRDefault="005059C7" w:rsidP="000F6B58">
      <w:pPr>
        <w:jc w:val="center"/>
      </w:pPr>
    </w:p>
    <w:p w14:paraId="3AE43DED" w14:textId="61289279" w:rsidR="005059C7" w:rsidRDefault="005059C7" w:rsidP="000F6B58">
      <w:pPr>
        <w:jc w:val="center"/>
      </w:pPr>
    </w:p>
    <w:p w14:paraId="6C8822F1" w14:textId="77777777" w:rsidR="005059C7" w:rsidRDefault="005059C7" w:rsidP="000F6B58">
      <w:pPr>
        <w:jc w:val="center"/>
      </w:pPr>
    </w:p>
    <w:sectPr w:rsidR="005059C7" w:rsidSect="006550CE">
      <w:headerReference w:type="default" r:id="rId9"/>
      <w:pgSz w:w="16838" w:h="11906" w:orient="landscape"/>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E583" w14:textId="77777777" w:rsidR="00077935" w:rsidRDefault="00077935" w:rsidP="00E357BF">
      <w:r>
        <w:separator/>
      </w:r>
    </w:p>
  </w:endnote>
  <w:endnote w:type="continuationSeparator" w:id="0">
    <w:p w14:paraId="4136E7A3" w14:textId="77777777" w:rsidR="00077935" w:rsidRDefault="00077935" w:rsidP="00E3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DFDC" w14:textId="77777777" w:rsidR="00077935" w:rsidRDefault="00077935" w:rsidP="00E357BF">
      <w:r>
        <w:separator/>
      </w:r>
    </w:p>
  </w:footnote>
  <w:footnote w:type="continuationSeparator" w:id="0">
    <w:p w14:paraId="22599C7B" w14:textId="77777777" w:rsidR="00077935" w:rsidRDefault="00077935" w:rsidP="00E3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17290"/>
      <w:docPartObj>
        <w:docPartGallery w:val="Page Numbers (Top of Page)"/>
        <w:docPartUnique/>
      </w:docPartObj>
    </w:sdtPr>
    <w:sdtEndPr/>
    <w:sdtContent>
      <w:p w14:paraId="60561C27" w14:textId="04D326A2" w:rsidR="00E357BF" w:rsidRDefault="00E357BF">
        <w:pPr>
          <w:pStyle w:val="Header"/>
          <w:jc w:val="center"/>
        </w:pPr>
        <w:r>
          <w:fldChar w:fldCharType="begin"/>
        </w:r>
        <w:r>
          <w:instrText>PAGE   \* MERGEFORMAT</w:instrText>
        </w:r>
        <w:r>
          <w:fldChar w:fldCharType="separate"/>
        </w:r>
        <w:r w:rsidR="0014439F">
          <w:rPr>
            <w:noProof/>
          </w:rPr>
          <w:t>2</w:t>
        </w:r>
        <w:r>
          <w:fldChar w:fldCharType="end"/>
        </w:r>
      </w:p>
    </w:sdtContent>
  </w:sdt>
  <w:p w14:paraId="5ECB1A00" w14:textId="77777777" w:rsidR="00E357BF" w:rsidRDefault="00E35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803"/>
    <w:multiLevelType w:val="multilevel"/>
    <w:tmpl w:val="B0843B14"/>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F50143D"/>
    <w:multiLevelType w:val="hybridMultilevel"/>
    <w:tmpl w:val="D1986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BD7D5E"/>
    <w:multiLevelType w:val="multilevel"/>
    <w:tmpl w:val="B7FCC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A1FDB"/>
    <w:multiLevelType w:val="hybridMultilevel"/>
    <w:tmpl w:val="4E8CE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9E0F98"/>
    <w:multiLevelType w:val="multilevel"/>
    <w:tmpl w:val="FC3C0BF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4716505A"/>
    <w:multiLevelType w:val="multilevel"/>
    <w:tmpl w:val="FC3C0BF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784B1485"/>
    <w:multiLevelType w:val="hybridMultilevel"/>
    <w:tmpl w:val="ACF49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065B18"/>
    <w:multiLevelType w:val="multilevel"/>
    <w:tmpl w:val="50FA1AC4"/>
    <w:lvl w:ilvl="0">
      <w:start w:val="1"/>
      <w:numFmt w:val="decimal"/>
      <w:lvlText w:val="%1."/>
      <w:lvlJc w:val="left"/>
      <w:pPr>
        <w:ind w:left="2345" w:hanging="360"/>
      </w:pPr>
      <w:rPr>
        <w:rFonts w:hint="default"/>
      </w:rPr>
    </w:lvl>
    <w:lvl w:ilvl="1">
      <w:start w:val="1"/>
      <w:numFmt w:val="decimal"/>
      <w:isLgl/>
      <w:lvlText w:val="%1.%2."/>
      <w:lvlJc w:val="left"/>
      <w:pPr>
        <w:ind w:left="2705" w:hanging="360"/>
      </w:pPr>
      <w:rPr>
        <w:rFonts w:hint="default"/>
      </w:rPr>
    </w:lvl>
    <w:lvl w:ilvl="2">
      <w:start w:val="1"/>
      <w:numFmt w:val="decimal"/>
      <w:isLgl/>
      <w:lvlText w:val="%1.%2.%3."/>
      <w:lvlJc w:val="left"/>
      <w:pPr>
        <w:ind w:left="3425"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AF"/>
    <w:rsid w:val="00021C85"/>
    <w:rsid w:val="000229CB"/>
    <w:rsid w:val="00031F49"/>
    <w:rsid w:val="0003411A"/>
    <w:rsid w:val="0003471F"/>
    <w:rsid w:val="00040D2D"/>
    <w:rsid w:val="00043ECC"/>
    <w:rsid w:val="00052C85"/>
    <w:rsid w:val="00062781"/>
    <w:rsid w:val="00062E73"/>
    <w:rsid w:val="000707EB"/>
    <w:rsid w:val="00074A15"/>
    <w:rsid w:val="00075377"/>
    <w:rsid w:val="00077935"/>
    <w:rsid w:val="000816D8"/>
    <w:rsid w:val="00081D8D"/>
    <w:rsid w:val="0008267F"/>
    <w:rsid w:val="00091F6C"/>
    <w:rsid w:val="00095999"/>
    <w:rsid w:val="00097836"/>
    <w:rsid w:val="000A0C68"/>
    <w:rsid w:val="000A2418"/>
    <w:rsid w:val="000B2105"/>
    <w:rsid w:val="000D2FC1"/>
    <w:rsid w:val="000D4CEF"/>
    <w:rsid w:val="000D72C4"/>
    <w:rsid w:val="000D7E74"/>
    <w:rsid w:val="000E5754"/>
    <w:rsid w:val="000E718C"/>
    <w:rsid w:val="000F0BCC"/>
    <w:rsid w:val="000F2AD4"/>
    <w:rsid w:val="000F6B58"/>
    <w:rsid w:val="00102FF1"/>
    <w:rsid w:val="001054D6"/>
    <w:rsid w:val="00105B6B"/>
    <w:rsid w:val="00111D3A"/>
    <w:rsid w:val="00113ECE"/>
    <w:rsid w:val="00114677"/>
    <w:rsid w:val="00115D23"/>
    <w:rsid w:val="00135966"/>
    <w:rsid w:val="0014439F"/>
    <w:rsid w:val="00146F36"/>
    <w:rsid w:val="00162DE4"/>
    <w:rsid w:val="00164674"/>
    <w:rsid w:val="00174C15"/>
    <w:rsid w:val="00182632"/>
    <w:rsid w:val="001867CA"/>
    <w:rsid w:val="00191DD6"/>
    <w:rsid w:val="00195A24"/>
    <w:rsid w:val="001A168D"/>
    <w:rsid w:val="001A185E"/>
    <w:rsid w:val="001B1401"/>
    <w:rsid w:val="001B423A"/>
    <w:rsid w:val="001B4509"/>
    <w:rsid w:val="001C3BDC"/>
    <w:rsid w:val="001C6E97"/>
    <w:rsid w:val="001D58ED"/>
    <w:rsid w:val="001D6F4C"/>
    <w:rsid w:val="001E48B0"/>
    <w:rsid w:val="001E54A1"/>
    <w:rsid w:val="001F3D3A"/>
    <w:rsid w:val="001F4AD5"/>
    <w:rsid w:val="001F7BD9"/>
    <w:rsid w:val="00205185"/>
    <w:rsid w:val="00205281"/>
    <w:rsid w:val="00210FEC"/>
    <w:rsid w:val="00212C71"/>
    <w:rsid w:val="00215010"/>
    <w:rsid w:val="002209FE"/>
    <w:rsid w:val="00222EAF"/>
    <w:rsid w:val="002251A0"/>
    <w:rsid w:val="002332BC"/>
    <w:rsid w:val="0023449D"/>
    <w:rsid w:val="00243668"/>
    <w:rsid w:val="00256578"/>
    <w:rsid w:val="00260A2A"/>
    <w:rsid w:val="00261A30"/>
    <w:rsid w:val="0026247B"/>
    <w:rsid w:val="0026502E"/>
    <w:rsid w:val="002834DC"/>
    <w:rsid w:val="00287362"/>
    <w:rsid w:val="0029244E"/>
    <w:rsid w:val="0029301A"/>
    <w:rsid w:val="0029350F"/>
    <w:rsid w:val="002957CE"/>
    <w:rsid w:val="00297CC2"/>
    <w:rsid w:val="002A17CD"/>
    <w:rsid w:val="002B35DD"/>
    <w:rsid w:val="002B4613"/>
    <w:rsid w:val="002B48BC"/>
    <w:rsid w:val="002C0011"/>
    <w:rsid w:val="002C594F"/>
    <w:rsid w:val="002C5A64"/>
    <w:rsid w:val="002D6021"/>
    <w:rsid w:val="002D6AB3"/>
    <w:rsid w:val="002D7C16"/>
    <w:rsid w:val="002E63AE"/>
    <w:rsid w:val="002F263D"/>
    <w:rsid w:val="00310F2E"/>
    <w:rsid w:val="00313FD0"/>
    <w:rsid w:val="00320F20"/>
    <w:rsid w:val="00333186"/>
    <w:rsid w:val="00350541"/>
    <w:rsid w:val="00352694"/>
    <w:rsid w:val="003635F7"/>
    <w:rsid w:val="00371FED"/>
    <w:rsid w:val="00372570"/>
    <w:rsid w:val="003729B8"/>
    <w:rsid w:val="003807F9"/>
    <w:rsid w:val="00381875"/>
    <w:rsid w:val="003821CA"/>
    <w:rsid w:val="00397551"/>
    <w:rsid w:val="003A5C33"/>
    <w:rsid w:val="003A6B07"/>
    <w:rsid w:val="003A7498"/>
    <w:rsid w:val="003B4384"/>
    <w:rsid w:val="003B7ECA"/>
    <w:rsid w:val="003C3DCD"/>
    <w:rsid w:val="003C4BEF"/>
    <w:rsid w:val="003D0167"/>
    <w:rsid w:val="003D3DD7"/>
    <w:rsid w:val="003E0B9F"/>
    <w:rsid w:val="003F2520"/>
    <w:rsid w:val="003F6C01"/>
    <w:rsid w:val="003F73FE"/>
    <w:rsid w:val="00410DA3"/>
    <w:rsid w:val="00414FEC"/>
    <w:rsid w:val="00423E6F"/>
    <w:rsid w:val="00427065"/>
    <w:rsid w:val="00430C0D"/>
    <w:rsid w:val="00431000"/>
    <w:rsid w:val="004344CE"/>
    <w:rsid w:val="00436244"/>
    <w:rsid w:val="0044393E"/>
    <w:rsid w:val="0044651B"/>
    <w:rsid w:val="00454BCD"/>
    <w:rsid w:val="0046659C"/>
    <w:rsid w:val="00472DEB"/>
    <w:rsid w:val="0047573F"/>
    <w:rsid w:val="00490EDF"/>
    <w:rsid w:val="00491B89"/>
    <w:rsid w:val="00494FF5"/>
    <w:rsid w:val="004B023D"/>
    <w:rsid w:val="004B2F8C"/>
    <w:rsid w:val="004B4F7C"/>
    <w:rsid w:val="004B70F3"/>
    <w:rsid w:val="004C0196"/>
    <w:rsid w:val="004D16F9"/>
    <w:rsid w:val="004E3E37"/>
    <w:rsid w:val="004E56FA"/>
    <w:rsid w:val="004E7848"/>
    <w:rsid w:val="004F0A4B"/>
    <w:rsid w:val="004F1359"/>
    <w:rsid w:val="004F187A"/>
    <w:rsid w:val="004F4AC5"/>
    <w:rsid w:val="005059C7"/>
    <w:rsid w:val="0051166D"/>
    <w:rsid w:val="005171A5"/>
    <w:rsid w:val="00517FA1"/>
    <w:rsid w:val="0052146E"/>
    <w:rsid w:val="005217E2"/>
    <w:rsid w:val="005234BD"/>
    <w:rsid w:val="00530697"/>
    <w:rsid w:val="00532763"/>
    <w:rsid w:val="00543B72"/>
    <w:rsid w:val="0055299B"/>
    <w:rsid w:val="00564F8E"/>
    <w:rsid w:val="00565113"/>
    <w:rsid w:val="00565AE4"/>
    <w:rsid w:val="005672FD"/>
    <w:rsid w:val="00575E49"/>
    <w:rsid w:val="005801C5"/>
    <w:rsid w:val="005834EB"/>
    <w:rsid w:val="00596485"/>
    <w:rsid w:val="005A7C1F"/>
    <w:rsid w:val="005E2D12"/>
    <w:rsid w:val="005F0BBC"/>
    <w:rsid w:val="00612AF6"/>
    <w:rsid w:val="00614455"/>
    <w:rsid w:val="0061795B"/>
    <w:rsid w:val="00641F55"/>
    <w:rsid w:val="00643D41"/>
    <w:rsid w:val="006440CA"/>
    <w:rsid w:val="006447F9"/>
    <w:rsid w:val="006550CE"/>
    <w:rsid w:val="00657F70"/>
    <w:rsid w:val="0066230C"/>
    <w:rsid w:val="006678E7"/>
    <w:rsid w:val="00681AB7"/>
    <w:rsid w:val="00681CA0"/>
    <w:rsid w:val="0068552C"/>
    <w:rsid w:val="00696FB1"/>
    <w:rsid w:val="006A11A0"/>
    <w:rsid w:val="006A68EA"/>
    <w:rsid w:val="006C76F5"/>
    <w:rsid w:val="006D2E1F"/>
    <w:rsid w:val="006D76C2"/>
    <w:rsid w:val="006E41BE"/>
    <w:rsid w:val="006F6E07"/>
    <w:rsid w:val="006F7CF0"/>
    <w:rsid w:val="00703453"/>
    <w:rsid w:val="00714980"/>
    <w:rsid w:val="00717E51"/>
    <w:rsid w:val="00725050"/>
    <w:rsid w:val="00727EC2"/>
    <w:rsid w:val="007360D9"/>
    <w:rsid w:val="0074273F"/>
    <w:rsid w:val="00753206"/>
    <w:rsid w:val="00774748"/>
    <w:rsid w:val="00775C54"/>
    <w:rsid w:val="00781587"/>
    <w:rsid w:val="00782A93"/>
    <w:rsid w:val="00786AE0"/>
    <w:rsid w:val="00786CB3"/>
    <w:rsid w:val="00796EFA"/>
    <w:rsid w:val="007B18F1"/>
    <w:rsid w:val="007B57D0"/>
    <w:rsid w:val="007C3278"/>
    <w:rsid w:val="007D0206"/>
    <w:rsid w:val="007D439B"/>
    <w:rsid w:val="007D7406"/>
    <w:rsid w:val="007E58B5"/>
    <w:rsid w:val="007F3E60"/>
    <w:rsid w:val="007F470E"/>
    <w:rsid w:val="00800577"/>
    <w:rsid w:val="00800AAF"/>
    <w:rsid w:val="00807A78"/>
    <w:rsid w:val="00807F08"/>
    <w:rsid w:val="0081217F"/>
    <w:rsid w:val="00826962"/>
    <w:rsid w:val="0082758A"/>
    <w:rsid w:val="00833862"/>
    <w:rsid w:val="0084322B"/>
    <w:rsid w:val="00843A4A"/>
    <w:rsid w:val="00845795"/>
    <w:rsid w:val="008541AD"/>
    <w:rsid w:val="00856332"/>
    <w:rsid w:val="00857164"/>
    <w:rsid w:val="00860905"/>
    <w:rsid w:val="0086464F"/>
    <w:rsid w:val="008648D6"/>
    <w:rsid w:val="00871649"/>
    <w:rsid w:val="00885BCD"/>
    <w:rsid w:val="00885D1B"/>
    <w:rsid w:val="00890F2A"/>
    <w:rsid w:val="008A06DF"/>
    <w:rsid w:val="008A2877"/>
    <w:rsid w:val="008A6800"/>
    <w:rsid w:val="008B463E"/>
    <w:rsid w:val="008C2F5F"/>
    <w:rsid w:val="008C75A6"/>
    <w:rsid w:val="008E2C1F"/>
    <w:rsid w:val="008E3D4A"/>
    <w:rsid w:val="008F6FAF"/>
    <w:rsid w:val="009021F9"/>
    <w:rsid w:val="00905287"/>
    <w:rsid w:val="00915CBE"/>
    <w:rsid w:val="00916F35"/>
    <w:rsid w:val="009201D3"/>
    <w:rsid w:val="00925A45"/>
    <w:rsid w:val="00931825"/>
    <w:rsid w:val="0093439E"/>
    <w:rsid w:val="00934E56"/>
    <w:rsid w:val="009368FE"/>
    <w:rsid w:val="00947936"/>
    <w:rsid w:val="00957A72"/>
    <w:rsid w:val="009602F3"/>
    <w:rsid w:val="00967ADB"/>
    <w:rsid w:val="00977BCD"/>
    <w:rsid w:val="009819C2"/>
    <w:rsid w:val="0099010B"/>
    <w:rsid w:val="00997905"/>
    <w:rsid w:val="009A0704"/>
    <w:rsid w:val="009A570B"/>
    <w:rsid w:val="009B6E88"/>
    <w:rsid w:val="009B6FF4"/>
    <w:rsid w:val="009B729E"/>
    <w:rsid w:val="009C2AF0"/>
    <w:rsid w:val="009C2FAC"/>
    <w:rsid w:val="009D0DBA"/>
    <w:rsid w:val="009E4F1E"/>
    <w:rsid w:val="009F1DEB"/>
    <w:rsid w:val="009F260D"/>
    <w:rsid w:val="00A0309D"/>
    <w:rsid w:val="00A03143"/>
    <w:rsid w:val="00A05706"/>
    <w:rsid w:val="00A20A03"/>
    <w:rsid w:val="00A24E06"/>
    <w:rsid w:val="00A250F6"/>
    <w:rsid w:val="00A25123"/>
    <w:rsid w:val="00A2646F"/>
    <w:rsid w:val="00A330DE"/>
    <w:rsid w:val="00A33120"/>
    <w:rsid w:val="00A55331"/>
    <w:rsid w:val="00A56304"/>
    <w:rsid w:val="00A64FB8"/>
    <w:rsid w:val="00A6700C"/>
    <w:rsid w:val="00A6772D"/>
    <w:rsid w:val="00A72D4A"/>
    <w:rsid w:val="00A82F77"/>
    <w:rsid w:val="00A85213"/>
    <w:rsid w:val="00A940A7"/>
    <w:rsid w:val="00A958B6"/>
    <w:rsid w:val="00AA4813"/>
    <w:rsid w:val="00AB769E"/>
    <w:rsid w:val="00AC247E"/>
    <w:rsid w:val="00AC2AB6"/>
    <w:rsid w:val="00AC3173"/>
    <w:rsid w:val="00AD0F10"/>
    <w:rsid w:val="00AD151C"/>
    <w:rsid w:val="00AD2306"/>
    <w:rsid w:val="00AD3168"/>
    <w:rsid w:val="00AD4EB6"/>
    <w:rsid w:val="00AD5F9B"/>
    <w:rsid w:val="00AE000E"/>
    <w:rsid w:val="00AE04EE"/>
    <w:rsid w:val="00AE0B18"/>
    <w:rsid w:val="00AE1608"/>
    <w:rsid w:val="00AE7E30"/>
    <w:rsid w:val="00AF1638"/>
    <w:rsid w:val="00AF1DBB"/>
    <w:rsid w:val="00AF46C0"/>
    <w:rsid w:val="00B047C7"/>
    <w:rsid w:val="00B07938"/>
    <w:rsid w:val="00B1011C"/>
    <w:rsid w:val="00B10EF9"/>
    <w:rsid w:val="00B12B7F"/>
    <w:rsid w:val="00B254E4"/>
    <w:rsid w:val="00B255D8"/>
    <w:rsid w:val="00B31067"/>
    <w:rsid w:val="00B31C75"/>
    <w:rsid w:val="00B31DCA"/>
    <w:rsid w:val="00B325EF"/>
    <w:rsid w:val="00B35005"/>
    <w:rsid w:val="00B42166"/>
    <w:rsid w:val="00B460CC"/>
    <w:rsid w:val="00B46738"/>
    <w:rsid w:val="00B47A3C"/>
    <w:rsid w:val="00B503A7"/>
    <w:rsid w:val="00B5323A"/>
    <w:rsid w:val="00B63593"/>
    <w:rsid w:val="00B70B65"/>
    <w:rsid w:val="00B75EA5"/>
    <w:rsid w:val="00B80C41"/>
    <w:rsid w:val="00B87718"/>
    <w:rsid w:val="00B877F6"/>
    <w:rsid w:val="00BA4D93"/>
    <w:rsid w:val="00BB2F0D"/>
    <w:rsid w:val="00BC1CE1"/>
    <w:rsid w:val="00BD0D6B"/>
    <w:rsid w:val="00BD0F67"/>
    <w:rsid w:val="00C005ED"/>
    <w:rsid w:val="00C12706"/>
    <w:rsid w:val="00C312E2"/>
    <w:rsid w:val="00C3168C"/>
    <w:rsid w:val="00C3318C"/>
    <w:rsid w:val="00C33A85"/>
    <w:rsid w:val="00C424EF"/>
    <w:rsid w:val="00C43834"/>
    <w:rsid w:val="00C43A8D"/>
    <w:rsid w:val="00C459AC"/>
    <w:rsid w:val="00C47E08"/>
    <w:rsid w:val="00C5037C"/>
    <w:rsid w:val="00C509AC"/>
    <w:rsid w:val="00C56D24"/>
    <w:rsid w:val="00C575AD"/>
    <w:rsid w:val="00C61E49"/>
    <w:rsid w:val="00C77D3D"/>
    <w:rsid w:val="00C82F6E"/>
    <w:rsid w:val="00C95266"/>
    <w:rsid w:val="00C95CD8"/>
    <w:rsid w:val="00CA653B"/>
    <w:rsid w:val="00CB7A45"/>
    <w:rsid w:val="00CC204E"/>
    <w:rsid w:val="00CC20F3"/>
    <w:rsid w:val="00CE1DF4"/>
    <w:rsid w:val="00CE41F7"/>
    <w:rsid w:val="00CE5D80"/>
    <w:rsid w:val="00CF1356"/>
    <w:rsid w:val="00D05212"/>
    <w:rsid w:val="00D10DF4"/>
    <w:rsid w:val="00D11C9A"/>
    <w:rsid w:val="00D11F03"/>
    <w:rsid w:val="00D21BD8"/>
    <w:rsid w:val="00D22B57"/>
    <w:rsid w:val="00D2657E"/>
    <w:rsid w:val="00D4074B"/>
    <w:rsid w:val="00D435AB"/>
    <w:rsid w:val="00D45BE9"/>
    <w:rsid w:val="00D50829"/>
    <w:rsid w:val="00D57BDC"/>
    <w:rsid w:val="00D624D0"/>
    <w:rsid w:val="00D66228"/>
    <w:rsid w:val="00D73056"/>
    <w:rsid w:val="00D740B7"/>
    <w:rsid w:val="00D77AA3"/>
    <w:rsid w:val="00D879F2"/>
    <w:rsid w:val="00D87F60"/>
    <w:rsid w:val="00D9469C"/>
    <w:rsid w:val="00D96137"/>
    <w:rsid w:val="00D9788C"/>
    <w:rsid w:val="00D97BE1"/>
    <w:rsid w:val="00DA475C"/>
    <w:rsid w:val="00DA756E"/>
    <w:rsid w:val="00DB159F"/>
    <w:rsid w:val="00DB4469"/>
    <w:rsid w:val="00DC115F"/>
    <w:rsid w:val="00DC1F6F"/>
    <w:rsid w:val="00DD3C4F"/>
    <w:rsid w:val="00DD68D4"/>
    <w:rsid w:val="00DE22FE"/>
    <w:rsid w:val="00DE57D7"/>
    <w:rsid w:val="00DE6ED2"/>
    <w:rsid w:val="00DE7B51"/>
    <w:rsid w:val="00DF1AC0"/>
    <w:rsid w:val="00DF5A96"/>
    <w:rsid w:val="00E0150D"/>
    <w:rsid w:val="00E0733F"/>
    <w:rsid w:val="00E1168A"/>
    <w:rsid w:val="00E1739B"/>
    <w:rsid w:val="00E219D3"/>
    <w:rsid w:val="00E311EB"/>
    <w:rsid w:val="00E357BF"/>
    <w:rsid w:val="00E3659F"/>
    <w:rsid w:val="00E42A70"/>
    <w:rsid w:val="00E46605"/>
    <w:rsid w:val="00E576EB"/>
    <w:rsid w:val="00E82EBC"/>
    <w:rsid w:val="00E83D38"/>
    <w:rsid w:val="00E879EA"/>
    <w:rsid w:val="00E96B2C"/>
    <w:rsid w:val="00EA2DEA"/>
    <w:rsid w:val="00EB23F9"/>
    <w:rsid w:val="00EB2A8E"/>
    <w:rsid w:val="00ED0D69"/>
    <w:rsid w:val="00EE1B5A"/>
    <w:rsid w:val="00EE6843"/>
    <w:rsid w:val="00EF3181"/>
    <w:rsid w:val="00EF7B24"/>
    <w:rsid w:val="00F02A2C"/>
    <w:rsid w:val="00F101AC"/>
    <w:rsid w:val="00F123CC"/>
    <w:rsid w:val="00F13B1A"/>
    <w:rsid w:val="00F1495C"/>
    <w:rsid w:val="00F31693"/>
    <w:rsid w:val="00F32094"/>
    <w:rsid w:val="00F35F06"/>
    <w:rsid w:val="00F42DDD"/>
    <w:rsid w:val="00F43B84"/>
    <w:rsid w:val="00F578B7"/>
    <w:rsid w:val="00F61CBE"/>
    <w:rsid w:val="00F7234E"/>
    <w:rsid w:val="00F76142"/>
    <w:rsid w:val="00F76B76"/>
    <w:rsid w:val="00F7777B"/>
    <w:rsid w:val="00F84583"/>
    <w:rsid w:val="00F91C94"/>
    <w:rsid w:val="00F97763"/>
    <w:rsid w:val="00FA088C"/>
    <w:rsid w:val="00FA2578"/>
    <w:rsid w:val="00FA3510"/>
    <w:rsid w:val="00FA53F8"/>
    <w:rsid w:val="00FA5947"/>
    <w:rsid w:val="00FB12CA"/>
    <w:rsid w:val="00FB3FEE"/>
    <w:rsid w:val="00FB618F"/>
    <w:rsid w:val="00FB729C"/>
    <w:rsid w:val="00FB76AA"/>
    <w:rsid w:val="00FC124B"/>
    <w:rsid w:val="00FC3484"/>
    <w:rsid w:val="00FC3C29"/>
    <w:rsid w:val="00FC3DBC"/>
    <w:rsid w:val="00FD09FC"/>
    <w:rsid w:val="00FD1A96"/>
    <w:rsid w:val="00FE0A52"/>
    <w:rsid w:val="00FF1570"/>
    <w:rsid w:val="00FF6A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B53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8C"/>
    <w:rPr>
      <w:rFonts w:cs="Calibri"/>
      <w:sz w:val="24"/>
      <w:lang w:eastAsia="en-US"/>
    </w:rPr>
  </w:style>
  <w:style w:type="paragraph" w:styleId="Heading1">
    <w:name w:val="heading 1"/>
    <w:basedOn w:val="Normal"/>
    <w:next w:val="Normal"/>
    <w:link w:val="Heading1Char"/>
    <w:qFormat/>
    <w:rsid w:val="00C3318C"/>
    <w:pPr>
      <w:keepNext/>
      <w:outlineLvl w:val="0"/>
    </w:pPr>
    <w:rPr>
      <w:rFonts w:ascii="Cambria" w:hAnsi="Cambria" w:cs="Times New Roman"/>
      <w:b/>
      <w:color w:val="1F497D"/>
      <w:sz w:val="28"/>
    </w:rPr>
  </w:style>
  <w:style w:type="paragraph" w:styleId="Heading2">
    <w:name w:val="heading 2"/>
    <w:basedOn w:val="Normal"/>
    <w:next w:val="Normal"/>
    <w:link w:val="Heading2Char"/>
    <w:semiHidden/>
    <w:unhideWhenUsed/>
    <w:qFormat/>
    <w:rsid w:val="00C3318C"/>
    <w:pPr>
      <w:keepNext/>
      <w:keepLines/>
      <w:spacing w:before="40"/>
      <w:outlineLvl w:val="1"/>
    </w:pPr>
    <w:rPr>
      <w:rFonts w:ascii="Cambria" w:eastAsia="MS Gothic"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Subtitle"/>
    <w:qFormat/>
    <w:rsid w:val="00C3318C"/>
    <w:rPr>
      <w:lang w:val="en-US"/>
    </w:rPr>
  </w:style>
  <w:style w:type="paragraph" w:styleId="Subtitle">
    <w:name w:val="Subtitle"/>
    <w:basedOn w:val="Normal"/>
    <w:next w:val="Normal"/>
    <w:link w:val="SubtitleChar"/>
    <w:qFormat/>
    <w:rsid w:val="00C3318C"/>
    <w:pPr>
      <w:numPr>
        <w:ilvl w:val="1"/>
      </w:numPr>
      <w:spacing w:after="160"/>
    </w:pPr>
    <w:rPr>
      <w:rFonts w:ascii="Calibri" w:eastAsia="MS Mincho" w:hAnsi="Calibri" w:cs="Arial"/>
      <w:color w:val="5A5A5A"/>
      <w:spacing w:val="15"/>
      <w:sz w:val="22"/>
      <w:szCs w:val="22"/>
    </w:rPr>
  </w:style>
  <w:style w:type="character" w:customStyle="1" w:styleId="SubtitleChar">
    <w:name w:val="Subtitle Char"/>
    <w:link w:val="Subtitle"/>
    <w:rsid w:val="00C3318C"/>
    <w:rPr>
      <w:rFonts w:ascii="Calibri" w:eastAsia="MS Mincho" w:hAnsi="Calibri" w:cs="Arial"/>
      <w:color w:val="5A5A5A"/>
      <w:spacing w:val="15"/>
      <w:sz w:val="22"/>
      <w:szCs w:val="22"/>
    </w:rPr>
  </w:style>
  <w:style w:type="character" w:customStyle="1" w:styleId="Heading1Char">
    <w:name w:val="Heading 1 Char"/>
    <w:link w:val="Heading1"/>
    <w:rsid w:val="00C3318C"/>
    <w:rPr>
      <w:rFonts w:ascii="Cambria" w:hAnsi="Cambria"/>
      <w:b/>
      <w:color w:val="1F497D"/>
      <w:sz w:val="28"/>
      <w:lang w:val="en-US"/>
    </w:rPr>
  </w:style>
  <w:style w:type="character" w:customStyle="1" w:styleId="Heading2Char">
    <w:name w:val="Heading 2 Char"/>
    <w:link w:val="Heading2"/>
    <w:semiHidden/>
    <w:rsid w:val="00C3318C"/>
    <w:rPr>
      <w:rFonts w:ascii="Cambria" w:eastAsia="MS Gothic" w:hAnsi="Cambria"/>
      <w:color w:val="365F91"/>
      <w:sz w:val="26"/>
      <w:szCs w:val="26"/>
    </w:rPr>
  </w:style>
  <w:style w:type="paragraph" w:styleId="Title">
    <w:name w:val="Title"/>
    <w:basedOn w:val="Normal"/>
    <w:next w:val="Normal"/>
    <w:link w:val="TitleChar"/>
    <w:uiPriority w:val="10"/>
    <w:qFormat/>
    <w:rsid w:val="00C3318C"/>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link w:val="Title"/>
    <w:uiPriority w:val="10"/>
    <w:rsid w:val="00C3318C"/>
    <w:rPr>
      <w:rFonts w:ascii="Cambria" w:eastAsia="MS Gothic" w:hAnsi="Cambria"/>
      <w:color w:val="17365D"/>
      <w:spacing w:val="5"/>
      <w:kern w:val="28"/>
      <w:sz w:val="52"/>
      <w:szCs w:val="52"/>
    </w:rPr>
  </w:style>
  <w:style w:type="paragraph" w:styleId="ListParagraph">
    <w:name w:val="List Paragraph"/>
    <w:basedOn w:val="Normal"/>
    <w:uiPriority w:val="34"/>
    <w:qFormat/>
    <w:rsid w:val="00222EAF"/>
    <w:pPr>
      <w:ind w:left="720"/>
      <w:contextualSpacing/>
    </w:pPr>
    <w:rPr>
      <w:rFonts w:cs="Times New Roman"/>
      <w:szCs w:val="24"/>
      <w:lang w:val="en-GB"/>
    </w:rPr>
  </w:style>
  <w:style w:type="character" w:customStyle="1" w:styleId="Bodytext">
    <w:name w:val="Body text_"/>
    <w:link w:val="BodyText2"/>
    <w:rsid w:val="008B463E"/>
    <w:rPr>
      <w:shd w:val="clear" w:color="auto" w:fill="FFFFFF"/>
    </w:rPr>
  </w:style>
  <w:style w:type="character" w:customStyle="1" w:styleId="BodytextBold">
    <w:name w:val="Body text + Bold"/>
    <w:rsid w:val="008B463E"/>
    <w:rPr>
      <w:b/>
      <w:bCs/>
      <w:color w:val="000000"/>
      <w:spacing w:val="0"/>
      <w:w w:val="100"/>
      <w:position w:val="0"/>
      <w:shd w:val="clear" w:color="auto" w:fill="FFFFFF"/>
      <w:lang w:val="lt-LT" w:eastAsia="lt-LT" w:bidi="lt-LT"/>
    </w:rPr>
  </w:style>
  <w:style w:type="paragraph" w:customStyle="1" w:styleId="BodyText2">
    <w:name w:val="Body Text2"/>
    <w:basedOn w:val="Normal"/>
    <w:link w:val="Bodytext"/>
    <w:rsid w:val="008B463E"/>
    <w:pPr>
      <w:widowControl w:val="0"/>
      <w:shd w:val="clear" w:color="auto" w:fill="FFFFFF"/>
      <w:spacing w:before="300" w:after="60" w:line="0" w:lineRule="atLeast"/>
      <w:jc w:val="both"/>
    </w:pPr>
    <w:rPr>
      <w:rFonts w:cs="Times New Roman"/>
      <w:sz w:val="20"/>
    </w:rPr>
  </w:style>
  <w:style w:type="character" w:customStyle="1" w:styleId="Bodytext2NotBold">
    <w:name w:val="Body text (2) + Not Bold"/>
    <w:rsid w:val="008B463E"/>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table" w:styleId="TableGrid">
    <w:name w:val="Table Grid"/>
    <w:basedOn w:val="TableNormal"/>
    <w:uiPriority w:val="59"/>
    <w:rsid w:val="00511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32094"/>
    <w:rPr>
      <w:sz w:val="16"/>
      <w:szCs w:val="16"/>
    </w:rPr>
  </w:style>
  <w:style w:type="paragraph" w:styleId="CommentText">
    <w:name w:val="annotation text"/>
    <w:basedOn w:val="Normal"/>
    <w:link w:val="CommentTextChar"/>
    <w:uiPriority w:val="99"/>
    <w:unhideWhenUsed/>
    <w:rsid w:val="00F32094"/>
    <w:rPr>
      <w:sz w:val="20"/>
    </w:rPr>
  </w:style>
  <w:style w:type="character" w:customStyle="1" w:styleId="CommentTextChar">
    <w:name w:val="Comment Text Char"/>
    <w:link w:val="CommentText"/>
    <w:uiPriority w:val="99"/>
    <w:rsid w:val="00F32094"/>
    <w:rPr>
      <w:rFonts w:cs="Calibri"/>
    </w:rPr>
  </w:style>
  <w:style w:type="paragraph" w:styleId="CommentSubject">
    <w:name w:val="annotation subject"/>
    <w:basedOn w:val="CommentText"/>
    <w:next w:val="CommentText"/>
    <w:link w:val="CommentSubjectChar"/>
    <w:uiPriority w:val="99"/>
    <w:semiHidden/>
    <w:unhideWhenUsed/>
    <w:rsid w:val="00F32094"/>
    <w:rPr>
      <w:b/>
      <w:bCs/>
    </w:rPr>
  </w:style>
  <w:style w:type="character" w:customStyle="1" w:styleId="CommentSubjectChar">
    <w:name w:val="Comment Subject Char"/>
    <w:link w:val="CommentSubject"/>
    <w:uiPriority w:val="99"/>
    <w:semiHidden/>
    <w:rsid w:val="00F32094"/>
    <w:rPr>
      <w:rFonts w:cs="Calibri"/>
      <w:b/>
      <w:bCs/>
    </w:rPr>
  </w:style>
  <w:style w:type="paragraph" w:styleId="BalloonText">
    <w:name w:val="Balloon Text"/>
    <w:basedOn w:val="Normal"/>
    <w:link w:val="BalloonTextChar"/>
    <w:uiPriority w:val="99"/>
    <w:semiHidden/>
    <w:unhideWhenUsed/>
    <w:rsid w:val="00F32094"/>
    <w:rPr>
      <w:rFonts w:ascii="Segoe UI" w:hAnsi="Segoe UI" w:cs="Segoe UI"/>
      <w:sz w:val="18"/>
      <w:szCs w:val="18"/>
    </w:rPr>
  </w:style>
  <w:style w:type="character" w:customStyle="1" w:styleId="BalloonTextChar">
    <w:name w:val="Balloon Text Char"/>
    <w:link w:val="BalloonText"/>
    <w:uiPriority w:val="99"/>
    <w:semiHidden/>
    <w:rsid w:val="00F32094"/>
    <w:rPr>
      <w:rFonts w:ascii="Segoe UI" w:hAnsi="Segoe UI" w:cs="Segoe UI"/>
      <w:sz w:val="18"/>
      <w:szCs w:val="18"/>
    </w:rPr>
  </w:style>
  <w:style w:type="character" w:customStyle="1" w:styleId="Pagrindinistekstas1">
    <w:name w:val="Pagrindinis tekstas1"/>
    <w:rsid w:val="00F32094"/>
    <w:rPr>
      <w:rFonts w:ascii="Times New Roman" w:eastAsia="Times New Roman" w:hAnsi="Times New Roman" w:cs="Times New Roman"/>
      <w:b w:val="0"/>
      <w:bCs w:val="0"/>
      <w:i w:val="0"/>
      <w:iCs w:val="0"/>
      <w:smallCaps w:val="0"/>
      <w:strike/>
      <w:color w:val="000000"/>
      <w:spacing w:val="0"/>
      <w:w w:val="100"/>
      <w:position w:val="0"/>
      <w:sz w:val="20"/>
      <w:szCs w:val="20"/>
      <w:u w:val="none"/>
      <w:lang w:val="lt-LT" w:eastAsia="lt-LT" w:bidi="lt-LT"/>
    </w:rPr>
  </w:style>
  <w:style w:type="paragraph" w:styleId="BodyText0">
    <w:name w:val="Body Text"/>
    <w:basedOn w:val="Normal"/>
    <w:link w:val="BodyTextChar"/>
    <w:uiPriority w:val="99"/>
    <w:unhideWhenUsed/>
    <w:rsid w:val="00ED0D69"/>
    <w:pPr>
      <w:spacing w:before="100" w:beforeAutospacing="1" w:after="100" w:afterAutospacing="1"/>
    </w:pPr>
    <w:rPr>
      <w:rFonts w:cs="Times New Roman"/>
      <w:szCs w:val="24"/>
      <w:lang w:eastAsia="lt-LT"/>
    </w:rPr>
  </w:style>
  <w:style w:type="character" w:customStyle="1" w:styleId="BodyTextChar">
    <w:name w:val="Body Text Char"/>
    <w:basedOn w:val="DefaultParagraphFont"/>
    <w:link w:val="BodyText0"/>
    <w:uiPriority w:val="99"/>
    <w:rsid w:val="00ED0D69"/>
    <w:rPr>
      <w:sz w:val="24"/>
      <w:szCs w:val="24"/>
    </w:rPr>
  </w:style>
  <w:style w:type="paragraph" w:customStyle="1" w:styleId="Default">
    <w:name w:val="Default"/>
    <w:basedOn w:val="Normal"/>
    <w:rsid w:val="007D7406"/>
    <w:pPr>
      <w:autoSpaceDE w:val="0"/>
      <w:autoSpaceDN w:val="0"/>
    </w:pPr>
    <w:rPr>
      <w:rFonts w:eastAsiaTheme="minorHAnsi" w:cs="Times New Roman"/>
      <w:color w:val="000000"/>
      <w:szCs w:val="24"/>
      <w:lang w:eastAsia="lt-LT"/>
    </w:rPr>
  </w:style>
  <w:style w:type="paragraph" w:styleId="NoSpacing">
    <w:name w:val="No Spacing"/>
    <w:uiPriority w:val="1"/>
    <w:qFormat/>
    <w:rsid w:val="001B423A"/>
    <w:pPr>
      <w:jc w:val="both"/>
    </w:pPr>
    <w:rPr>
      <w:sz w:val="24"/>
      <w:lang w:eastAsia="en-US"/>
    </w:rPr>
  </w:style>
  <w:style w:type="paragraph" w:styleId="Header">
    <w:name w:val="header"/>
    <w:basedOn w:val="Normal"/>
    <w:link w:val="HeaderChar"/>
    <w:uiPriority w:val="99"/>
    <w:unhideWhenUsed/>
    <w:rsid w:val="00E357BF"/>
    <w:pPr>
      <w:tabs>
        <w:tab w:val="center" w:pos="4819"/>
        <w:tab w:val="right" w:pos="9638"/>
      </w:tabs>
    </w:pPr>
  </w:style>
  <w:style w:type="character" w:customStyle="1" w:styleId="HeaderChar">
    <w:name w:val="Header Char"/>
    <w:basedOn w:val="DefaultParagraphFont"/>
    <w:link w:val="Header"/>
    <w:uiPriority w:val="99"/>
    <w:rsid w:val="00E357BF"/>
    <w:rPr>
      <w:rFonts w:cs="Calibri"/>
      <w:sz w:val="24"/>
      <w:lang w:eastAsia="en-US"/>
    </w:rPr>
  </w:style>
  <w:style w:type="paragraph" w:styleId="Footer">
    <w:name w:val="footer"/>
    <w:basedOn w:val="Normal"/>
    <w:link w:val="FooterChar"/>
    <w:uiPriority w:val="99"/>
    <w:unhideWhenUsed/>
    <w:rsid w:val="00E357BF"/>
    <w:pPr>
      <w:tabs>
        <w:tab w:val="center" w:pos="4819"/>
        <w:tab w:val="right" w:pos="9638"/>
      </w:tabs>
    </w:pPr>
  </w:style>
  <w:style w:type="character" w:customStyle="1" w:styleId="FooterChar">
    <w:name w:val="Footer Char"/>
    <w:basedOn w:val="DefaultParagraphFont"/>
    <w:link w:val="Footer"/>
    <w:uiPriority w:val="99"/>
    <w:rsid w:val="00E357BF"/>
    <w:rPr>
      <w:rFonts w:cs="Calibri"/>
      <w:sz w:val="24"/>
      <w:lang w:eastAsia="en-US"/>
    </w:rPr>
  </w:style>
  <w:style w:type="paragraph" w:customStyle="1" w:styleId="tajtip">
    <w:name w:val="tajtip"/>
    <w:basedOn w:val="Normal"/>
    <w:rsid w:val="0008267F"/>
    <w:pPr>
      <w:spacing w:before="100" w:beforeAutospacing="1" w:after="100" w:afterAutospacing="1"/>
    </w:pPr>
    <w:rPr>
      <w:rFonts w:cs="Times New Roman"/>
      <w:szCs w:val="24"/>
      <w:lang w:eastAsia="lt-LT"/>
    </w:rPr>
  </w:style>
  <w:style w:type="paragraph" w:customStyle="1" w:styleId="default0">
    <w:name w:val="default"/>
    <w:basedOn w:val="Normal"/>
    <w:rsid w:val="00146F36"/>
    <w:pPr>
      <w:spacing w:before="100" w:beforeAutospacing="1" w:after="100" w:afterAutospacing="1"/>
    </w:pPr>
    <w:rPr>
      <w:rFonts w:cs="Times New Roman"/>
      <w:szCs w:val="24"/>
      <w:lang w:val="en-US"/>
    </w:rPr>
  </w:style>
  <w:style w:type="character" w:styleId="Hyperlink">
    <w:name w:val="Hyperlink"/>
    <w:basedOn w:val="DefaultParagraphFont"/>
    <w:uiPriority w:val="99"/>
    <w:semiHidden/>
    <w:unhideWhenUsed/>
    <w:rsid w:val="006C76F5"/>
    <w:rPr>
      <w:color w:val="0563C1"/>
      <w:u w:val="single"/>
    </w:rPr>
  </w:style>
  <w:style w:type="paragraph" w:styleId="Revision">
    <w:name w:val="Revision"/>
    <w:hidden/>
    <w:uiPriority w:val="99"/>
    <w:semiHidden/>
    <w:rsid w:val="00D77AA3"/>
    <w:rPr>
      <w:rFonts w:cs="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258">
      <w:bodyDiv w:val="1"/>
      <w:marLeft w:val="0"/>
      <w:marRight w:val="0"/>
      <w:marTop w:val="0"/>
      <w:marBottom w:val="0"/>
      <w:divBdr>
        <w:top w:val="none" w:sz="0" w:space="0" w:color="auto"/>
        <w:left w:val="none" w:sz="0" w:space="0" w:color="auto"/>
        <w:bottom w:val="none" w:sz="0" w:space="0" w:color="auto"/>
        <w:right w:val="none" w:sz="0" w:space="0" w:color="auto"/>
      </w:divBdr>
    </w:div>
    <w:div w:id="333342221">
      <w:bodyDiv w:val="1"/>
      <w:marLeft w:val="0"/>
      <w:marRight w:val="0"/>
      <w:marTop w:val="0"/>
      <w:marBottom w:val="0"/>
      <w:divBdr>
        <w:top w:val="none" w:sz="0" w:space="0" w:color="auto"/>
        <w:left w:val="none" w:sz="0" w:space="0" w:color="auto"/>
        <w:bottom w:val="none" w:sz="0" w:space="0" w:color="auto"/>
        <w:right w:val="none" w:sz="0" w:space="0" w:color="auto"/>
      </w:divBdr>
    </w:div>
    <w:div w:id="500854247">
      <w:bodyDiv w:val="1"/>
      <w:marLeft w:val="0"/>
      <w:marRight w:val="0"/>
      <w:marTop w:val="0"/>
      <w:marBottom w:val="0"/>
      <w:divBdr>
        <w:top w:val="none" w:sz="0" w:space="0" w:color="auto"/>
        <w:left w:val="none" w:sz="0" w:space="0" w:color="auto"/>
        <w:bottom w:val="none" w:sz="0" w:space="0" w:color="auto"/>
        <w:right w:val="none" w:sz="0" w:space="0" w:color="auto"/>
      </w:divBdr>
    </w:div>
    <w:div w:id="634526760">
      <w:bodyDiv w:val="1"/>
      <w:marLeft w:val="0"/>
      <w:marRight w:val="0"/>
      <w:marTop w:val="0"/>
      <w:marBottom w:val="0"/>
      <w:divBdr>
        <w:top w:val="none" w:sz="0" w:space="0" w:color="auto"/>
        <w:left w:val="none" w:sz="0" w:space="0" w:color="auto"/>
        <w:bottom w:val="none" w:sz="0" w:space="0" w:color="auto"/>
        <w:right w:val="none" w:sz="0" w:space="0" w:color="auto"/>
      </w:divBdr>
    </w:div>
    <w:div w:id="771435266">
      <w:bodyDiv w:val="1"/>
      <w:marLeft w:val="0"/>
      <w:marRight w:val="0"/>
      <w:marTop w:val="0"/>
      <w:marBottom w:val="0"/>
      <w:divBdr>
        <w:top w:val="none" w:sz="0" w:space="0" w:color="auto"/>
        <w:left w:val="none" w:sz="0" w:space="0" w:color="auto"/>
        <w:bottom w:val="none" w:sz="0" w:space="0" w:color="auto"/>
        <w:right w:val="none" w:sz="0" w:space="0" w:color="auto"/>
      </w:divBdr>
    </w:div>
    <w:div w:id="12642204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7633729">
          <w:marLeft w:val="0"/>
          <w:marRight w:val="0"/>
          <w:marTop w:val="0"/>
          <w:marBottom w:val="0"/>
          <w:divBdr>
            <w:top w:val="none" w:sz="0" w:space="0" w:color="auto"/>
            <w:left w:val="none" w:sz="0" w:space="0" w:color="auto"/>
            <w:bottom w:val="none" w:sz="0" w:space="0" w:color="auto"/>
            <w:right w:val="none" w:sz="0" w:space="0" w:color="auto"/>
          </w:divBdr>
        </w:div>
      </w:divsChild>
    </w:div>
    <w:div w:id="1333068732">
      <w:bodyDiv w:val="1"/>
      <w:marLeft w:val="0"/>
      <w:marRight w:val="0"/>
      <w:marTop w:val="0"/>
      <w:marBottom w:val="0"/>
      <w:divBdr>
        <w:top w:val="none" w:sz="0" w:space="0" w:color="auto"/>
        <w:left w:val="none" w:sz="0" w:space="0" w:color="auto"/>
        <w:bottom w:val="none" w:sz="0" w:space="0" w:color="auto"/>
        <w:right w:val="none" w:sz="0" w:space="0" w:color="auto"/>
      </w:divBdr>
      <w:divsChild>
        <w:div w:id="162668071">
          <w:marLeft w:val="0"/>
          <w:marRight w:val="0"/>
          <w:marTop w:val="0"/>
          <w:marBottom w:val="0"/>
          <w:divBdr>
            <w:top w:val="none" w:sz="0" w:space="0" w:color="auto"/>
            <w:left w:val="none" w:sz="0" w:space="0" w:color="auto"/>
            <w:bottom w:val="none" w:sz="0" w:space="0" w:color="auto"/>
            <w:right w:val="none" w:sz="0" w:space="0" w:color="auto"/>
          </w:divBdr>
        </w:div>
        <w:div w:id="1181358887">
          <w:marLeft w:val="0"/>
          <w:marRight w:val="0"/>
          <w:marTop w:val="0"/>
          <w:marBottom w:val="0"/>
          <w:divBdr>
            <w:top w:val="none" w:sz="0" w:space="0" w:color="auto"/>
            <w:left w:val="none" w:sz="0" w:space="0" w:color="auto"/>
            <w:bottom w:val="none" w:sz="0" w:space="0" w:color="auto"/>
            <w:right w:val="none" w:sz="0" w:space="0" w:color="auto"/>
          </w:divBdr>
        </w:div>
        <w:div w:id="1215851493">
          <w:marLeft w:val="0"/>
          <w:marRight w:val="0"/>
          <w:marTop w:val="0"/>
          <w:marBottom w:val="0"/>
          <w:divBdr>
            <w:top w:val="none" w:sz="0" w:space="0" w:color="auto"/>
            <w:left w:val="none" w:sz="0" w:space="0" w:color="auto"/>
            <w:bottom w:val="none" w:sz="0" w:space="0" w:color="auto"/>
            <w:right w:val="none" w:sz="0" w:space="0" w:color="auto"/>
          </w:divBdr>
        </w:div>
        <w:div w:id="1574119422">
          <w:marLeft w:val="0"/>
          <w:marRight w:val="0"/>
          <w:marTop w:val="0"/>
          <w:marBottom w:val="0"/>
          <w:divBdr>
            <w:top w:val="none" w:sz="0" w:space="0" w:color="auto"/>
            <w:left w:val="none" w:sz="0" w:space="0" w:color="auto"/>
            <w:bottom w:val="none" w:sz="0" w:space="0" w:color="auto"/>
            <w:right w:val="none" w:sz="0" w:space="0" w:color="auto"/>
          </w:divBdr>
        </w:div>
        <w:div w:id="1207445853">
          <w:marLeft w:val="0"/>
          <w:marRight w:val="0"/>
          <w:marTop w:val="0"/>
          <w:marBottom w:val="0"/>
          <w:divBdr>
            <w:top w:val="none" w:sz="0" w:space="0" w:color="auto"/>
            <w:left w:val="none" w:sz="0" w:space="0" w:color="auto"/>
            <w:bottom w:val="none" w:sz="0" w:space="0" w:color="auto"/>
            <w:right w:val="none" w:sz="0" w:space="0" w:color="auto"/>
          </w:divBdr>
        </w:div>
        <w:div w:id="1802918442">
          <w:marLeft w:val="0"/>
          <w:marRight w:val="0"/>
          <w:marTop w:val="0"/>
          <w:marBottom w:val="0"/>
          <w:divBdr>
            <w:top w:val="none" w:sz="0" w:space="0" w:color="auto"/>
            <w:left w:val="none" w:sz="0" w:space="0" w:color="auto"/>
            <w:bottom w:val="none" w:sz="0" w:space="0" w:color="auto"/>
            <w:right w:val="none" w:sz="0" w:space="0" w:color="auto"/>
          </w:divBdr>
        </w:div>
        <w:div w:id="817695099">
          <w:marLeft w:val="0"/>
          <w:marRight w:val="0"/>
          <w:marTop w:val="0"/>
          <w:marBottom w:val="0"/>
          <w:divBdr>
            <w:top w:val="none" w:sz="0" w:space="0" w:color="auto"/>
            <w:left w:val="none" w:sz="0" w:space="0" w:color="auto"/>
            <w:bottom w:val="none" w:sz="0" w:space="0" w:color="auto"/>
            <w:right w:val="none" w:sz="0" w:space="0" w:color="auto"/>
          </w:divBdr>
        </w:div>
      </w:divsChild>
    </w:div>
    <w:div w:id="1366249335">
      <w:bodyDiv w:val="1"/>
      <w:marLeft w:val="0"/>
      <w:marRight w:val="0"/>
      <w:marTop w:val="0"/>
      <w:marBottom w:val="0"/>
      <w:divBdr>
        <w:top w:val="none" w:sz="0" w:space="0" w:color="auto"/>
        <w:left w:val="none" w:sz="0" w:space="0" w:color="auto"/>
        <w:bottom w:val="none" w:sz="0" w:space="0" w:color="auto"/>
        <w:right w:val="none" w:sz="0" w:space="0" w:color="auto"/>
      </w:divBdr>
    </w:div>
    <w:div w:id="1386758739">
      <w:bodyDiv w:val="1"/>
      <w:marLeft w:val="0"/>
      <w:marRight w:val="0"/>
      <w:marTop w:val="0"/>
      <w:marBottom w:val="0"/>
      <w:divBdr>
        <w:top w:val="none" w:sz="0" w:space="0" w:color="auto"/>
        <w:left w:val="none" w:sz="0" w:space="0" w:color="auto"/>
        <w:bottom w:val="none" w:sz="0" w:space="0" w:color="auto"/>
        <w:right w:val="none" w:sz="0" w:space="0" w:color="auto"/>
      </w:divBdr>
    </w:div>
    <w:div w:id="1575117927">
      <w:bodyDiv w:val="1"/>
      <w:marLeft w:val="0"/>
      <w:marRight w:val="0"/>
      <w:marTop w:val="0"/>
      <w:marBottom w:val="0"/>
      <w:divBdr>
        <w:top w:val="none" w:sz="0" w:space="0" w:color="auto"/>
        <w:left w:val="none" w:sz="0" w:space="0" w:color="auto"/>
        <w:bottom w:val="none" w:sz="0" w:space="0" w:color="auto"/>
        <w:right w:val="none" w:sz="0" w:space="0" w:color="auto"/>
      </w:divBdr>
      <w:divsChild>
        <w:div w:id="722949822">
          <w:marLeft w:val="0"/>
          <w:marRight w:val="0"/>
          <w:marTop w:val="0"/>
          <w:marBottom w:val="0"/>
          <w:divBdr>
            <w:top w:val="none" w:sz="0" w:space="0" w:color="auto"/>
            <w:left w:val="none" w:sz="0" w:space="0" w:color="auto"/>
            <w:bottom w:val="none" w:sz="0" w:space="0" w:color="auto"/>
            <w:right w:val="none" w:sz="0" w:space="0" w:color="auto"/>
          </w:divBdr>
        </w:div>
        <w:div w:id="1063479819">
          <w:marLeft w:val="0"/>
          <w:marRight w:val="0"/>
          <w:marTop w:val="0"/>
          <w:marBottom w:val="0"/>
          <w:divBdr>
            <w:top w:val="none" w:sz="0" w:space="0" w:color="auto"/>
            <w:left w:val="none" w:sz="0" w:space="0" w:color="auto"/>
            <w:bottom w:val="none" w:sz="0" w:space="0" w:color="auto"/>
            <w:right w:val="none" w:sz="0" w:space="0" w:color="auto"/>
          </w:divBdr>
          <w:divsChild>
            <w:div w:id="1318919120">
              <w:marLeft w:val="0"/>
              <w:marRight w:val="0"/>
              <w:marTop w:val="0"/>
              <w:marBottom w:val="0"/>
              <w:divBdr>
                <w:top w:val="none" w:sz="0" w:space="0" w:color="auto"/>
                <w:left w:val="none" w:sz="0" w:space="0" w:color="auto"/>
                <w:bottom w:val="none" w:sz="0" w:space="0" w:color="auto"/>
                <w:right w:val="none" w:sz="0" w:space="0" w:color="auto"/>
              </w:divBdr>
            </w:div>
            <w:div w:id="2099708664">
              <w:marLeft w:val="0"/>
              <w:marRight w:val="0"/>
              <w:marTop w:val="0"/>
              <w:marBottom w:val="0"/>
              <w:divBdr>
                <w:top w:val="none" w:sz="0" w:space="0" w:color="auto"/>
                <w:left w:val="none" w:sz="0" w:space="0" w:color="auto"/>
                <w:bottom w:val="none" w:sz="0" w:space="0" w:color="auto"/>
                <w:right w:val="none" w:sz="0" w:space="0" w:color="auto"/>
              </w:divBdr>
            </w:div>
            <w:div w:id="20861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9609">
      <w:bodyDiv w:val="1"/>
      <w:marLeft w:val="0"/>
      <w:marRight w:val="0"/>
      <w:marTop w:val="0"/>
      <w:marBottom w:val="0"/>
      <w:divBdr>
        <w:top w:val="none" w:sz="0" w:space="0" w:color="auto"/>
        <w:left w:val="none" w:sz="0" w:space="0" w:color="auto"/>
        <w:bottom w:val="none" w:sz="0" w:space="0" w:color="auto"/>
        <w:right w:val="none" w:sz="0" w:space="0" w:color="auto"/>
      </w:divBdr>
    </w:div>
    <w:div w:id="1839270222">
      <w:bodyDiv w:val="1"/>
      <w:marLeft w:val="0"/>
      <w:marRight w:val="0"/>
      <w:marTop w:val="0"/>
      <w:marBottom w:val="0"/>
      <w:divBdr>
        <w:top w:val="none" w:sz="0" w:space="0" w:color="auto"/>
        <w:left w:val="none" w:sz="0" w:space="0" w:color="auto"/>
        <w:bottom w:val="none" w:sz="0" w:space="0" w:color="auto"/>
        <w:right w:val="none" w:sz="0" w:space="0" w:color="auto"/>
      </w:divBdr>
    </w:div>
    <w:div w:id="21386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dr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072FC-15DC-4724-AC2A-8F937395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8966</Words>
  <Characters>5112</Characters>
  <Application>Microsoft Office Word</Application>
  <DocSecurity>0</DocSecurity>
  <Lines>42</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2021-12-01T10:49:00Z</dcterms:created>
  <dcterms:modified xsi:type="dcterms:W3CDTF">2021-12-01T10:49:00Z</dcterms:modified>
</cp:coreProperties>
</file>