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55A7CED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8 706 64 845,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04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AC648A">
        <w:trPr>
          <w:cantSplit/>
        </w:trPr>
        <w:tc>
          <w:tcPr>
            <w:tcW w:w="4678" w:type="dxa"/>
            <w:vMerge w:val="restart"/>
            <w:hideMark/>
          </w:tcPr>
          <w:p w14:paraId="39A84623" w14:textId="29D90361" w:rsidR="00AF6F4B" w:rsidRDefault="00AC648A" w:rsidP="00076838">
            <w:pPr>
              <w:jc w:val="left"/>
            </w:pPr>
            <w:r>
              <w:t>Lietuvos Respublikos teisingumo ministerijai</w:t>
            </w:r>
          </w:p>
          <w:p w14:paraId="2B8007E7" w14:textId="5553CB52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5BC7FCDA" w:rsidR="00EA534D" w:rsidRDefault="00EA534D" w:rsidP="00076838">
            <w:pPr>
              <w:jc w:val="left"/>
            </w:pPr>
            <w:r>
              <w:t>20</w:t>
            </w:r>
            <w:r w:rsidR="00301ECD">
              <w:t>21</w:t>
            </w:r>
            <w:r>
              <w:t>-</w:t>
            </w:r>
            <w:r w:rsidR="00AC648A">
              <w:t>1</w:t>
            </w:r>
            <w:r w:rsidR="000C3DFA">
              <w:t>1</w:t>
            </w:r>
            <w:r w:rsidR="00AF6F4B">
              <w:t>-</w:t>
            </w:r>
          </w:p>
        </w:tc>
        <w:tc>
          <w:tcPr>
            <w:tcW w:w="2727" w:type="dxa"/>
            <w:hideMark/>
          </w:tcPr>
          <w:p w14:paraId="69AC91C9" w14:textId="68BC378B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635301">
              <w:t>(4.6-82Mr)</w:t>
            </w:r>
            <w:r w:rsidR="005B1C25">
              <w:t>-</w:t>
            </w:r>
            <w:r w:rsidR="00635301">
              <w:t>3-</w:t>
            </w:r>
          </w:p>
        </w:tc>
      </w:tr>
      <w:tr w:rsidR="00EA534D" w14:paraId="3A7D40B9" w14:textId="77777777" w:rsidTr="00AC648A">
        <w:trPr>
          <w:cantSplit/>
        </w:trPr>
        <w:tc>
          <w:tcPr>
            <w:tcW w:w="4678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1314C308" w:rsidR="00EA534D" w:rsidRDefault="00EA534D" w:rsidP="00076838">
            <w:pPr>
              <w:jc w:val="left"/>
            </w:pPr>
            <w:r>
              <w:t xml:space="preserve">Į </w:t>
            </w:r>
            <w:r w:rsidR="004F5E83">
              <w:t>2021-</w:t>
            </w:r>
            <w:r w:rsidR="00187193">
              <w:rPr>
                <w:lang w:val="en-US"/>
              </w:rPr>
              <w:t>1</w:t>
            </w:r>
            <w:r w:rsidR="004F5E83">
              <w:t>0-</w:t>
            </w:r>
            <w:r w:rsidR="000C3DFA">
              <w:t>28</w:t>
            </w:r>
          </w:p>
        </w:tc>
        <w:tc>
          <w:tcPr>
            <w:tcW w:w="2727" w:type="dxa"/>
            <w:hideMark/>
          </w:tcPr>
          <w:p w14:paraId="34479DCB" w14:textId="51C49CD9" w:rsidR="00EA534D" w:rsidRDefault="00EA534D" w:rsidP="00076838">
            <w:r>
              <w:t xml:space="preserve">Nr. </w:t>
            </w:r>
            <w:r w:rsidR="000C3DFA" w:rsidRPr="000C3DFA">
              <w:t>(1.27Mr) 2T-1197</w:t>
            </w:r>
          </w:p>
        </w:tc>
      </w:tr>
      <w:tr w:rsidR="00EA534D" w:rsidRPr="00F474E3" w14:paraId="3721842E" w14:textId="77777777" w:rsidTr="00AC648A">
        <w:trPr>
          <w:cantSplit/>
        </w:trPr>
        <w:tc>
          <w:tcPr>
            <w:tcW w:w="4678" w:type="dxa"/>
          </w:tcPr>
          <w:p w14:paraId="7228DA16" w14:textId="77777777" w:rsidR="00EA534D" w:rsidRPr="00F474E3" w:rsidRDefault="00EA534D" w:rsidP="00076838">
            <w:pPr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14:paraId="244378E0" w14:textId="77777777" w:rsidR="00EA534D" w:rsidRPr="00F474E3" w:rsidRDefault="00EA534D" w:rsidP="00076838">
            <w:pPr>
              <w:ind w:firstLine="720"/>
              <w:jc w:val="left"/>
              <w:rPr>
                <w:sz w:val="20"/>
              </w:rPr>
            </w:pPr>
          </w:p>
        </w:tc>
        <w:tc>
          <w:tcPr>
            <w:tcW w:w="1526" w:type="dxa"/>
          </w:tcPr>
          <w:p w14:paraId="4B80FF05" w14:textId="77777777" w:rsidR="00EA534D" w:rsidRPr="00F474E3" w:rsidRDefault="00EA534D" w:rsidP="00076838">
            <w:pPr>
              <w:jc w:val="left"/>
              <w:rPr>
                <w:sz w:val="20"/>
              </w:rPr>
            </w:pPr>
          </w:p>
        </w:tc>
        <w:tc>
          <w:tcPr>
            <w:tcW w:w="2727" w:type="dxa"/>
          </w:tcPr>
          <w:p w14:paraId="2EC42DE5" w14:textId="77777777" w:rsidR="00EA534D" w:rsidRPr="00F474E3" w:rsidRDefault="00EA534D" w:rsidP="00076838">
            <w:pPr>
              <w:rPr>
                <w:sz w:val="20"/>
              </w:rPr>
            </w:pPr>
          </w:p>
        </w:tc>
      </w:tr>
      <w:tr w:rsidR="00EA534D" w:rsidRPr="00F474E3" w14:paraId="5A959639" w14:textId="77777777" w:rsidTr="00AC648A">
        <w:trPr>
          <w:cantSplit/>
        </w:trPr>
        <w:tc>
          <w:tcPr>
            <w:tcW w:w="4678" w:type="dxa"/>
          </w:tcPr>
          <w:p w14:paraId="1BD8B852" w14:textId="77777777" w:rsidR="00EA534D" w:rsidRPr="00F474E3" w:rsidRDefault="00EA534D" w:rsidP="00076838">
            <w:pPr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14:paraId="6423F2EF" w14:textId="77777777" w:rsidR="00EA534D" w:rsidRPr="00F474E3" w:rsidRDefault="00EA534D" w:rsidP="00076838">
            <w:pPr>
              <w:ind w:firstLine="720"/>
              <w:jc w:val="left"/>
              <w:rPr>
                <w:sz w:val="20"/>
              </w:rPr>
            </w:pPr>
          </w:p>
        </w:tc>
        <w:tc>
          <w:tcPr>
            <w:tcW w:w="1526" w:type="dxa"/>
          </w:tcPr>
          <w:p w14:paraId="522BB029" w14:textId="77777777" w:rsidR="00EA534D" w:rsidRPr="00F474E3" w:rsidRDefault="00EA534D" w:rsidP="00076838">
            <w:pPr>
              <w:jc w:val="left"/>
              <w:rPr>
                <w:sz w:val="20"/>
              </w:rPr>
            </w:pPr>
          </w:p>
        </w:tc>
        <w:tc>
          <w:tcPr>
            <w:tcW w:w="2727" w:type="dxa"/>
          </w:tcPr>
          <w:p w14:paraId="7111FFF7" w14:textId="77777777" w:rsidR="00EA534D" w:rsidRPr="00F474E3" w:rsidRDefault="00EA534D" w:rsidP="00076838">
            <w:pPr>
              <w:rPr>
                <w:sz w:val="20"/>
              </w:rPr>
            </w:pPr>
          </w:p>
        </w:tc>
      </w:tr>
      <w:tr w:rsidR="00EA534D" w:rsidRPr="00AC648A" w14:paraId="34DCBC22" w14:textId="77777777" w:rsidTr="00AC648A">
        <w:trPr>
          <w:cantSplit/>
        </w:trPr>
        <w:tc>
          <w:tcPr>
            <w:tcW w:w="4678" w:type="dxa"/>
          </w:tcPr>
          <w:p w14:paraId="37B0ED56" w14:textId="77777777" w:rsidR="00EA534D" w:rsidRPr="00AC648A" w:rsidRDefault="00EA534D" w:rsidP="00076838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14:paraId="198DD3E9" w14:textId="77777777" w:rsidR="00EA534D" w:rsidRPr="00AC648A" w:rsidRDefault="00EA534D" w:rsidP="00076838">
            <w:pPr>
              <w:ind w:firstLine="720"/>
              <w:jc w:val="left"/>
              <w:rPr>
                <w:sz w:val="20"/>
              </w:rPr>
            </w:pPr>
          </w:p>
        </w:tc>
        <w:tc>
          <w:tcPr>
            <w:tcW w:w="1526" w:type="dxa"/>
          </w:tcPr>
          <w:p w14:paraId="7107590C" w14:textId="77777777" w:rsidR="00EA534D" w:rsidRPr="00AC648A" w:rsidRDefault="00EA534D" w:rsidP="00076838">
            <w:pPr>
              <w:jc w:val="left"/>
              <w:rPr>
                <w:sz w:val="20"/>
              </w:rPr>
            </w:pPr>
          </w:p>
        </w:tc>
        <w:tc>
          <w:tcPr>
            <w:tcW w:w="2727" w:type="dxa"/>
          </w:tcPr>
          <w:p w14:paraId="41F02588" w14:textId="77777777" w:rsidR="00EA534D" w:rsidRPr="00AC648A" w:rsidRDefault="00EA534D" w:rsidP="00076838">
            <w:pPr>
              <w:rPr>
                <w:sz w:val="20"/>
              </w:rPr>
            </w:pPr>
          </w:p>
        </w:tc>
      </w:tr>
      <w:tr w:rsidR="00AC648A" w:rsidRPr="000C3DFA" w14:paraId="5292FE29" w14:textId="77777777" w:rsidTr="00AC648A">
        <w:trPr>
          <w:cantSplit/>
        </w:trPr>
        <w:tc>
          <w:tcPr>
            <w:tcW w:w="9640" w:type="dxa"/>
            <w:gridSpan w:val="4"/>
            <w:hideMark/>
          </w:tcPr>
          <w:p w14:paraId="132A2325" w14:textId="127804F4" w:rsidR="00AC648A" w:rsidRPr="000C3DFA" w:rsidRDefault="000C3DFA" w:rsidP="00AC648A">
            <w:pPr>
              <w:rPr>
                <w:b/>
                <w:szCs w:val="24"/>
              </w:rPr>
            </w:pPr>
            <w:r w:rsidRPr="000C3DFA">
              <w:rPr>
                <w:b/>
              </w:rPr>
              <w:t xml:space="preserve">DĖL PINIGŲ PLOVIMO IR TERORISTŲ FINANSAVIMO PREVENCIJOS ĮSTATYMO IR </w:t>
            </w:r>
            <w:r w:rsidRPr="000C3DFA">
              <w:rPr>
                <w:rFonts w:ascii="Times New Roman Bold" w:hAnsi="Times New Roman Bold"/>
                <w:b/>
                <w:spacing w:val="-4"/>
              </w:rPr>
              <w:t>VALSTYBĖS INFORMACINIŲ IŠTEKLIŲ VALDYMO ĮSTATYMO NUOSTATŲ KEITIMO</w:t>
            </w:r>
          </w:p>
        </w:tc>
      </w:tr>
    </w:tbl>
    <w:p w14:paraId="6C2D3BD1" w14:textId="77777777" w:rsidR="00EA534D" w:rsidRPr="00AF6F4B" w:rsidRDefault="00EA534D" w:rsidP="00EA534D">
      <w:pPr>
        <w:rPr>
          <w:szCs w:val="24"/>
        </w:rPr>
      </w:pPr>
    </w:p>
    <w:p w14:paraId="1E5CA15C" w14:textId="77777777" w:rsidR="00EA534D" w:rsidRPr="00AF6F4B" w:rsidRDefault="00EA534D" w:rsidP="00EA534D">
      <w:pPr>
        <w:rPr>
          <w:szCs w:val="24"/>
        </w:rPr>
      </w:pPr>
    </w:p>
    <w:p w14:paraId="042F21A8" w14:textId="77777777" w:rsidR="00733E7C" w:rsidRDefault="003668F3" w:rsidP="004D7DE4">
      <w:pPr>
        <w:spacing w:line="360" w:lineRule="auto"/>
        <w:ind w:firstLine="720"/>
      </w:pPr>
      <w:r w:rsidRPr="004D7DE4">
        <w:rPr>
          <w:rStyle w:val="normaltextrun"/>
          <w:color w:val="000000"/>
          <w:szCs w:val="24"/>
          <w:shd w:val="clear" w:color="auto" w:fill="FFFFFF"/>
        </w:rPr>
        <w:t>Lietuvos Respublikos ekonomikos ir inovacijų ministerija</w:t>
      </w:r>
      <w:r w:rsidR="000C3DFA">
        <w:rPr>
          <w:rStyle w:val="normaltextrun"/>
          <w:color w:val="000000"/>
          <w:szCs w:val="24"/>
          <w:shd w:val="clear" w:color="auto" w:fill="FFFFFF"/>
        </w:rPr>
        <w:t xml:space="preserve"> pagal kompetenciją</w:t>
      </w:r>
      <w:r w:rsidRPr="004D7DE4">
        <w:rPr>
          <w:rStyle w:val="normaltextrun"/>
          <w:color w:val="000000"/>
          <w:szCs w:val="24"/>
          <w:shd w:val="clear" w:color="auto" w:fill="FFFFFF"/>
        </w:rPr>
        <w:t xml:space="preserve"> išnagrinėj</w:t>
      </w:r>
      <w:r w:rsidR="000C3DFA">
        <w:rPr>
          <w:rStyle w:val="normaltextrun"/>
          <w:color w:val="000000"/>
          <w:szCs w:val="24"/>
          <w:shd w:val="clear" w:color="auto" w:fill="FFFFFF"/>
        </w:rPr>
        <w:t>o</w:t>
      </w:r>
      <w:r w:rsidRPr="004D7DE4">
        <w:rPr>
          <w:rStyle w:val="normaltextrun"/>
          <w:color w:val="000000"/>
          <w:szCs w:val="24"/>
          <w:shd w:val="clear" w:color="auto" w:fill="FFFFFF"/>
        </w:rPr>
        <w:t xml:space="preserve"> </w:t>
      </w:r>
      <w:r w:rsidR="00AC648A" w:rsidRPr="004D7DE4">
        <w:rPr>
          <w:rStyle w:val="normaltextrun"/>
          <w:color w:val="000000"/>
          <w:shd w:val="clear" w:color="auto" w:fill="FFFFFF"/>
        </w:rPr>
        <w:t>pateikt</w:t>
      </w:r>
      <w:r w:rsidR="000C3DFA">
        <w:rPr>
          <w:rStyle w:val="normaltextrun"/>
          <w:color w:val="000000"/>
          <w:shd w:val="clear" w:color="auto" w:fill="FFFFFF"/>
        </w:rPr>
        <w:t>us</w:t>
      </w:r>
      <w:r w:rsidR="00AC648A" w:rsidRPr="004D7DE4">
        <w:rPr>
          <w:rStyle w:val="normaltextrun"/>
          <w:color w:val="000000"/>
          <w:shd w:val="clear" w:color="auto" w:fill="FFFFFF"/>
        </w:rPr>
        <w:t xml:space="preserve"> derinti </w:t>
      </w:r>
      <w:r w:rsidR="000C3DFA">
        <w:rPr>
          <w:rFonts w:ascii="Times" w:hAnsi="Times" w:cs="Times"/>
        </w:rPr>
        <w:t>Lietuvos Respublikos pinigų plovimo ir teroristų finansavimo prevencijos įstatymo Nr. VIII-275 12 ir 25</w:t>
      </w:r>
      <w:r w:rsidR="000C3DFA">
        <w:rPr>
          <w:rFonts w:ascii="Times" w:hAnsi="Times" w:cs="Times"/>
          <w:vertAlign w:val="superscript"/>
        </w:rPr>
        <w:t>2</w:t>
      </w:r>
      <w:r w:rsidR="000C3DFA">
        <w:rPr>
          <w:rFonts w:ascii="Times" w:hAnsi="Times" w:cs="Times"/>
        </w:rPr>
        <w:t xml:space="preserve"> straipsnių pakeitimo įstatymo projektą </w:t>
      </w:r>
      <w:r w:rsidR="000C3DFA" w:rsidRPr="004D7DE4">
        <w:t xml:space="preserve">(toliau – </w:t>
      </w:r>
      <w:r w:rsidR="000C3DFA">
        <w:t>PPTFPĮ p</w:t>
      </w:r>
      <w:r w:rsidR="000C3DFA" w:rsidRPr="004D7DE4">
        <w:t>rojektas)</w:t>
      </w:r>
      <w:r w:rsidR="000C3DFA">
        <w:t xml:space="preserve"> </w:t>
      </w:r>
      <w:r w:rsidR="000C3DFA">
        <w:rPr>
          <w:rFonts w:ascii="Times" w:hAnsi="Times" w:cs="Times"/>
        </w:rPr>
        <w:t xml:space="preserve">ir Lietuvos Respublikos valstybės informacinių išteklių valdymo įstatymo Nr. XI-1807 38 straipsnio pakeitimo įstatymo projektą </w:t>
      </w:r>
      <w:r w:rsidR="000C3DFA" w:rsidRPr="004D7DE4">
        <w:t xml:space="preserve">(toliau – </w:t>
      </w:r>
      <w:r w:rsidR="000C3DFA">
        <w:t>VIIVĮ p</w:t>
      </w:r>
      <w:r w:rsidR="000C3DFA" w:rsidRPr="004D7DE4">
        <w:t>rojektas)</w:t>
      </w:r>
      <w:r w:rsidR="000C3DFA">
        <w:t xml:space="preserve">. </w:t>
      </w:r>
    </w:p>
    <w:p w14:paraId="7D0B1747" w14:textId="48F1ED73" w:rsidR="00635301" w:rsidRPr="004D7DE4" w:rsidRDefault="000C3DFA" w:rsidP="004D7DE4">
      <w:pPr>
        <w:spacing w:line="360" w:lineRule="auto"/>
        <w:ind w:firstLine="720"/>
        <w:rPr>
          <w:rStyle w:val="normaltextrun"/>
          <w:color w:val="000000"/>
          <w:szCs w:val="24"/>
          <w:shd w:val="clear" w:color="auto" w:fill="FFFFFF"/>
        </w:rPr>
      </w:pPr>
      <w:r>
        <w:t>Pranešame</w:t>
      </w:r>
      <w:r w:rsidR="003668F3" w:rsidRPr="004D7DE4">
        <w:rPr>
          <w:rStyle w:val="normaltextrun"/>
          <w:color w:val="000000"/>
          <w:szCs w:val="24"/>
          <w:shd w:val="clear" w:color="auto" w:fill="FFFFFF"/>
        </w:rPr>
        <w:t xml:space="preserve">, </w:t>
      </w:r>
      <w:r w:rsidR="00187193" w:rsidRPr="004D7DE4">
        <w:rPr>
          <w:rStyle w:val="normaltextrun"/>
          <w:color w:val="000000"/>
          <w:shd w:val="clear" w:color="auto" w:fill="FFFFFF"/>
        </w:rPr>
        <w:t xml:space="preserve">kad </w:t>
      </w:r>
      <w:r>
        <w:rPr>
          <w:rStyle w:val="normaltextrun"/>
          <w:color w:val="000000"/>
          <w:shd w:val="clear" w:color="auto" w:fill="FFFFFF"/>
        </w:rPr>
        <w:t>VIIVĮ p</w:t>
      </w:r>
      <w:r w:rsidR="00187193" w:rsidRPr="004D7DE4">
        <w:rPr>
          <w:rStyle w:val="normaltextrun"/>
          <w:color w:val="000000"/>
          <w:shd w:val="clear" w:color="auto" w:fill="FFFFFF"/>
        </w:rPr>
        <w:t xml:space="preserve">rojektui </w:t>
      </w:r>
      <w:r>
        <w:rPr>
          <w:rStyle w:val="normaltextrun"/>
          <w:color w:val="000000"/>
          <w:shd w:val="clear" w:color="auto" w:fill="FFFFFF"/>
        </w:rPr>
        <w:t xml:space="preserve">pastabų neturime, tačiau teikiame pastabas dėl </w:t>
      </w:r>
      <w:r>
        <w:t>PPTFPĮ p</w:t>
      </w:r>
      <w:r w:rsidRPr="004D7DE4">
        <w:t>rojekt</w:t>
      </w:r>
      <w:r>
        <w:t>o</w:t>
      </w:r>
      <w:r w:rsidR="00BC1B2F" w:rsidRPr="004D7DE4">
        <w:rPr>
          <w:rStyle w:val="normaltextrun"/>
          <w:color w:val="000000"/>
          <w:szCs w:val="24"/>
          <w:shd w:val="clear" w:color="auto" w:fill="FFFFFF"/>
        </w:rPr>
        <w:t>.</w:t>
      </w:r>
    </w:p>
    <w:p w14:paraId="37E4A6EE" w14:textId="7C08D386" w:rsidR="00E8652F" w:rsidRPr="00E8652F" w:rsidRDefault="00E8652F" w:rsidP="00733E7C">
      <w:pPr>
        <w:tabs>
          <w:tab w:val="left" w:pos="1134"/>
        </w:tabs>
        <w:spacing w:line="360" w:lineRule="auto"/>
        <w:ind w:firstLine="720"/>
      </w:pPr>
      <w:r>
        <w:t>PPTFPĮ</w:t>
      </w:r>
      <w:r w:rsidRPr="00733E7C">
        <w:rPr>
          <w:rStyle w:val="normaltextrun"/>
          <w:color w:val="000000"/>
          <w:szCs w:val="24"/>
          <w:shd w:val="clear" w:color="auto" w:fill="FFFFFF"/>
        </w:rPr>
        <w:t xml:space="preserve"> p</w:t>
      </w:r>
      <w:r w:rsidR="003532E5" w:rsidRPr="00733E7C">
        <w:rPr>
          <w:rStyle w:val="normaltextrun"/>
          <w:color w:val="000000"/>
          <w:szCs w:val="24"/>
          <w:shd w:val="clear" w:color="auto" w:fill="FFFFFF"/>
        </w:rPr>
        <w:t>rojekt</w:t>
      </w:r>
      <w:r w:rsidR="00733E7C">
        <w:rPr>
          <w:rStyle w:val="normaltextrun"/>
          <w:color w:val="000000"/>
          <w:szCs w:val="24"/>
          <w:shd w:val="clear" w:color="auto" w:fill="FFFFFF"/>
        </w:rPr>
        <w:t>o 2 straipsnio 2 dalyje</w:t>
      </w:r>
      <w:r w:rsidR="003532E5" w:rsidRPr="00733E7C">
        <w:rPr>
          <w:rStyle w:val="normaltextrun"/>
          <w:color w:val="000000"/>
          <w:szCs w:val="24"/>
          <w:shd w:val="clear" w:color="auto" w:fill="FFFFFF"/>
        </w:rPr>
        <w:t xml:space="preserve"> siūloma p</w:t>
      </w:r>
      <w:r w:rsidR="003532E5" w:rsidRPr="00733E7C">
        <w:rPr>
          <w:szCs w:val="24"/>
        </w:rPr>
        <w:t xml:space="preserve">akeisti </w:t>
      </w:r>
      <w:r w:rsidRPr="00E8652F">
        <w:t>Lietuvos Respublikos pinigų plovimo ir teroristų finansavimo prevencijos įstatymo 25</w:t>
      </w:r>
      <w:r w:rsidRPr="00733E7C">
        <w:rPr>
          <w:vertAlign w:val="superscript"/>
        </w:rPr>
        <w:t>2</w:t>
      </w:r>
      <w:r w:rsidRPr="00E8652F">
        <w:t xml:space="preserve"> straipsnio </w:t>
      </w:r>
      <w:r w:rsidRPr="00733E7C">
        <w:rPr>
          <w:lang w:val="en-US"/>
        </w:rPr>
        <w:t>4</w:t>
      </w:r>
      <w:r w:rsidRPr="00E8652F">
        <w:t xml:space="preserve"> dalį</w:t>
      </w:r>
      <w:r w:rsidR="003532E5" w:rsidRPr="00733E7C">
        <w:rPr>
          <w:szCs w:val="24"/>
        </w:rPr>
        <w:t xml:space="preserve">, įtvirtinant </w:t>
      </w:r>
      <w:r w:rsidRPr="00733E7C">
        <w:rPr>
          <w:szCs w:val="24"/>
        </w:rPr>
        <w:t>nuostatas, kad sąnaudos, kurias Juridinių asmenų dalyvių informacinės sistemos (</w:t>
      </w:r>
      <w:r w:rsidR="00F059FC">
        <w:rPr>
          <w:szCs w:val="24"/>
        </w:rPr>
        <w:t xml:space="preserve">toliau </w:t>
      </w:r>
      <w:r w:rsidR="00F059FC" w:rsidRPr="004D7DE4">
        <w:t>–</w:t>
      </w:r>
      <w:r w:rsidR="00F059FC">
        <w:rPr>
          <w:szCs w:val="24"/>
        </w:rPr>
        <w:t xml:space="preserve"> </w:t>
      </w:r>
      <w:r w:rsidRPr="00733E7C">
        <w:rPr>
          <w:szCs w:val="24"/>
        </w:rPr>
        <w:t xml:space="preserve">JADIS) tvarkytojas patyrė neatlygintinai teikdamas JADIS kaupiamą informaciją apie naudos gavėjus, tikrinamos, vertinamos ir finansuojamos iš šiam tvarkytojui skiriamų valstybės biudžeto lėšų, </w:t>
      </w:r>
      <w:proofErr w:type="spellStart"/>
      <w:r w:rsidRPr="00733E7C">
        <w:rPr>
          <w:i/>
          <w:szCs w:val="24"/>
        </w:rPr>
        <w:t>mutatis</w:t>
      </w:r>
      <w:proofErr w:type="spellEnd"/>
      <w:r w:rsidRPr="00733E7C">
        <w:rPr>
          <w:i/>
          <w:szCs w:val="24"/>
        </w:rPr>
        <w:t xml:space="preserve"> </w:t>
      </w:r>
      <w:proofErr w:type="spellStart"/>
      <w:r w:rsidRPr="00733E7C">
        <w:rPr>
          <w:i/>
          <w:szCs w:val="24"/>
        </w:rPr>
        <w:t>mutandis</w:t>
      </w:r>
      <w:proofErr w:type="spellEnd"/>
      <w:r w:rsidRPr="00733E7C">
        <w:rPr>
          <w:szCs w:val="24"/>
        </w:rPr>
        <w:t xml:space="preserve"> taikant Lietuvos Respublikos valstybės informacinių išteklių valdymo įstatymo 29 straipsnio 4 dalyje nustatytą tvarką.</w:t>
      </w:r>
      <w:r w:rsidR="00CE6C6D">
        <w:rPr>
          <w:szCs w:val="24"/>
        </w:rPr>
        <w:t xml:space="preserve"> </w:t>
      </w:r>
    </w:p>
    <w:p w14:paraId="234FF612" w14:textId="77777777" w:rsidR="00346928" w:rsidRDefault="003411FE" w:rsidP="00E8652F">
      <w:pPr>
        <w:pStyle w:val="ListParagraph"/>
        <w:tabs>
          <w:tab w:val="left" w:pos="1134"/>
        </w:tabs>
        <w:spacing w:line="360" w:lineRule="auto"/>
        <w:ind w:left="0" w:firstLine="709"/>
        <w:rPr>
          <w:szCs w:val="24"/>
        </w:rPr>
      </w:pPr>
      <w:r>
        <w:rPr>
          <w:szCs w:val="24"/>
        </w:rPr>
        <w:t xml:space="preserve">Atkreipiame dėmesį, kad </w:t>
      </w:r>
      <w:r w:rsidR="00C75339">
        <w:rPr>
          <w:szCs w:val="24"/>
        </w:rPr>
        <w:t>V</w:t>
      </w:r>
      <w:r w:rsidR="00733E7C" w:rsidRPr="00E8652F">
        <w:rPr>
          <w:szCs w:val="24"/>
        </w:rPr>
        <w:t>alstybės informacinių išteklių valdymo įstatymo 38</w:t>
      </w:r>
      <w:r w:rsidR="00C75339">
        <w:rPr>
          <w:szCs w:val="24"/>
        </w:rPr>
        <w:t> </w:t>
      </w:r>
      <w:r w:rsidR="00733E7C" w:rsidRPr="00E8652F">
        <w:rPr>
          <w:szCs w:val="24"/>
        </w:rPr>
        <w:t>straipsnio 4</w:t>
      </w:r>
      <w:r>
        <w:rPr>
          <w:szCs w:val="24"/>
        </w:rPr>
        <w:t> </w:t>
      </w:r>
      <w:r w:rsidR="00733E7C" w:rsidRPr="00E8652F">
        <w:rPr>
          <w:szCs w:val="24"/>
        </w:rPr>
        <w:t>dal</w:t>
      </w:r>
      <w:r w:rsidR="00C75339">
        <w:rPr>
          <w:szCs w:val="24"/>
        </w:rPr>
        <w:t>yje nustatyta</w:t>
      </w:r>
      <w:r w:rsidR="00733E7C">
        <w:rPr>
          <w:szCs w:val="24"/>
        </w:rPr>
        <w:t>,</w:t>
      </w:r>
      <w:r w:rsidR="00C75339">
        <w:rPr>
          <w:szCs w:val="24"/>
        </w:rPr>
        <w:t xml:space="preserve"> kad</w:t>
      </w:r>
      <w:r w:rsidR="00733E7C" w:rsidRPr="00E8652F">
        <w:rPr>
          <w:szCs w:val="24"/>
        </w:rPr>
        <w:t xml:space="preserve"> </w:t>
      </w:r>
      <w:proofErr w:type="spellStart"/>
      <w:r w:rsidR="00733E7C" w:rsidRPr="00E8652F">
        <w:rPr>
          <w:i/>
          <w:iCs/>
          <w:color w:val="000000"/>
        </w:rPr>
        <w:t>mutatis</w:t>
      </w:r>
      <w:proofErr w:type="spellEnd"/>
      <w:r w:rsidR="00733E7C" w:rsidRPr="00E8652F">
        <w:rPr>
          <w:i/>
          <w:iCs/>
          <w:color w:val="000000"/>
        </w:rPr>
        <w:t xml:space="preserve"> </w:t>
      </w:r>
      <w:proofErr w:type="spellStart"/>
      <w:r w:rsidR="00733E7C" w:rsidRPr="00E8652F">
        <w:rPr>
          <w:i/>
          <w:iCs/>
          <w:color w:val="000000"/>
        </w:rPr>
        <w:t>mutandis</w:t>
      </w:r>
      <w:proofErr w:type="spellEnd"/>
      <w:r w:rsidR="00CE6C6D">
        <w:rPr>
          <w:color w:val="000000"/>
        </w:rPr>
        <w:t xml:space="preserve"> </w:t>
      </w:r>
      <w:r w:rsidR="00733E7C" w:rsidRPr="00E8652F">
        <w:rPr>
          <w:color w:val="000000"/>
        </w:rPr>
        <w:t>taikant šio įstatymo 29 straipsnio 4 dalyje nustatytą tvarką</w:t>
      </w:r>
      <w:r w:rsidR="00733E7C" w:rsidRPr="00E8652F">
        <w:rPr>
          <w:szCs w:val="24"/>
        </w:rPr>
        <w:t xml:space="preserve"> </w:t>
      </w:r>
      <w:r w:rsidR="00CE6C6D" w:rsidRPr="00E8652F">
        <w:rPr>
          <w:color w:val="000000"/>
        </w:rPr>
        <w:t>teikiamos, tikrinamos ir vertinamos</w:t>
      </w:r>
      <w:r w:rsidR="00CE6C6D">
        <w:rPr>
          <w:color w:val="000000"/>
        </w:rPr>
        <w:t xml:space="preserve"> tik tos</w:t>
      </w:r>
      <w:r w:rsidR="00CE6C6D" w:rsidRPr="00E8652F">
        <w:rPr>
          <w:szCs w:val="24"/>
        </w:rPr>
        <w:t xml:space="preserve"> </w:t>
      </w:r>
      <w:r w:rsidR="00733E7C" w:rsidRPr="00E8652F">
        <w:rPr>
          <w:szCs w:val="24"/>
        </w:rPr>
        <w:t>s</w:t>
      </w:r>
      <w:r w:rsidR="00733E7C" w:rsidRPr="00E8652F">
        <w:rPr>
          <w:color w:val="000000"/>
        </w:rPr>
        <w:t xml:space="preserve">ąnaudos, kurias informaciją teikianti institucija patyrė dėl </w:t>
      </w:r>
      <w:r w:rsidR="00CE6C6D" w:rsidRPr="00E8652F">
        <w:rPr>
          <w:color w:val="000000"/>
        </w:rPr>
        <w:t>neatlygintin</w:t>
      </w:r>
      <w:r w:rsidR="00CE6C6D">
        <w:rPr>
          <w:color w:val="000000"/>
        </w:rPr>
        <w:t>o</w:t>
      </w:r>
      <w:r w:rsidR="00CE6C6D" w:rsidRPr="00E8652F">
        <w:rPr>
          <w:color w:val="000000"/>
        </w:rPr>
        <w:t xml:space="preserve"> teikim</w:t>
      </w:r>
      <w:r w:rsidR="00CE6C6D">
        <w:rPr>
          <w:color w:val="000000"/>
        </w:rPr>
        <w:t>o</w:t>
      </w:r>
      <w:r w:rsidR="00CE6C6D" w:rsidRPr="00E8652F">
        <w:rPr>
          <w:color w:val="000000"/>
        </w:rPr>
        <w:t xml:space="preserve"> </w:t>
      </w:r>
      <w:r w:rsidR="00733E7C" w:rsidRPr="00E8652F">
        <w:rPr>
          <w:color w:val="000000"/>
        </w:rPr>
        <w:t xml:space="preserve">informacijos, </w:t>
      </w:r>
      <w:r w:rsidR="00C75339">
        <w:rPr>
          <w:color w:val="000000"/>
        </w:rPr>
        <w:t>už kuri</w:t>
      </w:r>
      <w:r w:rsidR="00C75339">
        <w:rPr>
          <w:color w:val="000000"/>
        </w:rPr>
        <w:t>ą</w:t>
      </w:r>
      <w:r w:rsidR="00C75339">
        <w:rPr>
          <w:color w:val="000000"/>
        </w:rPr>
        <w:t xml:space="preserve"> iš kitų subjektų imamas atlyginimas</w:t>
      </w:r>
      <w:r w:rsidR="00733E7C" w:rsidRPr="00E8652F">
        <w:rPr>
          <w:color w:val="000000"/>
        </w:rPr>
        <w:t>.</w:t>
      </w:r>
      <w:r w:rsidR="00C75339">
        <w:rPr>
          <w:color w:val="000000"/>
        </w:rPr>
        <w:t xml:space="preserve"> </w:t>
      </w:r>
      <w:r w:rsidR="00C75339">
        <w:rPr>
          <w:color w:val="000000"/>
        </w:rPr>
        <w:t xml:space="preserve">Kadangi </w:t>
      </w:r>
      <w:r w:rsidR="00C75339">
        <w:t>PPTFPĮ</w:t>
      </w:r>
      <w:r w:rsidR="00C75339" w:rsidRPr="004D7DE4">
        <w:rPr>
          <w:rStyle w:val="normaltextrun"/>
          <w:color w:val="000000"/>
          <w:szCs w:val="24"/>
          <w:shd w:val="clear" w:color="auto" w:fill="FFFFFF"/>
        </w:rPr>
        <w:t xml:space="preserve"> </w:t>
      </w:r>
      <w:r w:rsidR="00C75339">
        <w:rPr>
          <w:rStyle w:val="normaltextrun"/>
          <w:color w:val="000000"/>
          <w:szCs w:val="24"/>
          <w:shd w:val="clear" w:color="auto" w:fill="FFFFFF"/>
        </w:rPr>
        <w:t>p</w:t>
      </w:r>
      <w:r w:rsidR="00C75339" w:rsidRPr="004D7DE4">
        <w:rPr>
          <w:rStyle w:val="normaltextrun"/>
          <w:color w:val="000000"/>
          <w:szCs w:val="24"/>
          <w:shd w:val="clear" w:color="auto" w:fill="FFFFFF"/>
        </w:rPr>
        <w:t>rojekt</w:t>
      </w:r>
      <w:r w:rsidR="00C75339">
        <w:rPr>
          <w:rStyle w:val="normaltextrun"/>
          <w:color w:val="000000"/>
          <w:szCs w:val="24"/>
          <w:shd w:val="clear" w:color="auto" w:fill="FFFFFF"/>
        </w:rPr>
        <w:t xml:space="preserve">o </w:t>
      </w:r>
      <w:r w:rsidR="00C75339">
        <w:rPr>
          <w:rStyle w:val="normaltextrun"/>
          <w:color w:val="000000"/>
          <w:szCs w:val="24"/>
          <w:shd w:val="clear" w:color="auto" w:fill="FFFFFF"/>
        </w:rPr>
        <w:t xml:space="preserve">2 straipsnio </w:t>
      </w:r>
      <w:r w:rsidR="00C75339">
        <w:rPr>
          <w:rStyle w:val="normaltextrun"/>
          <w:color w:val="000000"/>
          <w:szCs w:val="24"/>
          <w:shd w:val="clear" w:color="auto" w:fill="FFFFFF"/>
        </w:rPr>
        <w:t>1 </w:t>
      </w:r>
      <w:r w:rsidR="00C75339">
        <w:rPr>
          <w:rStyle w:val="normaltextrun"/>
          <w:color w:val="000000"/>
          <w:szCs w:val="24"/>
          <w:shd w:val="clear" w:color="auto" w:fill="FFFFFF"/>
        </w:rPr>
        <w:t>dalyje</w:t>
      </w:r>
      <w:r w:rsidR="00C75339">
        <w:rPr>
          <w:rStyle w:val="normaltextrun"/>
          <w:color w:val="000000"/>
          <w:szCs w:val="24"/>
          <w:shd w:val="clear" w:color="auto" w:fill="FFFFFF"/>
        </w:rPr>
        <w:t xml:space="preserve"> siūloma pakeisti P</w:t>
      </w:r>
      <w:r w:rsidR="00C75339" w:rsidRPr="00E8652F">
        <w:t>inigų plovimo ir teroristų finansavimo prevencijos įstatymo</w:t>
      </w:r>
      <w:r w:rsidR="00C75339">
        <w:rPr>
          <w:rStyle w:val="normaltextrun"/>
          <w:color w:val="000000"/>
          <w:szCs w:val="24"/>
          <w:shd w:val="clear" w:color="auto" w:fill="FFFFFF"/>
        </w:rPr>
        <w:t xml:space="preserve"> </w:t>
      </w:r>
      <w:r w:rsidR="00C75339" w:rsidRPr="00E8652F">
        <w:t>25</w:t>
      </w:r>
      <w:r w:rsidR="00C75339" w:rsidRPr="00E8652F">
        <w:rPr>
          <w:vertAlign w:val="superscript"/>
        </w:rPr>
        <w:t>2</w:t>
      </w:r>
      <w:r w:rsidR="00C75339">
        <w:t> </w:t>
      </w:r>
      <w:r w:rsidR="00C75339" w:rsidRPr="00E8652F">
        <w:t xml:space="preserve">straipsnio </w:t>
      </w:r>
      <w:r w:rsidR="00C75339">
        <w:rPr>
          <w:lang w:val="en-US"/>
        </w:rPr>
        <w:t>3</w:t>
      </w:r>
      <w:r w:rsidR="00C75339" w:rsidRPr="00E8652F">
        <w:t xml:space="preserve"> dal</w:t>
      </w:r>
      <w:r w:rsidR="00C75339">
        <w:t>į ir nustatyti</w:t>
      </w:r>
      <w:r w:rsidR="00C75339">
        <w:t xml:space="preserve">, kad </w:t>
      </w:r>
      <w:r w:rsidR="00C75339" w:rsidRPr="002A6662">
        <w:rPr>
          <w:szCs w:val="24"/>
        </w:rPr>
        <w:t>JADIS kaupiama informacija apie naudos gavėjus turintiems teisę ją gauti fiziniams ir juridiniams asmenims teikiama neatlygintinai</w:t>
      </w:r>
      <w:r w:rsidR="00C75339">
        <w:rPr>
          <w:szCs w:val="24"/>
        </w:rPr>
        <w:t xml:space="preserve">, </w:t>
      </w:r>
      <w:r w:rsidR="00F059FC">
        <w:rPr>
          <w:szCs w:val="24"/>
        </w:rPr>
        <w:t>todėl</w:t>
      </w:r>
      <w:r w:rsidR="00C75339">
        <w:rPr>
          <w:szCs w:val="24"/>
        </w:rPr>
        <w:t xml:space="preserve"> </w:t>
      </w:r>
      <w:r w:rsidR="00F059FC" w:rsidRPr="00F059FC">
        <w:rPr>
          <w:szCs w:val="24"/>
        </w:rPr>
        <w:t>s</w:t>
      </w:r>
      <w:r w:rsidR="00F059FC" w:rsidRPr="00F059FC">
        <w:rPr>
          <w:szCs w:val="24"/>
        </w:rPr>
        <w:t>ąnaudos, kurias JADIS tvarkytojas pat</w:t>
      </w:r>
      <w:r>
        <w:rPr>
          <w:szCs w:val="24"/>
        </w:rPr>
        <w:t>i</w:t>
      </w:r>
      <w:r w:rsidR="00F059FC" w:rsidRPr="00F059FC">
        <w:rPr>
          <w:szCs w:val="24"/>
        </w:rPr>
        <w:t>r</w:t>
      </w:r>
      <w:r>
        <w:rPr>
          <w:szCs w:val="24"/>
        </w:rPr>
        <w:t>s</w:t>
      </w:r>
      <w:r w:rsidR="00F059FC" w:rsidRPr="00F059FC">
        <w:rPr>
          <w:szCs w:val="24"/>
        </w:rPr>
        <w:t xml:space="preserve"> neatlygintinai teikdamas JADIS kaupiamą informaciją</w:t>
      </w:r>
      <w:r w:rsidR="00F059FC" w:rsidRPr="00F059FC">
        <w:rPr>
          <w:szCs w:val="24"/>
        </w:rPr>
        <w:t>,</w:t>
      </w:r>
      <w:r w:rsidR="00C75339" w:rsidRPr="00F059FC">
        <w:rPr>
          <w:szCs w:val="24"/>
        </w:rPr>
        <w:t xml:space="preserve"> turi b</w:t>
      </w:r>
      <w:r w:rsidR="00C75339">
        <w:rPr>
          <w:szCs w:val="24"/>
        </w:rPr>
        <w:t xml:space="preserve">ūti </w:t>
      </w:r>
      <w:r w:rsidR="00F059FC">
        <w:rPr>
          <w:szCs w:val="24"/>
        </w:rPr>
        <w:t>finansuojamos r</w:t>
      </w:r>
      <w:r w:rsidR="00C75339">
        <w:rPr>
          <w:szCs w:val="24"/>
        </w:rPr>
        <w:t xml:space="preserve">emiantis </w:t>
      </w:r>
      <w:r w:rsidR="00F059FC">
        <w:rPr>
          <w:szCs w:val="24"/>
        </w:rPr>
        <w:t>V</w:t>
      </w:r>
      <w:r w:rsidR="00F059FC" w:rsidRPr="00E8652F">
        <w:rPr>
          <w:szCs w:val="24"/>
        </w:rPr>
        <w:t>alstybės informacinių išteklių valdymo</w:t>
      </w:r>
      <w:r w:rsidR="00F059FC">
        <w:rPr>
          <w:szCs w:val="24"/>
        </w:rPr>
        <w:t xml:space="preserve"> įstatymo</w:t>
      </w:r>
      <w:r w:rsidR="00C75339">
        <w:rPr>
          <w:szCs w:val="24"/>
        </w:rPr>
        <w:t xml:space="preserve"> </w:t>
      </w:r>
      <w:r w:rsidR="00C75339" w:rsidRPr="00E8652F">
        <w:rPr>
          <w:szCs w:val="24"/>
        </w:rPr>
        <w:t xml:space="preserve">38 straipsnio </w:t>
      </w:r>
      <w:r w:rsidR="00C75339">
        <w:rPr>
          <w:szCs w:val="24"/>
          <w:lang w:val="en-US"/>
        </w:rPr>
        <w:t>3</w:t>
      </w:r>
      <w:r w:rsidR="00C75339" w:rsidRPr="00E8652F">
        <w:rPr>
          <w:szCs w:val="24"/>
        </w:rPr>
        <w:t xml:space="preserve"> dali</w:t>
      </w:r>
      <w:r w:rsidR="00C75339">
        <w:rPr>
          <w:szCs w:val="24"/>
        </w:rPr>
        <w:t>e</w:t>
      </w:r>
      <w:r w:rsidR="00C75339" w:rsidRPr="00E8652F">
        <w:rPr>
          <w:szCs w:val="24"/>
        </w:rPr>
        <w:t xml:space="preserve">s </w:t>
      </w:r>
      <w:r w:rsidR="00C75339">
        <w:rPr>
          <w:szCs w:val="24"/>
        </w:rPr>
        <w:lastRenderedPageBreak/>
        <w:t>nuostatomis</w:t>
      </w:r>
      <w:r w:rsidR="00B92C06">
        <w:rPr>
          <w:szCs w:val="24"/>
        </w:rPr>
        <w:t xml:space="preserve">, t. y. šios sąnaudos turi būti </w:t>
      </w:r>
      <w:r w:rsidR="00B92C06">
        <w:rPr>
          <w:color w:val="000000"/>
        </w:rPr>
        <w:t>finansuojamos iš tokią informaciją teikiančiai institucijai skiriamų valstybės biudžeto lėšų, kitų valstybės pinigų fondų ir (arba) Lietuvos Respublikos teisės aktuose nustatytų finansavimo šaltinių</w:t>
      </w:r>
      <w:r w:rsidR="00C75339">
        <w:rPr>
          <w:szCs w:val="24"/>
        </w:rPr>
        <w:t>.</w:t>
      </w:r>
      <w:r>
        <w:rPr>
          <w:szCs w:val="24"/>
        </w:rPr>
        <w:t xml:space="preserve"> Taigi</w:t>
      </w:r>
      <w:r w:rsidR="00346928">
        <w:rPr>
          <w:szCs w:val="24"/>
        </w:rPr>
        <w:t xml:space="preserve">, </w:t>
      </w:r>
      <w:r>
        <w:rPr>
          <w:szCs w:val="24"/>
        </w:rPr>
        <w:t xml:space="preserve">nuostatos dėl </w:t>
      </w:r>
      <w:r>
        <w:rPr>
          <w:color w:val="000000"/>
        </w:rPr>
        <w:t>sąnaudų</w:t>
      </w:r>
      <w:r>
        <w:rPr>
          <w:color w:val="000000"/>
        </w:rPr>
        <w:t xml:space="preserve">, patirtų </w:t>
      </w:r>
      <w:r>
        <w:rPr>
          <w:color w:val="000000"/>
        </w:rPr>
        <w:t>teikiant valstybės informacinėse sistemose tvarkomą informaciją,</w:t>
      </w:r>
      <w:r>
        <w:rPr>
          <w:color w:val="000000"/>
        </w:rPr>
        <w:t xml:space="preserve"> finansavim</w:t>
      </w:r>
      <w:r>
        <w:rPr>
          <w:color w:val="000000"/>
        </w:rPr>
        <w:t xml:space="preserve">o yra reglamentuotos </w:t>
      </w:r>
      <w:r>
        <w:rPr>
          <w:szCs w:val="24"/>
        </w:rPr>
        <w:t>V</w:t>
      </w:r>
      <w:r w:rsidRPr="00E8652F">
        <w:rPr>
          <w:szCs w:val="24"/>
        </w:rPr>
        <w:t>alstybės informacinių išteklių valdymo įstatym</w:t>
      </w:r>
      <w:r>
        <w:rPr>
          <w:szCs w:val="24"/>
        </w:rPr>
        <w:t>e</w:t>
      </w:r>
      <w:r w:rsidR="00346928">
        <w:rPr>
          <w:szCs w:val="24"/>
        </w:rPr>
        <w:t>.</w:t>
      </w:r>
    </w:p>
    <w:p w14:paraId="76C03DC7" w14:textId="4AC9AC46" w:rsidR="00346928" w:rsidRDefault="00346928" w:rsidP="00E8652F">
      <w:pPr>
        <w:pStyle w:val="ListParagraph"/>
        <w:tabs>
          <w:tab w:val="left" w:pos="1134"/>
        </w:tabs>
        <w:spacing w:line="360" w:lineRule="auto"/>
        <w:ind w:left="0" w:firstLine="709"/>
        <w:rPr>
          <w:szCs w:val="24"/>
        </w:rPr>
      </w:pPr>
      <w:r>
        <w:rPr>
          <w:szCs w:val="24"/>
        </w:rPr>
        <w:t xml:space="preserve">Atsižvelgdami į tai, </w:t>
      </w:r>
      <w:r>
        <w:rPr>
          <w:szCs w:val="24"/>
        </w:rPr>
        <w:t xml:space="preserve">kas išdėstyta, </w:t>
      </w:r>
      <w:r w:rsidR="003411FE">
        <w:rPr>
          <w:szCs w:val="24"/>
        </w:rPr>
        <w:t xml:space="preserve">siūlome </w:t>
      </w:r>
      <w:r>
        <w:rPr>
          <w:szCs w:val="24"/>
        </w:rPr>
        <w:t xml:space="preserve">tikslinti </w:t>
      </w:r>
      <w:r>
        <w:t>PPTFPĮ</w:t>
      </w:r>
      <w:r w:rsidRPr="00733E7C">
        <w:rPr>
          <w:rStyle w:val="normaltextrun"/>
          <w:color w:val="000000"/>
          <w:szCs w:val="24"/>
          <w:shd w:val="clear" w:color="auto" w:fill="FFFFFF"/>
        </w:rPr>
        <w:t xml:space="preserve"> projekt</w:t>
      </w:r>
      <w:r>
        <w:rPr>
          <w:rStyle w:val="normaltextrun"/>
          <w:color w:val="000000"/>
          <w:szCs w:val="24"/>
          <w:shd w:val="clear" w:color="auto" w:fill="FFFFFF"/>
        </w:rPr>
        <w:t>o 2 straipsnio 2 dal</w:t>
      </w:r>
      <w:r>
        <w:rPr>
          <w:rStyle w:val="normaltextrun"/>
          <w:color w:val="000000"/>
          <w:szCs w:val="24"/>
          <w:shd w:val="clear" w:color="auto" w:fill="FFFFFF"/>
        </w:rPr>
        <w:t xml:space="preserve">į ir </w:t>
      </w:r>
      <w:r>
        <w:t>P</w:t>
      </w:r>
      <w:r w:rsidRPr="00E8652F">
        <w:t>inigų plovimo ir teroristų finansavimo prevencijos įstatymo 25</w:t>
      </w:r>
      <w:r w:rsidRPr="00733E7C">
        <w:rPr>
          <w:vertAlign w:val="superscript"/>
        </w:rPr>
        <w:t>2</w:t>
      </w:r>
      <w:r w:rsidRPr="00E8652F">
        <w:t xml:space="preserve"> straipsnio </w:t>
      </w:r>
      <w:r w:rsidRPr="00733E7C">
        <w:rPr>
          <w:lang w:val="en-US"/>
        </w:rPr>
        <w:t>4</w:t>
      </w:r>
      <w:r w:rsidRPr="00E8652F">
        <w:t xml:space="preserve"> dal</w:t>
      </w:r>
      <w:r>
        <w:t>yje</w:t>
      </w:r>
      <w:r w:rsidRPr="00733E7C">
        <w:rPr>
          <w:szCs w:val="24"/>
        </w:rPr>
        <w:t xml:space="preserve"> įtvirtin</w:t>
      </w:r>
      <w:r>
        <w:rPr>
          <w:szCs w:val="24"/>
        </w:rPr>
        <w:t>ti</w:t>
      </w:r>
      <w:r w:rsidRPr="00733E7C">
        <w:rPr>
          <w:szCs w:val="24"/>
        </w:rPr>
        <w:t xml:space="preserve"> nuostatas, kad sąnaudos, kurias</w:t>
      </w:r>
      <w:r>
        <w:rPr>
          <w:szCs w:val="24"/>
        </w:rPr>
        <w:t xml:space="preserve"> </w:t>
      </w:r>
      <w:r w:rsidRPr="00733E7C">
        <w:rPr>
          <w:szCs w:val="24"/>
        </w:rPr>
        <w:t>JADIS tvarkytojas patyrė neatlygintinai teikdamas JADIS kaupiamą informaciją apie naudos gavėjus, finansuojamos</w:t>
      </w:r>
      <w:r>
        <w:rPr>
          <w:szCs w:val="24"/>
        </w:rPr>
        <w:t xml:space="preserve"> </w:t>
      </w:r>
      <w:r>
        <w:rPr>
          <w:szCs w:val="24"/>
        </w:rPr>
        <w:t>V</w:t>
      </w:r>
      <w:r w:rsidRPr="00E8652F">
        <w:rPr>
          <w:szCs w:val="24"/>
        </w:rPr>
        <w:t>alstybės informacinių išteklių valdymo įstatym</w:t>
      </w:r>
      <w:r>
        <w:rPr>
          <w:szCs w:val="24"/>
        </w:rPr>
        <w:t>o nustatyta tvarka.</w:t>
      </w:r>
    </w:p>
    <w:p w14:paraId="240AFA91" w14:textId="18870D85" w:rsidR="00352936" w:rsidRDefault="00352936" w:rsidP="00EA534D">
      <w:pPr>
        <w:ind w:firstLine="720"/>
      </w:pPr>
    </w:p>
    <w:p w14:paraId="101E5C38" w14:textId="63C17327" w:rsidR="009A3547" w:rsidRDefault="009A3547" w:rsidP="00EA534D">
      <w:pPr>
        <w:ind w:firstLine="720"/>
      </w:pPr>
    </w:p>
    <w:p w14:paraId="0F6B86CC" w14:textId="77777777" w:rsidR="007D1F8D" w:rsidRDefault="007D1F8D" w:rsidP="00EA534D">
      <w:pPr>
        <w:ind w:firstLine="720"/>
      </w:pPr>
    </w:p>
    <w:p w14:paraId="46917603" w14:textId="77777777" w:rsidR="00EA534D" w:rsidRDefault="00EA534D" w:rsidP="00EA534D">
      <w:pPr>
        <w:ind w:firstLine="720"/>
      </w:pPr>
    </w:p>
    <w:p w14:paraId="170D8A28" w14:textId="77777777" w:rsidR="009F2C34" w:rsidRDefault="009F2C34" w:rsidP="009F2C34">
      <w:pPr>
        <w:textAlignment w:val="baseline"/>
        <w:rPr>
          <w:szCs w:val="24"/>
          <w:lang w:eastAsia="lt-LT"/>
        </w:rPr>
      </w:pPr>
      <w:r w:rsidRPr="002046A8">
        <w:rPr>
          <w:szCs w:val="24"/>
          <w:lang w:eastAsia="lt-LT"/>
        </w:rPr>
        <w:t>Ekonomikos ir inovacijų viceministr</w:t>
      </w:r>
      <w:r>
        <w:rPr>
          <w:szCs w:val="24"/>
          <w:lang w:eastAsia="lt-LT"/>
        </w:rPr>
        <w:t>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Eglė Markevičiūtė</w:t>
      </w:r>
    </w:p>
    <w:p w14:paraId="7D79DA39" w14:textId="77777777" w:rsidR="009F2C34" w:rsidRDefault="009F2C34" w:rsidP="009F2C34">
      <w:pPr>
        <w:textAlignment w:val="baseline"/>
      </w:pPr>
    </w:p>
    <w:p w14:paraId="726B7B21" w14:textId="77C48CF5" w:rsidR="000E7A7B" w:rsidRDefault="000E7A7B" w:rsidP="00EA534D"/>
    <w:p w14:paraId="4A60912F" w14:textId="75AE8D6A" w:rsidR="009A3547" w:rsidRDefault="009A3547" w:rsidP="00EA534D"/>
    <w:p w14:paraId="44741770" w14:textId="34B40E50" w:rsidR="009A3547" w:rsidRDefault="009A3547" w:rsidP="00EA534D"/>
    <w:p w14:paraId="7A95D8BE" w14:textId="61A8EE60" w:rsidR="009A3547" w:rsidRDefault="009A3547" w:rsidP="00EA534D"/>
    <w:p w14:paraId="28CDD4BC" w14:textId="7B66ED6F" w:rsidR="009A3547" w:rsidRDefault="009A3547" w:rsidP="00EA534D"/>
    <w:p w14:paraId="36AFC3EB" w14:textId="0FFBED4F" w:rsidR="009A3547" w:rsidRDefault="009A3547" w:rsidP="00EA534D"/>
    <w:p w14:paraId="4ECBA87F" w14:textId="760BDDD6" w:rsidR="009A3547" w:rsidRDefault="009A3547" w:rsidP="00EA534D"/>
    <w:p w14:paraId="404A4271" w14:textId="7BE3D1DF" w:rsidR="009A3547" w:rsidRDefault="009A3547" w:rsidP="00EA534D"/>
    <w:p w14:paraId="6DF75CA2" w14:textId="45A9A02C" w:rsidR="009A3547" w:rsidRDefault="009A3547" w:rsidP="00EA534D"/>
    <w:p w14:paraId="1772926D" w14:textId="21681C4B" w:rsidR="009A3547" w:rsidRDefault="009A3547" w:rsidP="00EA534D"/>
    <w:p w14:paraId="321221AB" w14:textId="7CA26E57" w:rsidR="009A3547" w:rsidRDefault="009A3547" w:rsidP="00EA534D"/>
    <w:p w14:paraId="4BF76A99" w14:textId="2AFACDCA" w:rsidR="009A3547" w:rsidRDefault="009A3547" w:rsidP="00EA534D"/>
    <w:p w14:paraId="72B58CD4" w14:textId="39E8A80A" w:rsidR="00DA73D9" w:rsidRDefault="00DA73D9" w:rsidP="00EA534D"/>
    <w:p w14:paraId="2D834766" w14:textId="2B1EFB9B" w:rsidR="00DA73D9" w:rsidRDefault="00DA73D9" w:rsidP="00EA534D"/>
    <w:p w14:paraId="5EA72553" w14:textId="4D4FCDF3" w:rsidR="007D1F8D" w:rsidRDefault="007D1F8D" w:rsidP="00EA534D"/>
    <w:p w14:paraId="099CB33B" w14:textId="5B948AA4" w:rsidR="007D1F8D" w:rsidRDefault="007D1F8D" w:rsidP="00EA534D"/>
    <w:p w14:paraId="6C9795DC" w14:textId="0E5D026D" w:rsidR="007D1F8D" w:rsidRDefault="007D1F8D" w:rsidP="00EA534D"/>
    <w:p w14:paraId="2132B97C" w14:textId="32029221" w:rsidR="007D1F8D" w:rsidRDefault="007D1F8D" w:rsidP="00EA534D"/>
    <w:p w14:paraId="27ACCBCA" w14:textId="2B12C905" w:rsidR="007D1F8D" w:rsidRDefault="007D1F8D" w:rsidP="00EA534D"/>
    <w:p w14:paraId="0AB686FB" w14:textId="17650D93" w:rsidR="007D1F8D" w:rsidRDefault="007D1F8D" w:rsidP="00EA534D"/>
    <w:p w14:paraId="1AC67155" w14:textId="49F694CF" w:rsidR="007D1F8D" w:rsidRDefault="007D1F8D" w:rsidP="00EA534D"/>
    <w:p w14:paraId="13B79541" w14:textId="04E5A01B" w:rsidR="007D1F8D" w:rsidRDefault="007D1F8D" w:rsidP="00EA534D"/>
    <w:p w14:paraId="783BD5D7" w14:textId="2A87957D" w:rsidR="007D1F8D" w:rsidRDefault="007D1F8D" w:rsidP="00EA534D"/>
    <w:p w14:paraId="2E7EA3F8" w14:textId="4B65267A" w:rsidR="007D1F8D" w:rsidRDefault="007D1F8D" w:rsidP="00EA534D"/>
    <w:p w14:paraId="4590ED12" w14:textId="63E398A3" w:rsidR="009A3547" w:rsidRDefault="009A3547" w:rsidP="00EA534D"/>
    <w:p w14:paraId="2D63A1E6" w14:textId="77777777" w:rsidR="009A3547" w:rsidRDefault="009A3547" w:rsidP="00EA534D"/>
    <w:p w14:paraId="254B991B" w14:textId="508F42A5" w:rsidR="007D1F8D" w:rsidRDefault="007D1F8D" w:rsidP="000E7A7B"/>
    <w:p w14:paraId="22FC8E15" w14:textId="77777777" w:rsidR="00162FE0" w:rsidRPr="007D1F8D" w:rsidRDefault="00162FE0" w:rsidP="000E7A7B"/>
    <w:p w14:paraId="0B92F659" w14:textId="425FCF00" w:rsidR="000E7A7B" w:rsidRDefault="009F2C34" w:rsidP="009F2C34">
      <w:pPr>
        <w:widowControl w:val="0"/>
      </w:pPr>
      <w:r w:rsidRPr="002046A8">
        <w:rPr>
          <w:szCs w:val="24"/>
          <w:lang w:eastAsia="lt-LT"/>
        </w:rPr>
        <w:t>Renata Tracevičienė, tel. </w:t>
      </w:r>
      <w:r>
        <w:rPr>
          <w:spacing w:val="2"/>
          <w:szCs w:val="24"/>
          <w:shd w:val="clear" w:color="auto" w:fill="F8F8F8"/>
        </w:rPr>
        <w:t>8 659 28 866</w:t>
      </w:r>
      <w:r w:rsidRPr="002046A8">
        <w:rPr>
          <w:szCs w:val="24"/>
          <w:lang w:eastAsia="lt-LT"/>
        </w:rPr>
        <w:t>, el. p. </w:t>
      </w:r>
      <w:hyperlink r:id="rId9" w:tgtFrame="_blank" w:history="1">
        <w:r w:rsidRPr="002046A8">
          <w:rPr>
            <w:color w:val="0000FF"/>
            <w:szCs w:val="24"/>
            <w:u w:val="single"/>
            <w:lang w:eastAsia="lt-LT"/>
          </w:rPr>
          <w:t>renata.traceviciene@eimin.lt</w:t>
        </w:r>
      </w:hyperlink>
    </w:p>
    <w:sectPr w:rsidR="000E7A7B" w:rsidSect="000B6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2397C" w14:textId="77777777" w:rsidR="00C4797D" w:rsidRDefault="00C4797D">
      <w:r>
        <w:separator/>
      </w:r>
    </w:p>
  </w:endnote>
  <w:endnote w:type="continuationSeparator" w:id="0">
    <w:p w14:paraId="36DAF17F" w14:textId="77777777" w:rsidR="00C4797D" w:rsidRDefault="00C4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Times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A3D0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3" w14:textId="77777777" w:rsidR="00F24BDD" w:rsidRDefault="00F2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5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8C2A8" w14:textId="77777777" w:rsidR="00C4797D" w:rsidRDefault="00C4797D">
      <w:r>
        <w:separator/>
      </w:r>
    </w:p>
  </w:footnote>
  <w:footnote w:type="continuationSeparator" w:id="0">
    <w:p w14:paraId="5E7CB074" w14:textId="77777777" w:rsidR="00C4797D" w:rsidRDefault="00C4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CFF" w14:textId="77777777" w:rsidR="00F24BDD" w:rsidRDefault="00F2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0" w14:textId="75C460E6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34D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4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2466"/>
    <w:multiLevelType w:val="hybridMultilevel"/>
    <w:tmpl w:val="82509D42"/>
    <w:lvl w:ilvl="0" w:tplc="12909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572CB"/>
    <w:multiLevelType w:val="hybridMultilevel"/>
    <w:tmpl w:val="8B7EF576"/>
    <w:lvl w:ilvl="0" w:tplc="007C0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C318FA"/>
    <w:multiLevelType w:val="multilevel"/>
    <w:tmpl w:val="EF58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43C89"/>
    <w:multiLevelType w:val="hybridMultilevel"/>
    <w:tmpl w:val="F362ABF4"/>
    <w:lvl w:ilvl="0" w:tplc="996655D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10EC6"/>
    <w:rsid w:val="00015E01"/>
    <w:rsid w:val="000261D6"/>
    <w:rsid w:val="00051C5C"/>
    <w:rsid w:val="00062987"/>
    <w:rsid w:val="00065DF9"/>
    <w:rsid w:val="00091BB1"/>
    <w:rsid w:val="00092CBC"/>
    <w:rsid w:val="0009649D"/>
    <w:rsid w:val="000A2BA7"/>
    <w:rsid w:val="000B6D1F"/>
    <w:rsid w:val="000C3DFA"/>
    <w:rsid w:val="000C646D"/>
    <w:rsid w:val="000E7991"/>
    <w:rsid w:val="000E7A7B"/>
    <w:rsid w:val="0010498E"/>
    <w:rsid w:val="00120775"/>
    <w:rsid w:val="00126FC3"/>
    <w:rsid w:val="00154CF4"/>
    <w:rsid w:val="00162FE0"/>
    <w:rsid w:val="00182A4B"/>
    <w:rsid w:val="00187193"/>
    <w:rsid w:val="001B4B01"/>
    <w:rsid w:val="001D3661"/>
    <w:rsid w:val="001E5274"/>
    <w:rsid w:val="00202751"/>
    <w:rsid w:val="00216990"/>
    <w:rsid w:val="00225227"/>
    <w:rsid w:val="002266A6"/>
    <w:rsid w:val="00240D52"/>
    <w:rsid w:val="002428B6"/>
    <w:rsid w:val="00257E57"/>
    <w:rsid w:val="0026019C"/>
    <w:rsid w:val="0026102F"/>
    <w:rsid w:val="002650CA"/>
    <w:rsid w:val="0027097F"/>
    <w:rsid w:val="002773CD"/>
    <w:rsid w:val="00282963"/>
    <w:rsid w:val="002918B5"/>
    <w:rsid w:val="00292A73"/>
    <w:rsid w:val="002A05AA"/>
    <w:rsid w:val="002A490D"/>
    <w:rsid w:val="002A6662"/>
    <w:rsid w:val="002B48E7"/>
    <w:rsid w:val="002C0CD1"/>
    <w:rsid w:val="002C4F56"/>
    <w:rsid w:val="002C6615"/>
    <w:rsid w:val="002D7D94"/>
    <w:rsid w:val="002F02A6"/>
    <w:rsid w:val="00301ECD"/>
    <w:rsid w:val="00311110"/>
    <w:rsid w:val="00314211"/>
    <w:rsid w:val="003168D0"/>
    <w:rsid w:val="00316DAE"/>
    <w:rsid w:val="00330224"/>
    <w:rsid w:val="00331148"/>
    <w:rsid w:val="0033116B"/>
    <w:rsid w:val="003318A8"/>
    <w:rsid w:val="00332C42"/>
    <w:rsid w:val="0033498D"/>
    <w:rsid w:val="00335C5D"/>
    <w:rsid w:val="003411FE"/>
    <w:rsid w:val="00346165"/>
    <w:rsid w:val="00346928"/>
    <w:rsid w:val="00346E2E"/>
    <w:rsid w:val="003519BC"/>
    <w:rsid w:val="00352936"/>
    <w:rsid w:val="003532E5"/>
    <w:rsid w:val="00356DD2"/>
    <w:rsid w:val="003668F3"/>
    <w:rsid w:val="00395B16"/>
    <w:rsid w:val="003C1CCF"/>
    <w:rsid w:val="003C5E81"/>
    <w:rsid w:val="003D0825"/>
    <w:rsid w:val="003E1B57"/>
    <w:rsid w:val="003E5F23"/>
    <w:rsid w:val="003E6CE7"/>
    <w:rsid w:val="003E78B1"/>
    <w:rsid w:val="003F0A25"/>
    <w:rsid w:val="003F297D"/>
    <w:rsid w:val="004055A9"/>
    <w:rsid w:val="00405AAD"/>
    <w:rsid w:val="004179CE"/>
    <w:rsid w:val="004265D2"/>
    <w:rsid w:val="00430316"/>
    <w:rsid w:val="004318CD"/>
    <w:rsid w:val="00436B8E"/>
    <w:rsid w:val="00442116"/>
    <w:rsid w:val="00446272"/>
    <w:rsid w:val="004466CE"/>
    <w:rsid w:val="004559A1"/>
    <w:rsid w:val="004615C6"/>
    <w:rsid w:val="00470889"/>
    <w:rsid w:val="004960AD"/>
    <w:rsid w:val="004B0000"/>
    <w:rsid w:val="004C7185"/>
    <w:rsid w:val="004C7251"/>
    <w:rsid w:val="004D0646"/>
    <w:rsid w:val="004D7DE4"/>
    <w:rsid w:val="004F5E83"/>
    <w:rsid w:val="00512DB5"/>
    <w:rsid w:val="00512F09"/>
    <w:rsid w:val="00527884"/>
    <w:rsid w:val="00530126"/>
    <w:rsid w:val="005312E7"/>
    <w:rsid w:val="00540B70"/>
    <w:rsid w:val="00542651"/>
    <w:rsid w:val="00555DD2"/>
    <w:rsid w:val="0055629A"/>
    <w:rsid w:val="00560FBB"/>
    <w:rsid w:val="005745ED"/>
    <w:rsid w:val="005858B1"/>
    <w:rsid w:val="00587923"/>
    <w:rsid w:val="0059779F"/>
    <w:rsid w:val="005B1429"/>
    <w:rsid w:val="005B1C25"/>
    <w:rsid w:val="005D13FE"/>
    <w:rsid w:val="005E605E"/>
    <w:rsid w:val="005E7EC7"/>
    <w:rsid w:val="005F4A02"/>
    <w:rsid w:val="005F5189"/>
    <w:rsid w:val="005F6AAA"/>
    <w:rsid w:val="0061738B"/>
    <w:rsid w:val="00624FB4"/>
    <w:rsid w:val="00635301"/>
    <w:rsid w:val="00637B3E"/>
    <w:rsid w:val="00647770"/>
    <w:rsid w:val="00672B55"/>
    <w:rsid w:val="006748E8"/>
    <w:rsid w:val="00675A68"/>
    <w:rsid w:val="00687C6B"/>
    <w:rsid w:val="00687C85"/>
    <w:rsid w:val="00696DAD"/>
    <w:rsid w:val="006C48F0"/>
    <w:rsid w:val="006C497C"/>
    <w:rsid w:val="006C56C9"/>
    <w:rsid w:val="006C5E73"/>
    <w:rsid w:val="006D37DC"/>
    <w:rsid w:val="006E3093"/>
    <w:rsid w:val="006E4290"/>
    <w:rsid w:val="00712295"/>
    <w:rsid w:val="00715730"/>
    <w:rsid w:val="0073017E"/>
    <w:rsid w:val="00733E7C"/>
    <w:rsid w:val="0073469A"/>
    <w:rsid w:val="0073524E"/>
    <w:rsid w:val="00735E63"/>
    <w:rsid w:val="007461EE"/>
    <w:rsid w:val="00746BB6"/>
    <w:rsid w:val="00762BDE"/>
    <w:rsid w:val="00780517"/>
    <w:rsid w:val="007949CF"/>
    <w:rsid w:val="007A49B7"/>
    <w:rsid w:val="007C33F2"/>
    <w:rsid w:val="007C3CC9"/>
    <w:rsid w:val="007C6457"/>
    <w:rsid w:val="007D1F8D"/>
    <w:rsid w:val="007D681F"/>
    <w:rsid w:val="007E58D6"/>
    <w:rsid w:val="007F2B88"/>
    <w:rsid w:val="008040CB"/>
    <w:rsid w:val="00817FE2"/>
    <w:rsid w:val="00837100"/>
    <w:rsid w:val="00845B0C"/>
    <w:rsid w:val="0085236B"/>
    <w:rsid w:val="008546C3"/>
    <w:rsid w:val="0086352A"/>
    <w:rsid w:val="0087684D"/>
    <w:rsid w:val="00880F45"/>
    <w:rsid w:val="008866A6"/>
    <w:rsid w:val="008A3032"/>
    <w:rsid w:val="008C7B5C"/>
    <w:rsid w:val="008D710A"/>
    <w:rsid w:val="008E5809"/>
    <w:rsid w:val="00902366"/>
    <w:rsid w:val="0090541F"/>
    <w:rsid w:val="00907EB4"/>
    <w:rsid w:val="00935B44"/>
    <w:rsid w:val="00982DD9"/>
    <w:rsid w:val="009853E1"/>
    <w:rsid w:val="009A3547"/>
    <w:rsid w:val="009A61B3"/>
    <w:rsid w:val="009B1078"/>
    <w:rsid w:val="009C726C"/>
    <w:rsid w:val="009D2E5B"/>
    <w:rsid w:val="009D6B78"/>
    <w:rsid w:val="009E44D9"/>
    <w:rsid w:val="009F2C34"/>
    <w:rsid w:val="009F47A4"/>
    <w:rsid w:val="009F62C9"/>
    <w:rsid w:val="009F7433"/>
    <w:rsid w:val="00A22C35"/>
    <w:rsid w:val="00A22FAF"/>
    <w:rsid w:val="00A2301D"/>
    <w:rsid w:val="00A27813"/>
    <w:rsid w:val="00A465FF"/>
    <w:rsid w:val="00A6537A"/>
    <w:rsid w:val="00A74E27"/>
    <w:rsid w:val="00A844E2"/>
    <w:rsid w:val="00A8780F"/>
    <w:rsid w:val="00AA3843"/>
    <w:rsid w:val="00AC648A"/>
    <w:rsid w:val="00AC66A6"/>
    <w:rsid w:val="00AD3D6D"/>
    <w:rsid w:val="00AE0B44"/>
    <w:rsid w:val="00AF6F4B"/>
    <w:rsid w:val="00B0760A"/>
    <w:rsid w:val="00B25AFE"/>
    <w:rsid w:val="00B4038B"/>
    <w:rsid w:val="00B60BCE"/>
    <w:rsid w:val="00B646B4"/>
    <w:rsid w:val="00B75134"/>
    <w:rsid w:val="00B83DB6"/>
    <w:rsid w:val="00B86C4D"/>
    <w:rsid w:val="00B92C06"/>
    <w:rsid w:val="00BA670B"/>
    <w:rsid w:val="00BA7F8F"/>
    <w:rsid w:val="00BB270B"/>
    <w:rsid w:val="00BC1B2F"/>
    <w:rsid w:val="00BC528F"/>
    <w:rsid w:val="00BC7AA5"/>
    <w:rsid w:val="00BF0AD5"/>
    <w:rsid w:val="00BF24AB"/>
    <w:rsid w:val="00C04DB2"/>
    <w:rsid w:val="00C0582C"/>
    <w:rsid w:val="00C126DC"/>
    <w:rsid w:val="00C32D91"/>
    <w:rsid w:val="00C416DF"/>
    <w:rsid w:val="00C426CA"/>
    <w:rsid w:val="00C4797D"/>
    <w:rsid w:val="00C70724"/>
    <w:rsid w:val="00C714F3"/>
    <w:rsid w:val="00C71B95"/>
    <w:rsid w:val="00C73186"/>
    <w:rsid w:val="00C75339"/>
    <w:rsid w:val="00C805B6"/>
    <w:rsid w:val="00C8606E"/>
    <w:rsid w:val="00CB438D"/>
    <w:rsid w:val="00CD69B0"/>
    <w:rsid w:val="00CD7B73"/>
    <w:rsid w:val="00CE0FFB"/>
    <w:rsid w:val="00CE6C6D"/>
    <w:rsid w:val="00CE74FE"/>
    <w:rsid w:val="00CF03FA"/>
    <w:rsid w:val="00CF7055"/>
    <w:rsid w:val="00D01BBA"/>
    <w:rsid w:val="00D01F0D"/>
    <w:rsid w:val="00D037A3"/>
    <w:rsid w:val="00D16B99"/>
    <w:rsid w:val="00D35141"/>
    <w:rsid w:val="00D355E8"/>
    <w:rsid w:val="00D374B2"/>
    <w:rsid w:val="00D56DAA"/>
    <w:rsid w:val="00D65F89"/>
    <w:rsid w:val="00D852B8"/>
    <w:rsid w:val="00DA5B56"/>
    <w:rsid w:val="00DA5F4A"/>
    <w:rsid w:val="00DA73D9"/>
    <w:rsid w:val="00DB606E"/>
    <w:rsid w:val="00DC062E"/>
    <w:rsid w:val="00DC282F"/>
    <w:rsid w:val="00DD6870"/>
    <w:rsid w:val="00E0320A"/>
    <w:rsid w:val="00E122BD"/>
    <w:rsid w:val="00E1687C"/>
    <w:rsid w:val="00E4006E"/>
    <w:rsid w:val="00E4706A"/>
    <w:rsid w:val="00E5737B"/>
    <w:rsid w:val="00E579C5"/>
    <w:rsid w:val="00E65BA0"/>
    <w:rsid w:val="00E8139C"/>
    <w:rsid w:val="00E8652F"/>
    <w:rsid w:val="00E914D7"/>
    <w:rsid w:val="00EA534D"/>
    <w:rsid w:val="00EC5071"/>
    <w:rsid w:val="00ED78A9"/>
    <w:rsid w:val="00EE5C57"/>
    <w:rsid w:val="00EE793F"/>
    <w:rsid w:val="00EF06C7"/>
    <w:rsid w:val="00EF3351"/>
    <w:rsid w:val="00F001E5"/>
    <w:rsid w:val="00F059FC"/>
    <w:rsid w:val="00F05E86"/>
    <w:rsid w:val="00F14AF2"/>
    <w:rsid w:val="00F16942"/>
    <w:rsid w:val="00F24BDD"/>
    <w:rsid w:val="00F26BDA"/>
    <w:rsid w:val="00F2744F"/>
    <w:rsid w:val="00F2751B"/>
    <w:rsid w:val="00F474E3"/>
    <w:rsid w:val="00F51FA2"/>
    <w:rsid w:val="00F61ECB"/>
    <w:rsid w:val="00F700D9"/>
    <w:rsid w:val="00F71F00"/>
    <w:rsid w:val="00F77559"/>
    <w:rsid w:val="00F86466"/>
    <w:rsid w:val="00F90F3F"/>
    <w:rsid w:val="00FC5429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DefaultParagraphFont"/>
    <w:rsid w:val="009F2C34"/>
  </w:style>
  <w:style w:type="paragraph" w:customStyle="1" w:styleId="paragraph">
    <w:name w:val="paragraph"/>
    <w:basedOn w:val="Normal"/>
    <w:rsid w:val="009F2C3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eop">
    <w:name w:val="eop"/>
    <w:basedOn w:val="DefaultParagraphFont"/>
    <w:rsid w:val="009F2C34"/>
  </w:style>
  <w:style w:type="character" w:customStyle="1" w:styleId="scxw72200902">
    <w:name w:val="scxw72200902"/>
    <w:basedOn w:val="DefaultParagraphFont"/>
    <w:rsid w:val="009F2C34"/>
  </w:style>
  <w:style w:type="paragraph" w:styleId="ListParagraph">
    <w:name w:val="List Paragraph"/>
    <w:basedOn w:val="Normal"/>
    <w:uiPriority w:val="34"/>
    <w:qFormat/>
    <w:rsid w:val="0063530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E0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0FFB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0FF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2DD9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7D1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renata.traceviciene@ei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 Target="file:///L:/Ukmin_blankai_2018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88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2021-11-05T11:47:00Z</dcterms:created>
  <dc:creator>Brazeviciute Justina</dc:creator>
  <cp:lastModifiedBy>Tracevičienė Renata</cp:lastModifiedBy>
  <cp:lastPrinted>2020-01-17T09:07:00Z</cp:lastPrinted>
  <dcterms:modified xsi:type="dcterms:W3CDTF">2021-11-08T08:05:00Z</dcterms:modified>
  <cp:revision>9</cp:revision>
</cp:coreProperties>
</file>