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98" w:rsidRPr="00AC7855" w:rsidRDefault="00BC2B98" w:rsidP="00BC2B98">
      <w:pPr>
        <w:jc w:val="both"/>
        <w:rPr>
          <w:b/>
          <w:bCs/>
        </w:rPr>
      </w:pPr>
      <w:r w:rsidRPr="00AC7855">
        <w:rPr>
          <w:b/>
          <w:bCs/>
        </w:rPr>
        <w:t>TEISĖS AKT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PROJEKT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ANTIKORUPCINIO VERTINIMO PAŽYMA</w:t>
      </w:r>
    </w:p>
    <w:p w:rsidR="00BC2B98" w:rsidRPr="00AC7855" w:rsidRDefault="00BC2B98" w:rsidP="00BC2B98">
      <w:pPr>
        <w:jc w:val="both"/>
        <w:rPr>
          <w:sz w:val="22"/>
          <w:szCs w:val="22"/>
        </w:rPr>
      </w:pPr>
    </w:p>
    <w:p w:rsidR="00BC2B98" w:rsidRPr="00AC7855" w:rsidRDefault="00BC2B98" w:rsidP="000A7A10">
      <w:pPr>
        <w:jc w:val="both"/>
        <w:rPr>
          <w:b/>
          <w:sz w:val="22"/>
          <w:szCs w:val="22"/>
        </w:rPr>
      </w:pPr>
      <w:r w:rsidRPr="00AC7855">
        <w:rPr>
          <w:b/>
          <w:sz w:val="22"/>
          <w:szCs w:val="22"/>
        </w:rPr>
        <w:t>Teisės akto projekto pavadinimas:</w:t>
      </w:r>
    </w:p>
    <w:p w:rsidR="00BC2B98" w:rsidRPr="00562677" w:rsidRDefault="00BC2B98" w:rsidP="000A7A10">
      <w:pPr>
        <w:jc w:val="both"/>
        <w:rPr>
          <w:sz w:val="22"/>
          <w:szCs w:val="22"/>
        </w:rPr>
      </w:pPr>
      <w:r w:rsidRPr="00AC7855">
        <w:rPr>
          <w:sz w:val="22"/>
          <w:szCs w:val="22"/>
        </w:rPr>
        <w:t>Lietuvos Respublikos Vyriausybės nutarim</w:t>
      </w:r>
      <w:r w:rsidR="00765784" w:rsidRPr="00AC7855">
        <w:rPr>
          <w:sz w:val="22"/>
          <w:szCs w:val="22"/>
        </w:rPr>
        <w:t>o</w:t>
      </w:r>
      <w:r w:rsidRPr="00AC7855">
        <w:rPr>
          <w:sz w:val="22"/>
          <w:szCs w:val="22"/>
        </w:rPr>
        <w:t xml:space="preserve"> </w:t>
      </w:r>
      <w:r w:rsidR="00F662CF" w:rsidRPr="00562677">
        <w:rPr>
          <w:sz w:val="22"/>
          <w:szCs w:val="22"/>
        </w:rPr>
        <w:t xml:space="preserve">„Dėl Lietuvos Respublikos Vyriausybės 2014 m. birželio 4 d. nutarimo Nr. 528 „Dėl atsakomybės ir funkcijų paskirstymo tarp institucijų, įgyvendinant 2014–2020 metų Europos Sąjungos fondų investicijų veiksmų programą“ </w:t>
      </w:r>
      <w:r w:rsidR="00F662CF" w:rsidRPr="00562677">
        <w:rPr>
          <w:sz w:val="22"/>
          <w:szCs w:val="22"/>
        </w:rPr>
        <w:t xml:space="preserve">pakeitimo“ projektas </w:t>
      </w:r>
      <w:bookmarkStart w:id="0" w:name="_GoBack"/>
      <w:bookmarkEnd w:id="0"/>
      <w:r w:rsidRPr="00562677">
        <w:rPr>
          <w:sz w:val="22"/>
          <w:szCs w:val="22"/>
        </w:rPr>
        <w:t>(toliau – Nutarimo projektas).</w:t>
      </w:r>
    </w:p>
    <w:p w:rsidR="00BC2B98" w:rsidRPr="00562677" w:rsidRDefault="00BC2B98" w:rsidP="000A7A10">
      <w:pPr>
        <w:jc w:val="both"/>
        <w:rPr>
          <w:sz w:val="22"/>
          <w:szCs w:val="22"/>
        </w:rPr>
      </w:pPr>
      <w:r w:rsidRPr="00562677">
        <w:rPr>
          <w:b/>
          <w:sz w:val="22"/>
          <w:szCs w:val="22"/>
        </w:rPr>
        <w:t>Teisės akto projekto tiesioginis rengėjas</w:t>
      </w:r>
      <w:r w:rsidRPr="00562677">
        <w:rPr>
          <w:sz w:val="22"/>
          <w:szCs w:val="22"/>
        </w:rPr>
        <w:t xml:space="preserve">: Lietuvos Respublikos finansų ministerijos </w:t>
      </w:r>
      <w:r w:rsidR="00FA23FE" w:rsidRPr="00562677">
        <w:rPr>
          <w:sz w:val="22"/>
          <w:szCs w:val="22"/>
        </w:rPr>
        <w:t xml:space="preserve">Investicijų </w:t>
      </w:r>
      <w:r w:rsidRPr="00562677">
        <w:rPr>
          <w:sz w:val="22"/>
          <w:szCs w:val="22"/>
        </w:rPr>
        <w:t xml:space="preserve">departamento </w:t>
      </w:r>
      <w:r w:rsidR="00F662CF" w:rsidRPr="00562677">
        <w:rPr>
          <w:sz w:val="22"/>
          <w:szCs w:val="22"/>
        </w:rPr>
        <w:t>Valdymo ir kontrolės sistemų priežiūros s</w:t>
      </w:r>
      <w:r w:rsidRPr="00562677">
        <w:rPr>
          <w:sz w:val="22"/>
          <w:szCs w:val="22"/>
        </w:rPr>
        <w:t>kyriaus pat</w:t>
      </w:r>
      <w:r w:rsidR="00F662CF" w:rsidRPr="00562677">
        <w:rPr>
          <w:sz w:val="22"/>
          <w:szCs w:val="22"/>
        </w:rPr>
        <w:t xml:space="preserve">arėja Ilma </w:t>
      </w:r>
      <w:proofErr w:type="spellStart"/>
      <w:r w:rsidR="00F662CF" w:rsidRPr="00562677">
        <w:rPr>
          <w:sz w:val="22"/>
          <w:szCs w:val="22"/>
        </w:rPr>
        <w:t>Skukauskaitė</w:t>
      </w:r>
      <w:proofErr w:type="spellEnd"/>
      <w:r w:rsidR="00F662CF" w:rsidRPr="00562677">
        <w:rPr>
          <w:sz w:val="22"/>
          <w:szCs w:val="22"/>
        </w:rPr>
        <w:t>.</w:t>
      </w:r>
    </w:p>
    <w:p w:rsidR="00BC2B98" w:rsidRPr="00562677" w:rsidRDefault="00BC2B98" w:rsidP="000A7A10">
      <w:pPr>
        <w:jc w:val="both"/>
        <w:rPr>
          <w:sz w:val="22"/>
          <w:szCs w:val="22"/>
        </w:rPr>
      </w:pPr>
      <w:r w:rsidRPr="00562677">
        <w:rPr>
          <w:b/>
          <w:sz w:val="22"/>
          <w:szCs w:val="22"/>
        </w:rPr>
        <w:t>Antikorupciniu požiūriu rizikingos teisės akto projekto nuostatos</w:t>
      </w:r>
      <w:r w:rsidRPr="00562677">
        <w:rPr>
          <w:sz w:val="22"/>
          <w:szCs w:val="22"/>
        </w:rPr>
        <w:t>: nenustatyta</w:t>
      </w:r>
      <w:r w:rsidR="00F662CF" w:rsidRPr="00562677">
        <w:rPr>
          <w:sz w:val="22"/>
          <w:szCs w:val="22"/>
        </w:rPr>
        <w:t>.</w:t>
      </w:r>
    </w:p>
    <w:p w:rsidR="00BC2B98" w:rsidRPr="00562677" w:rsidRDefault="00BC2B98" w:rsidP="000A7A10">
      <w:pPr>
        <w:jc w:val="both"/>
        <w:rPr>
          <w:b/>
          <w:bCs/>
          <w:sz w:val="22"/>
          <w:szCs w:val="22"/>
        </w:rPr>
      </w:pPr>
      <w:r w:rsidRPr="00562677">
        <w:rPr>
          <w:b/>
          <w:bCs/>
          <w:sz w:val="22"/>
          <w:szCs w:val="22"/>
        </w:rPr>
        <w:t xml:space="preserve">Antikorupciniu požiūriu rizikingos teisės akto projekto nuostatos, identifikuotos antikorupcinio vertinimo po </w:t>
      </w:r>
      <w:proofErr w:type="spellStart"/>
      <w:r w:rsidRPr="00562677">
        <w:rPr>
          <w:b/>
          <w:bCs/>
          <w:sz w:val="22"/>
          <w:szCs w:val="22"/>
        </w:rPr>
        <w:t>tarpinstitucinio</w:t>
      </w:r>
      <w:proofErr w:type="spellEnd"/>
      <w:r w:rsidRPr="00562677">
        <w:rPr>
          <w:b/>
          <w:bCs/>
          <w:sz w:val="22"/>
          <w:szCs w:val="22"/>
        </w:rPr>
        <w:t xml:space="preserve"> derinimo metu:</w:t>
      </w:r>
    </w:p>
    <w:p w:rsidR="00D5128C" w:rsidRPr="00562677" w:rsidRDefault="00D5128C" w:rsidP="000A7A10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912"/>
        <w:gridCol w:w="2079"/>
        <w:gridCol w:w="2694"/>
        <w:gridCol w:w="1984"/>
        <w:gridCol w:w="450"/>
        <w:gridCol w:w="2243"/>
        <w:gridCol w:w="2835"/>
        <w:gridCol w:w="426"/>
      </w:tblGrid>
      <w:tr w:rsidR="00BC2B98" w:rsidRPr="00562677" w:rsidTr="000A7A10">
        <w:trPr>
          <w:gridAfter w:val="1"/>
          <w:wAfter w:w="426" w:type="dxa"/>
          <w:trHeight w:val="23"/>
          <w:tblHeader/>
        </w:trPr>
        <w:tc>
          <w:tcPr>
            <w:tcW w:w="545" w:type="dxa"/>
            <w:vAlign w:val="center"/>
          </w:tcPr>
          <w:p w:rsidR="00BC2B98" w:rsidRPr="00562677" w:rsidRDefault="00BC2B98" w:rsidP="00D021B7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Eil. Nr.</w:t>
            </w:r>
          </w:p>
        </w:tc>
        <w:tc>
          <w:tcPr>
            <w:tcW w:w="3991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Kriterijus</w:t>
            </w:r>
          </w:p>
        </w:tc>
        <w:tc>
          <w:tcPr>
            <w:tcW w:w="4678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b/>
                <w:bCs/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gridSpan w:val="2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vAlign w:val="center"/>
          </w:tcPr>
          <w:p w:rsidR="00BC2B98" w:rsidRPr="00562677" w:rsidRDefault="00BC2B98" w:rsidP="00DA5E88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C2B98" w:rsidRPr="00562677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991" w:type="dxa"/>
            <w:gridSpan w:val="2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gridSpan w:val="2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vAlign w:val="center"/>
          </w:tcPr>
          <w:p w:rsidR="00BC2B98" w:rsidRPr="00562677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  <w:r w:rsidRPr="00562677">
              <w:rPr>
                <w:i/>
                <w:iCs/>
                <w:sz w:val="22"/>
                <w:szCs w:val="22"/>
              </w:rPr>
              <w:t>pildo teisės akto projekto vertintojas</w:t>
            </w:r>
          </w:p>
        </w:tc>
      </w:tr>
      <w:tr w:rsidR="00BC2B98" w:rsidRPr="00562677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562677" w:rsidRDefault="00BC2B98" w:rsidP="00D94D16">
            <w:pPr>
              <w:jc w:val="center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1.</w:t>
            </w:r>
          </w:p>
        </w:tc>
        <w:tc>
          <w:tcPr>
            <w:tcW w:w="3991" w:type="dxa"/>
            <w:gridSpan w:val="2"/>
          </w:tcPr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678" w:type="dxa"/>
            <w:gridSpan w:val="2"/>
          </w:tcPr>
          <w:p w:rsidR="00BC2B98" w:rsidRPr="00562677" w:rsidRDefault="00562677" w:rsidP="00D021B7">
            <w:pPr>
              <w:pStyle w:val="Komentarotekstas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Nutarimo</w:t>
            </w:r>
            <w:r w:rsidR="00BC2B98" w:rsidRPr="00562677">
              <w:rPr>
                <w:sz w:val="22"/>
                <w:szCs w:val="22"/>
                <w:lang w:val="lt-LT"/>
              </w:rPr>
              <w:t xml:space="preserve"> projektas nesudaro išskirtinių ar nevienodų sąlygų subjektams, su kuriais susijęs teisės aktų įgyvendinimas.</w:t>
            </w:r>
          </w:p>
          <w:p w:rsidR="00D5128C" w:rsidRPr="00562677" w:rsidRDefault="00BC2B98" w:rsidP="0034136F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  <w:u w:val="single"/>
              </w:rPr>
              <w:t>Pagrindini</w:t>
            </w:r>
            <w:r w:rsidR="000B2FE6" w:rsidRPr="00562677">
              <w:rPr>
                <w:sz w:val="22"/>
                <w:szCs w:val="22"/>
                <w:u w:val="single"/>
              </w:rPr>
              <w:t>ai</w:t>
            </w:r>
            <w:r w:rsidRPr="00562677">
              <w:rPr>
                <w:sz w:val="22"/>
                <w:szCs w:val="22"/>
                <w:u w:val="single"/>
              </w:rPr>
              <w:t xml:space="preserve"> Nutarimo projekto tiksla</w:t>
            </w:r>
            <w:r w:rsidR="000B2FE6" w:rsidRPr="00562677">
              <w:rPr>
                <w:sz w:val="22"/>
                <w:szCs w:val="22"/>
                <w:u w:val="single"/>
              </w:rPr>
              <w:t>i</w:t>
            </w:r>
            <w:r w:rsidR="000B2FE6" w:rsidRPr="00562677">
              <w:rPr>
                <w:sz w:val="22"/>
                <w:szCs w:val="22"/>
              </w:rPr>
              <w:t>:</w:t>
            </w:r>
          </w:p>
          <w:p w:rsidR="00562677" w:rsidRPr="00562677" w:rsidRDefault="0034136F" w:rsidP="0056267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1.</w:t>
            </w:r>
            <w:r w:rsidR="00562677" w:rsidRPr="00562677">
              <w:rPr>
                <w:sz w:val="22"/>
                <w:szCs w:val="22"/>
              </w:rPr>
              <w:t xml:space="preserve"> </w:t>
            </w:r>
            <w:r w:rsidR="00562677">
              <w:rPr>
                <w:sz w:val="22"/>
                <w:szCs w:val="22"/>
              </w:rPr>
              <w:t>u</w:t>
            </w:r>
            <w:r w:rsidR="00562677" w:rsidRPr="00562677">
              <w:rPr>
                <w:sz w:val="22"/>
                <w:szCs w:val="22"/>
              </w:rPr>
              <w:t xml:space="preserve">žtikrinti sėkmingą Lietuvos pasirengimą panaudoti 2021–2027 metų Europos Sąjungos fondų investicijas ir įgyvendinti naują regionų kompleksinės plėtros finansavimo modelį. </w:t>
            </w:r>
            <w:r w:rsidR="00562677">
              <w:rPr>
                <w:sz w:val="22"/>
                <w:szCs w:val="22"/>
              </w:rPr>
              <w:t>Todėl Nutarimo projektas papildomas šiomis nuostatomis:</w:t>
            </w:r>
          </w:p>
          <w:p w:rsidR="00562677" w:rsidRPr="00D44271" w:rsidRDefault="00562677" w:rsidP="00562677">
            <w:pPr>
              <w:tabs>
                <w:tab w:val="left" w:pos="851"/>
                <w:tab w:val="left" w:pos="1276"/>
              </w:tabs>
              <w:ind w:firstLine="72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a)</w:t>
            </w:r>
            <w:r w:rsidRPr="00562677">
              <w:rPr>
                <w:sz w:val="22"/>
                <w:szCs w:val="22"/>
              </w:rPr>
              <w:t xml:space="preserve"> Europos Sąjungos struktūrinių fondų lėšų valdymo ir kontrolės sistemos institucijoms pavedama organizuoti, koordinuoti ir dalyvauti rengiantis įgyvendinti</w:t>
            </w:r>
            <w:r w:rsidR="00507286">
              <w:rPr>
                <w:sz w:val="22"/>
                <w:szCs w:val="22"/>
              </w:rPr>
              <w:t xml:space="preserve"> naujos finansinės perspektyvos t.y.</w:t>
            </w:r>
            <w:r w:rsidRPr="00562677">
              <w:rPr>
                <w:sz w:val="22"/>
                <w:szCs w:val="22"/>
              </w:rPr>
              <w:t xml:space="preserve"> 2021–2027 metų Europos Sąju</w:t>
            </w:r>
            <w:r>
              <w:rPr>
                <w:sz w:val="22"/>
                <w:szCs w:val="22"/>
              </w:rPr>
              <w:t>n</w:t>
            </w:r>
            <w:r w:rsidR="00507286">
              <w:rPr>
                <w:sz w:val="22"/>
                <w:szCs w:val="22"/>
              </w:rPr>
              <w:t xml:space="preserve">gos fondų investicijų programą, todėl </w:t>
            </w:r>
            <w:r w:rsidRPr="00562677">
              <w:rPr>
                <w:sz w:val="22"/>
                <w:szCs w:val="22"/>
                <w:lang w:eastAsia="en-US"/>
              </w:rPr>
              <w:t xml:space="preserve">keičiama </w:t>
            </w:r>
            <w:r w:rsidR="00507286">
              <w:rPr>
                <w:sz w:val="22"/>
                <w:szCs w:val="22"/>
                <w:lang w:eastAsia="en-US"/>
              </w:rPr>
              <w:t xml:space="preserve">Nutarimo </w:t>
            </w:r>
            <w:r w:rsidRPr="00562677">
              <w:rPr>
                <w:sz w:val="22"/>
                <w:szCs w:val="22"/>
                <w:lang w:eastAsia="en-US"/>
              </w:rPr>
              <w:t xml:space="preserve">antraštė, preambulė ir 1 </w:t>
            </w:r>
            <w:r w:rsidRPr="00562677">
              <w:rPr>
                <w:sz w:val="22"/>
                <w:szCs w:val="22"/>
                <w:lang w:eastAsia="en-US"/>
              </w:rPr>
              <w:lastRenderedPageBreak/>
              <w:t xml:space="preserve">punktas, taip pat </w:t>
            </w:r>
            <w:r>
              <w:rPr>
                <w:sz w:val="22"/>
                <w:szCs w:val="22"/>
              </w:rPr>
              <w:t xml:space="preserve">keičiamas </w:t>
            </w:r>
            <w:r w:rsidR="00507286">
              <w:rPr>
                <w:sz w:val="22"/>
                <w:szCs w:val="22"/>
              </w:rPr>
              <w:t>šiuo N</w:t>
            </w:r>
            <w:r>
              <w:rPr>
                <w:sz w:val="22"/>
                <w:szCs w:val="22"/>
              </w:rPr>
              <w:t>utarimu patvirti</w:t>
            </w:r>
            <w:r w:rsidRPr="00562677">
              <w:rPr>
                <w:sz w:val="22"/>
                <w:szCs w:val="22"/>
              </w:rPr>
              <w:t xml:space="preserve">ntų </w:t>
            </w:r>
            <w:r w:rsidRPr="00562677">
              <w:rPr>
                <w:sz w:val="22"/>
                <w:szCs w:val="22"/>
              </w:rPr>
              <w:t>Atsakomybės ir funkcijų paskirstymo tarp institucijų, įgyvendinant 2014–2020 metų Europos Sąjungos fondų investi</w:t>
            </w:r>
            <w:r w:rsidRPr="00562677">
              <w:rPr>
                <w:sz w:val="22"/>
                <w:szCs w:val="22"/>
              </w:rPr>
              <w:t>cijų veiksmų programą, taisyklių</w:t>
            </w:r>
            <w:r w:rsidRPr="00562677">
              <w:rPr>
                <w:sz w:val="22"/>
                <w:szCs w:val="22"/>
              </w:rPr>
              <w:t xml:space="preserve"> </w:t>
            </w:r>
            <w:r w:rsidR="00507286">
              <w:rPr>
                <w:sz w:val="22"/>
                <w:szCs w:val="22"/>
              </w:rPr>
              <w:t xml:space="preserve">(toliau – Taisyklės) </w:t>
            </w:r>
            <w:r w:rsidRPr="00562677">
              <w:rPr>
                <w:sz w:val="22"/>
                <w:szCs w:val="22"/>
              </w:rPr>
              <w:t>pavadinimas,</w:t>
            </w:r>
            <w:r w:rsidRPr="00562677">
              <w:rPr>
                <w:bCs/>
                <w:sz w:val="22"/>
                <w:szCs w:val="22"/>
              </w:rPr>
              <w:t xml:space="preserve"> 1 punktas, 25.3, 25.2 papunkčiai, Taisyklės papildomos 4.30, 6.31, 9.18, 15.8 ir 17.9 papunkčiais ir priedas išdėstomas nauja redakcija. </w:t>
            </w:r>
            <w:r w:rsidRPr="00562677">
              <w:rPr>
                <w:sz w:val="22"/>
                <w:szCs w:val="22"/>
                <w:highlight w:val="yellow"/>
              </w:rPr>
              <w:t xml:space="preserve"> </w:t>
            </w:r>
          </w:p>
          <w:p w:rsidR="00507286" w:rsidRPr="00D44271" w:rsidRDefault="00507286" w:rsidP="00507286">
            <w:pPr>
              <w:ind w:firstLine="720"/>
              <w:jc w:val="both"/>
              <w:rPr>
                <w:sz w:val="22"/>
                <w:szCs w:val="22"/>
              </w:rPr>
            </w:pPr>
            <w:r w:rsidRPr="00D44271">
              <w:rPr>
                <w:sz w:val="22"/>
                <w:szCs w:val="22"/>
              </w:rPr>
              <w:t xml:space="preserve">b) </w:t>
            </w:r>
            <w:r w:rsidR="00D44271" w:rsidRPr="00D44271">
              <w:rPr>
                <w:sz w:val="22"/>
                <w:szCs w:val="22"/>
              </w:rPr>
              <w:t xml:space="preserve">esant pagrįstam poreikiui į prioritetų įgyvendinimą įsitraukti kitiems subjektams, </w:t>
            </w:r>
            <w:r w:rsidRPr="00D44271">
              <w:rPr>
                <w:sz w:val="22"/>
                <w:szCs w:val="22"/>
              </w:rPr>
              <w:t>Taisyklių priede nurodomi</w:t>
            </w:r>
            <w:r w:rsidRPr="00D44271">
              <w:rPr>
                <w:sz w:val="22"/>
                <w:szCs w:val="22"/>
              </w:rPr>
              <w:t xml:space="preserve"> papildomi</w:t>
            </w:r>
            <w:r w:rsidRPr="00D44271">
              <w:rPr>
                <w:sz w:val="22"/>
                <w:szCs w:val="22"/>
              </w:rPr>
              <w:t xml:space="preserve"> subjektai, atsakingi už 2014–2020 metų Europos Sąjungos fondų investicijų veiksmų programos (toliau – veiksmų programa) prioritetų įgyvendinimą.</w:t>
            </w:r>
          </w:p>
          <w:p w:rsidR="00F43716" w:rsidRDefault="00507286" w:rsidP="00F43716">
            <w:pPr>
              <w:ind w:firstLine="720"/>
              <w:jc w:val="both"/>
              <w:rPr>
                <w:sz w:val="22"/>
                <w:szCs w:val="22"/>
              </w:rPr>
            </w:pPr>
            <w:r>
              <w:t>c)</w:t>
            </w:r>
            <w:r w:rsidRPr="00F43716">
              <w:rPr>
                <w:sz w:val="22"/>
                <w:szCs w:val="22"/>
              </w:rPr>
              <w:t xml:space="preserve"> </w:t>
            </w:r>
            <w:r w:rsidR="00D44271" w:rsidRPr="00F43716">
              <w:rPr>
                <w:sz w:val="22"/>
                <w:szCs w:val="22"/>
              </w:rPr>
              <w:t xml:space="preserve">į nutarimo projektą įtraukiama nauja sąvoka – bandomoji iniciatyva. </w:t>
            </w:r>
            <w:r w:rsidRPr="00F43716">
              <w:rPr>
                <w:sz w:val="22"/>
                <w:szCs w:val="22"/>
              </w:rPr>
              <w:t>Ministerijoms numatoma išimtis nesudaryti ir netvirtinti valstybės projektų sąrašų, kai įgyvend</w:t>
            </w:r>
            <w:r w:rsidR="00D44271" w:rsidRPr="00F43716">
              <w:rPr>
                <w:sz w:val="22"/>
                <w:szCs w:val="22"/>
              </w:rPr>
              <w:t xml:space="preserve">inamos bandomosios iniciatyvos. </w:t>
            </w:r>
            <w:r w:rsidR="00F43716" w:rsidRPr="00F43716">
              <w:rPr>
                <w:sz w:val="22"/>
                <w:szCs w:val="22"/>
              </w:rPr>
              <w:t>Šiuo būdu įgyvendinami</w:t>
            </w:r>
            <w:r w:rsidR="00D44271" w:rsidRPr="00F43716">
              <w:rPr>
                <w:sz w:val="22"/>
                <w:szCs w:val="22"/>
              </w:rPr>
              <w:t xml:space="preserve"> eksperimentiniai</w:t>
            </w:r>
            <w:r w:rsidR="00FA23FE" w:rsidRPr="00F43716">
              <w:rPr>
                <w:sz w:val="22"/>
                <w:szCs w:val="22"/>
              </w:rPr>
              <w:t xml:space="preserve"> projektai atrenkami va</w:t>
            </w:r>
            <w:r w:rsidR="00D44271" w:rsidRPr="00F43716">
              <w:rPr>
                <w:sz w:val="22"/>
                <w:szCs w:val="22"/>
              </w:rPr>
              <w:t>lstybės projektų planavimo būdu</w:t>
            </w:r>
            <w:r w:rsidR="00FA23FE" w:rsidRPr="00F43716">
              <w:rPr>
                <w:sz w:val="22"/>
                <w:szCs w:val="22"/>
              </w:rPr>
              <w:t xml:space="preserve"> </w:t>
            </w:r>
            <w:r w:rsidR="00F43716" w:rsidRPr="00F43716">
              <w:rPr>
                <w:sz w:val="22"/>
                <w:szCs w:val="22"/>
              </w:rPr>
              <w:t>juos suplanuojant</w:t>
            </w:r>
            <w:r w:rsidR="00FA23FE" w:rsidRPr="00F43716">
              <w:rPr>
                <w:sz w:val="22"/>
                <w:szCs w:val="22"/>
              </w:rPr>
              <w:t xml:space="preserve"> Lietuvos Respublikos vidaus reikalų ministro tvirtinamose integruo</w:t>
            </w:r>
            <w:r w:rsidR="00F43716" w:rsidRPr="00F43716">
              <w:rPr>
                <w:sz w:val="22"/>
                <w:szCs w:val="22"/>
              </w:rPr>
              <w:t xml:space="preserve">tų teritorijų vystymo programose. </w:t>
            </w:r>
          </w:p>
          <w:p w:rsidR="00BC2B98" w:rsidRPr="00562677" w:rsidRDefault="00507286" w:rsidP="00F43716">
            <w:pPr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d) </w:t>
            </w:r>
            <w:r w:rsidRPr="00F43716">
              <w:rPr>
                <w:sz w:val="22"/>
                <w:szCs w:val="22"/>
              </w:rPr>
              <w:t xml:space="preserve">Viešajai įstaigai Centrinei projektų valdymo agentūrai priskiriamos funkcijos kurti ir plėtoti 2021–2027 metų Europos Sąjungos struktūrinių fondų kompiuterinę informacinę valdymo ir priežiūros sistemą bei interneto </w:t>
            </w:r>
            <w:r w:rsidRPr="00F43716">
              <w:rPr>
                <w:sz w:val="22"/>
                <w:szCs w:val="22"/>
              </w:rPr>
              <w:lastRenderedPageBreak/>
              <w:t xml:space="preserve">svetainę, skirtą informacijai apie 2021–2027 metų Europos Sąjungos fondų investicijų programą viešinti, dėl to </w:t>
            </w:r>
            <w:r w:rsidRPr="00F43716">
              <w:rPr>
                <w:bCs/>
                <w:sz w:val="22"/>
                <w:szCs w:val="22"/>
              </w:rPr>
              <w:t>Taisyklės papildomos 9.5</w:t>
            </w:r>
            <w:r w:rsidRPr="00F43716">
              <w:rPr>
                <w:bCs/>
                <w:sz w:val="22"/>
                <w:szCs w:val="22"/>
                <w:vertAlign w:val="superscript"/>
              </w:rPr>
              <w:t>2</w:t>
            </w:r>
            <w:r w:rsidRPr="00F43716">
              <w:rPr>
                <w:bCs/>
                <w:sz w:val="22"/>
                <w:szCs w:val="22"/>
              </w:rPr>
              <w:t xml:space="preserve"> ir 9.9</w:t>
            </w:r>
            <w:r w:rsidRPr="00F43716">
              <w:rPr>
                <w:bCs/>
                <w:sz w:val="22"/>
                <w:szCs w:val="22"/>
                <w:vertAlign w:val="superscript"/>
              </w:rPr>
              <w:t>2</w:t>
            </w:r>
            <w:r w:rsidRPr="00F43716">
              <w:rPr>
                <w:bCs/>
                <w:sz w:val="22"/>
                <w:szCs w:val="22"/>
              </w:rPr>
              <w:t xml:space="preserve"> papunkčiais.</w:t>
            </w:r>
            <w:r w:rsidR="00F43716">
              <w:rPr>
                <w:bCs/>
                <w:sz w:val="22"/>
                <w:szCs w:val="22"/>
              </w:rPr>
              <w:t xml:space="preserve"> Šių tarpusavyje tampriai susijusių sistemų koordinavimas vienoje įstaigoje užtikrins sklandesnį jų veikimą, bei savalaikį su jomis susijusių funkcionalumų atnaujinimą.</w:t>
            </w:r>
          </w:p>
        </w:tc>
        <w:tc>
          <w:tcPr>
            <w:tcW w:w="2693" w:type="dxa"/>
            <w:gridSpan w:val="2"/>
          </w:tcPr>
          <w:p w:rsidR="00BC2B98" w:rsidRPr="00562677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x tenkina</w:t>
            </w:r>
          </w:p>
          <w:p w:rsidR="00BC2B98" w:rsidRPr="00562677" w:rsidRDefault="00BC2B98" w:rsidP="00D021B7">
            <w:pPr>
              <w:jc w:val="both"/>
              <w:rPr>
                <w:sz w:val="22"/>
                <w:szCs w:val="22"/>
              </w:rPr>
            </w:pPr>
            <w:r w:rsidRPr="00562677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D20B9F">
        <w:trPr>
          <w:gridAfter w:val="1"/>
          <w:wAfter w:w="426" w:type="dxa"/>
          <w:trHeight w:val="902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678" w:type="dxa"/>
            <w:gridSpan w:val="2"/>
          </w:tcPr>
          <w:p w:rsidR="00BC2B98" w:rsidRPr="00AC7855" w:rsidRDefault="00912685" w:rsidP="00AF1EF6">
            <w:pPr>
              <w:tabs>
                <w:tab w:val="left" w:pos="10206"/>
              </w:tabs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Nutarimo pakeitimo p</w:t>
            </w:r>
            <w:r w:rsidR="00BC2B98" w:rsidRPr="00AC7855">
              <w:rPr>
                <w:bCs/>
                <w:sz w:val="22"/>
                <w:szCs w:val="22"/>
              </w:rPr>
              <w:t>rojekte nėra nuostatų ar spragų, kurios leistų dviprasmiškai aiškinti ir taikyti teisės aktą.</w:t>
            </w:r>
          </w:p>
          <w:p w:rsidR="00BC2B98" w:rsidRPr="00AC7855" w:rsidRDefault="00AE58EE" w:rsidP="0057462A">
            <w:pPr>
              <w:tabs>
                <w:tab w:val="left" w:pos="10206"/>
              </w:tabs>
              <w:jc w:val="both"/>
              <w:rPr>
                <w:color w:val="FF0000"/>
                <w:sz w:val="22"/>
                <w:szCs w:val="22"/>
              </w:rPr>
            </w:pPr>
            <w:r w:rsidRPr="00E909BE">
              <w:rPr>
                <w:bCs/>
                <w:sz w:val="22"/>
                <w:szCs w:val="22"/>
              </w:rPr>
              <w:t>V</w:t>
            </w:r>
            <w:r w:rsidR="0053264B" w:rsidRPr="00E909BE">
              <w:rPr>
                <w:bCs/>
                <w:sz w:val="22"/>
                <w:szCs w:val="22"/>
              </w:rPr>
              <w:t>isus v</w:t>
            </w:r>
            <w:r w:rsidRPr="00E909BE">
              <w:rPr>
                <w:bCs/>
                <w:sz w:val="22"/>
                <w:szCs w:val="22"/>
              </w:rPr>
              <w:t>eiksm</w:t>
            </w:r>
            <w:r w:rsidR="0053264B" w:rsidRPr="00E909BE">
              <w:rPr>
                <w:bCs/>
                <w:sz w:val="22"/>
                <w:szCs w:val="22"/>
              </w:rPr>
              <w:t>us</w:t>
            </w:r>
            <w:r w:rsidR="0034136F" w:rsidRPr="00E909BE">
              <w:rPr>
                <w:sz w:val="22"/>
                <w:szCs w:val="22"/>
              </w:rPr>
              <w:t xml:space="preserve"> </w:t>
            </w:r>
            <w:r w:rsidR="0053264B" w:rsidRPr="00E909BE">
              <w:rPr>
                <w:sz w:val="22"/>
                <w:szCs w:val="22"/>
              </w:rPr>
              <w:t xml:space="preserve">atliks </w:t>
            </w:r>
            <w:r w:rsidR="00E909BE" w:rsidRPr="00E909BE">
              <w:rPr>
                <w:sz w:val="22"/>
                <w:szCs w:val="22"/>
              </w:rPr>
              <w:t xml:space="preserve">Atsakomybės ir funkcijų paskirstymo tarp institucijų, įgyvendinant 2014–2020 metų Europos Sąjungos fondų investicijų veiksmų programą, taisyklėse, patvirtintose Lietuvos Respublikos Vyriausybės 2014 m. birželio 4 d. nutarimu Nr. 528 „Dėl </w:t>
            </w:r>
            <w:r w:rsidR="00E909BE">
              <w:rPr>
                <w:sz w:val="22"/>
                <w:szCs w:val="22"/>
              </w:rPr>
              <w:t>A</w:t>
            </w:r>
            <w:r w:rsidR="00E909BE" w:rsidRPr="00E909BE">
              <w:rPr>
                <w:sz w:val="22"/>
                <w:szCs w:val="22"/>
              </w:rPr>
              <w:t xml:space="preserve">tsakomybės ir funkcijų paskirstymo tarp institucijų, įgyvendinant 2014–2020 metų Europos Sąjungos fondų investicijų veiksmų programą“, </w:t>
            </w:r>
            <w:r w:rsidR="00F43716">
              <w:rPr>
                <w:sz w:val="22"/>
                <w:szCs w:val="22"/>
              </w:rPr>
              <w:t xml:space="preserve"> nurodytos institucijos.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3.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4678" w:type="dxa"/>
            <w:gridSpan w:val="2"/>
          </w:tcPr>
          <w:p w:rsidR="0034136F" w:rsidRPr="00AC7855" w:rsidRDefault="0034136F" w:rsidP="0034136F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  <w:p w:rsidR="007647C3" w:rsidRPr="00AC7855" w:rsidRDefault="007647C3" w:rsidP="00F65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459"/>
        </w:trPr>
        <w:tc>
          <w:tcPr>
            <w:tcW w:w="545" w:type="dxa"/>
          </w:tcPr>
          <w:p w:rsidR="00BC2B98" w:rsidRPr="00AC7855" w:rsidRDefault="00BC2B98" w:rsidP="00D94D16">
            <w:pPr>
              <w:tabs>
                <w:tab w:val="center" w:pos="246"/>
              </w:tabs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4.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4678" w:type="dxa"/>
            <w:gridSpan w:val="2"/>
          </w:tcPr>
          <w:p w:rsidR="009C0E4C" w:rsidRPr="00AC7855" w:rsidRDefault="0034136F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5.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projekte nustatytas baigtinis </w:t>
            </w:r>
            <w:r w:rsidRPr="00AC7855">
              <w:rPr>
                <w:sz w:val="22"/>
                <w:szCs w:val="22"/>
              </w:rPr>
              <w:lastRenderedPageBreak/>
              <w:t>sprendimo priėmimo kriterijų (atvejų) sąrašas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color w:val="FF0000"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lastRenderedPageBreak/>
              <w:t xml:space="preserve">Netaikoma. Nutarimo projektu neatliekami šiam </w:t>
            </w:r>
            <w:r w:rsidRPr="00AC7855">
              <w:rPr>
                <w:bCs/>
                <w:sz w:val="22"/>
                <w:szCs w:val="22"/>
              </w:rPr>
              <w:lastRenderedPageBreak/>
              <w:t>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pStyle w:val="Sraopastraipa"/>
              <w:widowControl w:val="0"/>
              <w:tabs>
                <w:tab w:val="left" w:pos="1276"/>
                <w:tab w:val="left" w:pos="1418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678" w:type="dxa"/>
            <w:gridSpan w:val="2"/>
          </w:tcPr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AC7855" w:rsidRDefault="009C0E4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7.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8.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678" w:type="dxa"/>
            <w:gridSpan w:val="2"/>
          </w:tcPr>
          <w:p w:rsidR="00D5128C" w:rsidRPr="00AC7855" w:rsidRDefault="00BC2B98" w:rsidP="0057462A">
            <w:pPr>
              <w:jc w:val="both"/>
              <w:rPr>
                <w:b/>
                <w:b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Netaikoma. Nutarimo projektu neatliekami šiam klausimui aktualūs keitimai,</w:t>
            </w:r>
            <w:r w:rsidRPr="00AC7855">
              <w:rPr>
                <w:sz w:val="22"/>
                <w:szCs w:val="22"/>
              </w:rPr>
              <w:t xml:space="preserve"> t. y. nėra įtvirtinamos naujos ir nekeičiamos jau galiojančios nuostatos.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9.3</w:t>
            </w:r>
            <w:r w:rsidRPr="00AC7855">
              <w:rPr>
                <w:spacing w:val="-4"/>
                <w:sz w:val="22"/>
                <w:szCs w:val="22"/>
              </w:rPr>
              <w:t>. narių skyrimo mechanizmas;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9.4. narių rotacija ir kadencijų skaičius ir trukmė;</w:t>
            </w:r>
          </w:p>
          <w:p w:rsidR="00BC2B98" w:rsidRPr="00AC7855" w:rsidRDefault="00BC2B98" w:rsidP="00D021B7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9.5. veiklos pobūdis laiko atžvilgiu;</w:t>
            </w:r>
          </w:p>
          <w:p w:rsidR="00784943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678" w:type="dxa"/>
            <w:gridSpan w:val="2"/>
          </w:tcPr>
          <w:p w:rsidR="00BC2B98" w:rsidRPr="00AC7855" w:rsidRDefault="003F2C93" w:rsidP="003F2C93">
            <w:pPr>
              <w:tabs>
                <w:tab w:val="left" w:pos="1027"/>
                <w:tab w:val="left" w:pos="102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>Netaikoma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AC7855">
              <w:rPr>
                <w:color w:val="000000"/>
                <w:sz w:val="22"/>
                <w:szCs w:val="22"/>
                <w:shd w:val="clear" w:color="auto" w:fill="FFFFFF"/>
              </w:rPr>
              <w:t>būtinos</w:t>
            </w:r>
            <w:r w:rsidRPr="00AC7855">
              <w:rPr>
                <w:sz w:val="22"/>
                <w:szCs w:val="22"/>
                <w:shd w:val="clear" w:color="auto" w:fill="FFFFFF"/>
              </w:rPr>
              <w:t>,</w:t>
            </w:r>
            <w:r w:rsidRPr="00AC7855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678" w:type="dxa"/>
            <w:gridSpan w:val="2"/>
          </w:tcPr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AC7855" w:rsidRDefault="009C0E4C" w:rsidP="00D021B7">
            <w:pPr>
              <w:jc w:val="both"/>
              <w:rPr>
                <w:bCs/>
                <w:sz w:val="22"/>
                <w:szCs w:val="22"/>
              </w:rPr>
            </w:pPr>
          </w:p>
          <w:p w:rsidR="00D5128C" w:rsidRPr="00AC7855" w:rsidRDefault="00D5128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11.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678" w:type="dxa"/>
            <w:gridSpan w:val="2"/>
          </w:tcPr>
          <w:p w:rsidR="00C95ED6" w:rsidRPr="00AC7855" w:rsidRDefault="00C95ED6" w:rsidP="00C95ED6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12.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678" w:type="dxa"/>
            <w:gridSpan w:val="2"/>
          </w:tcPr>
          <w:p w:rsidR="009C0E4C" w:rsidRPr="00AC7855" w:rsidRDefault="00F07F4E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Netaikoma</w:t>
            </w:r>
            <w:r w:rsidRPr="00AC7855" w:rsidDel="00F07F4E">
              <w:rPr>
                <w:sz w:val="22"/>
                <w:szCs w:val="22"/>
              </w:rPr>
              <w:t xml:space="preserve"> </w:t>
            </w:r>
          </w:p>
          <w:p w:rsidR="00BC2B98" w:rsidRPr="00AC7855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13.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678" w:type="dxa"/>
            <w:gridSpan w:val="2"/>
          </w:tcPr>
          <w:p w:rsidR="009C0E4C" w:rsidRPr="00AC7855" w:rsidRDefault="00F07F4E" w:rsidP="009C0E4C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Netaikoma</w:t>
            </w:r>
            <w:r w:rsidRPr="00AC7855" w:rsidDel="00F07F4E">
              <w:rPr>
                <w:sz w:val="22"/>
                <w:szCs w:val="22"/>
              </w:rPr>
              <w:t xml:space="preserve"> </w:t>
            </w:r>
          </w:p>
          <w:p w:rsidR="00BC2B98" w:rsidRPr="00AC7855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14.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15.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bCs/>
                <w:sz w:val="22"/>
                <w:szCs w:val="22"/>
              </w:rPr>
            </w:pPr>
            <w:r w:rsidRPr="00AC7855">
              <w:rPr>
                <w:bCs/>
                <w:sz w:val="22"/>
                <w:szCs w:val="22"/>
              </w:rPr>
              <w:t xml:space="preserve">Netaikoma. </w:t>
            </w:r>
            <w:r w:rsidR="004845F6" w:rsidRPr="00AC7855">
              <w:rPr>
                <w:bCs/>
                <w:sz w:val="22"/>
                <w:szCs w:val="22"/>
              </w:rPr>
              <w:t>Nutarimo pakeitimo p</w:t>
            </w:r>
            <w:r w:rsidRPr="00AC7855">
              <w:rPr>
                <w:bCs/>
                <w:sz w:val="22"/>
                <w:szCs w:val="22"/>
              </w:rPr>
              <w:t>rojektas nenustato kontrolės (priežiūros) procedūrų ir jos atlikimo kriterijų.</w:t>
            </w:r>
          </w:p>
          <w:p w:rsidR="00BC2B98" w:rsidRPr="00AC7855" w:rsidRDefault="00BC2B98" w:rsidP="00D021B7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D94D16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16.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18.</w:t>
            </w:r>
          </w:p>
        </w:tc>
        <w:tc>
          <w:tcPr>
            <w:tcW w:w="3991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rPr>
          <w:gridAfter w:val="1"/>
          <w:wAfter w:w="426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19.</w:t>
            </w:r>
          </w:p>
        </w:tc>
        <w:tc>
          <w:tcPr>
            <w:tcW w:w="3991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678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Nėra</w:t>
            </w:r>
          </w:p>
        </w:tc>
        <w:tc>
          <w:tcPr>
            <w:tcW w:w="2693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x </w:t>
            </w:r>
            <w:r w:rsidR="00D94D16" w:rsidRPr="00AC7855">
              <w:rPr>
                <w:sz w:val="22"/>
                <w:szCs w:val="22"/>
              </w:rPr>
              <w:t>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1B781D" w:rsidRDefault="00BC2B98" w:rsidP="00D021B7">
            <w:pPr>
              <w:rPr>
                <w:sz w:val="22"/>
                <w:szCs w:val="22"/>
              </w:rPr>
            </w:pPr>
            <w:r w:rsidRPr="001B781D">
              <w:rPr>
                <w:sz w:val="22"/>
                <w:szCs w:val="22"/>
              </w:rPr>
              <w:t>Lietuvos Respublikos finansų ministerijos</w:t>
            </w:r>
          </w:p>
          <w:p w:rsidR="000E4E6D" w:rsidRPr="00AC7855" w:rsidRDefault="00F07F4E" w:rsidP="00C95ED6">
            <w:pPr>
              <w:rPr>
                <w:sz w:val="22"/>
                <w:szCs w:val="22"/>
              </w:rPr>
            </w:pPr>
            <w:r w:rsidRPr="001B781D">
              <w:rPr>
                <w:rFonts w:eastAsia="Calibri"/>
                <w:sz w:val="22"/>
                <w:szCs w:val="22"/>
                <w:lang w:eastAsia="en-US"/>
              </w:rPr>
              <w:t xml:space="preserve">Investicijų </w:t>
            </w:r>
            <w:r w:rsidR="000E4E6D" w:rsidRPr="001B781D"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BC2B98" w:rsidRPr="001B781D">
              <w:rPr>
                <w:rFonts w:eastAsia="Calibri"/>
                <w:sz w:val="22"/>
                <w:szCs w:val="22"/>
                <w:lang w:eastAsia="en-US"/>
              </w:rPr>
              <w:t>epartamento</w:t>
            </w:r>
            <w:r w:rsidR="00C95ED6" w:rsidRPr="001B781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7333C" w:rsidRPr="001B781D">
              <w:rPr>
                <w:sz w:val="22"/>
                <w:szCs w:val="22"/>
              </w:rPr>
              <w:t xml:space="preserve">Valdymo ir kontrolės sistemų priežiūros skyriaus patarėja Ilma </w:t>
            </w:r>
            <w:proofErr w:type="spellStart"/>
            <w:r w:rsidR="0037333C" w:rsidRPr="001B781D">
              <w:rPr>
                <w:sz w:val="22"/>
                <w:szCs w:val="22"/>
              </w:rPr>
              <w:t>Skukauskaitė</w:t>
            </w:r>
            <w:proofErr w:type="spellEnd"/>
          </w:p>
        </w:tc>
        <w:tc>
          <w:tcPr>
            <w:tcW w:w="2434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color w:val="FF0000"/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0E4E6D" w:rsidRPr="00AC7855" w:rsidRDefault="000E4E6D" w:rsidP="000E4E6D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BC2B98" w:rsidRPr="00AC7855" w:rsidRDefault="00F07F4E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nvestic</w:t>
            </w:r>
            <w:r>
              <w:rPr>
                <w:rFonts w:eastAsia="Calibri"/>
                <w:sz w:val="22"/>
                <w:szCs w:val="22"/>
                <w:lang w:eastAsia="en-US"/>
              </w:rPr>
              <w:t>ijų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departamento</w:t>
            </w:r>
            <w:r w:rsidR="001B781D">
              <w:rPr>
                <w:rFonts w:eastAsia="Calibri"/>
                <w:sz w:val="22"/>
                <w:szCs w:val="22"/>
                <w:lang w:eastAsia="en-US"/>
              </w:rPr>
              <w:t xml:space="preserve"> Kokybės užtikrinimo skyriaus patarėja Laimutė Žukauskienė</w:t>
            </w:r>
          </w:p>
          <w:p w:rsidR="00F07F4E" w:rsidRPr="00AC7855" w:rsidRDefault="00F07F4E" w:rsidP="000E4E6D">
            <w:pPr>
              <w:rPr>
                <w:sz w:val="22"/>
                <w:szCs w:val="22"/>
              </w:rPr>
            </w:pP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(vardas ir pavardė)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 (vardas ir pavardė)</w:t>
            </w: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1B781D" w:rsidP="00D02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2020 09 14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5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1B781D" w:rsidP="00D021B7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2020 09 14</w:t>
            </w:r>
          </w:p>
        </w:tc>
      </w:tr>
      <w:tr w:rsidR="000A7A10" w:rsidRPr="00AC7855" w:rsidTr="000A7A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4773" w:type="dxa"/>
            <w:gridSpan w:val="2"/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                        (data)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5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                         (data)</w:t>
            </w:r>
          </w:p>
        </w:tc>
      </w:tr>
    </w:tbl>
    <w:p w:rsidR="00C95ED6" w:rsidRPr="00AC7855" w:rsidRDefault="00C95ED6" w:rsidP="000A7A10">
      <w:pPr>
        <w:pStyle w:val="Antrats"/>
        <w:tabs>
          <w:tab w:val="clear" w:pos="4153"/>
          <w:tab w:val="clear" w:pos="8306"/>
          <w:tab w:val="left" w:pos="6237"/>
        </w:tabs>
        <w:rPr>
          <w:sz w:val="16"/>
          <w:szCs w:val="16"/>
        </w:rPr>
      </w:pPr>
    </w:p>
    <w:p w:rsidR="00CA70B2" w:rsidRPr="00AC7855" w:rsidRDefault="000A7A10" w:rsidP="000A7A1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16"/>
          <w:szCs w:val="16"/>
        </w:rPr>
      </w:pPr>
      <w:r w:rsidRPr="00AC7855">
        <w:rPr>
          <w:sz w:val="16"/>
          <w:szCs w:val="16"/>
        </w:rPr>
        <w:t>––––––––––––––––––––</w:t>
      </w:r>
    </w:p>
    <w:sectPr w:rsidR="00CA70B2" w:rsidRPr="00AC7855" w:rsidSect="000A7A10">
      <w:headerReference w:type="default" r:id="rId9"/>
      <w:pgSz w:w="16838" w:h="11906" w:orient="landscape" w:code="9"/>
      <w:pgMar w:top="1418" w:right="1077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366" w:rsidRDefault="00D93366" w:rsidP="00BC2B98">
      <w:r>
        <w:separator/>
      </w:r>
    </w:p>
  </w:endnote>
  <w:endnote w:type="continuationSeparator" w:id="0">
    <w:p w:rsidR="00D93366" w:rsidRDefault="00D93366" w:rsidP="00BC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366" w:rsidRDefault="00D93366" w:rsidP="00BC2B98">
      <w:r>
        <w:separator/>
      </w:r>
    </w:p>
  </w:footnote>
  <w:footnote w:type="continuationSeparator" w:id="0">
    <w:p w:rsidR="00D93366" w:rsidRDefault="00D93366" w:rsidP="00BC2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BE" w:rsidRDefault="00E909BE" w:rsidP="00D021B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C0F91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E909BE" w:rsidRDefault="00E909BE">
    <w:pPr>
      <w:pStyle w:val="Antrats"/>
    </w:pPr>
  </w:p>
  <w:p w:rsidR="00E909BE" w:rsidRDefault="00E909BE" w:rsidP="00D021B7">
    <w:pPr>
      <w:pStyle w:val="Antrats"/>
      <w:jc w:val="center"/>
    </w:pPr>
  </w:p>
  <w:p w:rsidR="00E909BE" w:rsidRDefault="00E909BE" w:rsidP="00D021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BFF"/>
    <w:multiLevelType w:val="hybridMultilevel"/>
    <w:tmpl w:val="052C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35F02"/>
    <w:multiLevelType w:val="hybridMultilevel"/>
    <w:tmpl w:val="94FE479C"/>
    <w:lvl w:ilvl="0" w:tplc="D460F4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98"/>
    <w:rsid w:val="000A7A10"/>
    <w:rsid w:val="000B2FE6"/>
    <w:rsid w:val="000E4E6D"/>
    <w:rsid w:val="000F2DF1"/>
    <w:rsid w:val="001B781D"/>
    <w:rsid w:val="00312280"/>
    <w:rsid w:val="00314546"/>
    <w:rsid w:val="0034136F"/>
    <w:rsid w:val="0037333C"/>
    <w:rsid w:val="003A78B5"/>
    <w:rsid w:val="003D0696"/>
    <w:rsid w:val="003F2C93"/>
    <w:rsid w:val="004845F6"/>
    <w:rsid w:val="004A202E"/>
    <w:rsid w:val="004C0F91"/>
    <w:rsid w:val="00507286"/>
    <w:rsid w:val="0053264B"/>
    <w:rsid w:val="00562677"/>
    <w:rsid w:val="00573C1F"/>
    <w:rsid w:val="0057462A"/>
    <w:rsid w:val="00577083"/>
    <w:rsid w:val="005A157E"/>
    <w:rsid w:val="005B3AD2"/>
    <w:rsid w:val="0068355B"/>
    <w:rsid w:val="007647C3"/>
    <w:rsid w:val="00765784"/>
    <w:rsid w:val="00776D61"/>
    <w:rsid w:val="00784943"/>
    <w:rsid w:val="007A439F"/>
    <w:rsid w:val="007F0148"/>
    <w:rsid w:val="008034AC"/>
    <w:rsid w:val="00864A5A"/>
    <w:rsid w:val="008A18C1"/>
    <w:rsid w:val="008A7AED"/>
    <w:rsid w:val="008B4400"/>
    <w:rsid w:val="008D0CC9"/>
    <w:rsid w:val="00901145"/>
    <w:rsid w:val="00912685"/>
    <w:rsid w:val="00917BC5"/>
    <w:rsid w:val="00940D11"/>
    <w:rsid w:val="00941442"/>
    <w:rsid w:val="00983100"/>
    <w:rsid w:val="009C0E4C"/>
    <w:rsid w:val="009D64F9"/>
    <w:rsid w:val="00A8304C"/>
    <w:rsid w:val="00AC7855"/>
    <w:rsid w:val="00AE58EE"/>
    <w:rsid w:val="00AF1EF6"/>
    <w:rsid w:val="00BA7856"/>
    <w:rsid w:val="00BB76CA"/>
    <w:rsid w:val="00BC2B98"/>
    <w:rsid w:val="00BD41CD"/>
    <w:rsid w:val="00C86FB6"/>
    <w:rsid w:val="00C95ED6"/>
    <w:rsid w:val="00CA70B2"/>
    <w:rsid w:val="00CD2160"/>
    <w:rsid w:val="00CF5D26"/>
    <w:rsid w:val="00D01D41"/>
    <w:rsid w:val="00D021B7"/>
    <w:rsid w:val="00D20B9F"/>
    <w:rsid w:val="00D44271"/>
    <w:rsid w:val="00D44BAE"/>
    <w:rsid w:val="00D5128C"/>
    <w:rsid w:val="00D93366"/>
    <w:rsid w:val="00D94D16"/>
    <w:rsid w:val="00DA3413"/>
    <w:rsid w:val="00DA5E88"/>
    <w:rsid w:val="00E6571D"/>
    <w:rsid w:val="00E82E10"/>
    <w:rsid w:val="00E909BE"/>
    <w:rsid w:val="00F07F4E"/>
    <w:rsid w:val="00F43716"/>
    <w:rsid w:val="00F65399"/>
    <w:rsid w:val="00F662CF"/>
    <w:rsid w:val="00F67C7A"/>
    <w:rsid w:val="00FA23FE"/>
    <w:rsid w:val="00FD030C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B379-C701-4306-BFF7-FA131A84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6001</Words>
  <Characters>3422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Žukauskienė</dc:creator>
  <cp:lastModifiedBy>Ilma Skukauskaitė</cp:lastModifiedBy>
  <cp:revision>4</cp:revision>
  <cp:lastPrinted>2019-10-24T10:25:00Z</cp:lastPrinted>
  <dcterms:created xsi:type="dcterms:W3CDTF">2020-09-14T14:41:00Z</dcterms:created>
  <dcterms:modified xsi:type="dcterms:W3CDTF">2020-09-15T06:12:00Z</dcterms:modified>
</cp:coreProperties>
</file>