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D1AAE" w14:textId="77777777" w:rsidR="001C711C" w:rsidRPr="0042380A" w:rsidRDefault="001C711C" w:rsidP="0042380A">
      <w:pPr>
        <w:pStyle w:val="Pagrindiniotekstotrauka2"/>
        <w:tabs>
          <w:tab w:val="left" w:pos="0"/>
        </w:tabs>
        <w:spacing w:after="0" w:line="240" w:lineRule="auto"/>
        <w:ind w:left="0"/>
        <w:jc w:val="center"/>
        <w:outlineLvl w:val="0"/>
        <w:rPr>
          <w:b/>
          <w:szCs w:val="24"/>
        </w:rPr>
      </w:pPr>
      <w:r w:rsidRPr="0042380A">
        <w:rPr>
          <w:rStyle w:val="Numatytasispastraiposriftas1"/>
          <w:b/>
          <w:bCs/>
          <w:szCs w:val="24"/>
          <w:shd w:val="clear" w:color="auto" w:fill="FFFFFF"/>
        </w:rPr>
        <w:t>2015 M. BIRŽELIO 25 D. KOMISIJOS ĮGYVENDINIMO REGLAMENTO (ES) NR. 2015/1013, KURIUO IŠDĖSTOMOS SU EUROPOS PARLAMENTO IR TARYBOS REGLAMENTU (EB) NR. 273/2004 DĖL NARKOTINIŲ MEDŽIAGŲ PIRMTAKŲ (PREKURSORIŲ) IR TARYBOS REGLAMENTU (EB) NR. 111/2005, NUSTATANČIU PREKYBOS NARKOTINIŲ IR PSICHOTROPINIŲ MEDŽIAGŲ PIRMTAKAIS (PREKURSORIAIS) TARP SĄJUNGOS IR TREČIŲJŲ ŠALIŲ STEBĖSENOS TAISYKLES, SUSIJUSIOS TAISYKLĖS</w:t>
      </w:r>
      <w:r w:rsidRPr="0042380A">
        <w:rPr>
          <w:b/>
          <w:szCs w:val="24"/>
        </w:rPr>
        <w:t xml:space="preserve"> </w:t>
      </w:r>
    </w:p>
    <w:p w14:paraId="34453757" w14:textId="77777777" w:rsidR="00440337" w:rsidRPr="0042380A" w:rsidRDefault="00891F25" w:rsidP="0042380A">
      <w:pPr>
        <w:pStyle w:val="Pagrindiniotekstotrauka2"/>
        <w:tabs>
          <w:tab w:val="left" w:pos="0"/>
        </w:tabs>
        <w:spacing w:after="0" w:line="240" w:lineRule="auto"/>
        <w:ind w:left="0"/>
        <w:jc w:val="center"/>
        <w:outlineLvl w:val="0"/>
        <w:rPr>
          <w:b/>
          <w:szCs w:val="24"/>
        </w:rPr>
      </w:pPr>
      <w:r w:rsidRPr="0042380A">
        <w:rPr>
          <w:b/>
          <w:szCs w:val="24"/>
        </w:rPr>
        <w:t xml:space="preserve">IR </w:t>
      </w:r>
    </w:p>
    <w:p w14:paraId="5E68CBF0" w14:textId="77777777" w:rsidR="00165E7C" w:rsidRPr="0042380A" w:rsidRDefault="00165E7C" w:rsidP="0042380A">
      <w:pPr>
        <w:pStyle w:val="prastasis1"/>
        <w:spacing w:before="0"/>
        <w:rPr>
          <w:b/>
        </w:rPr>
      </w:pPr>
      <w:r w:rsidRPr="0042380A">
        <w:rPr>
          <w:b/>
        </w:rPr>
        <w:t>LIETUVOS RESPUBLIKOS VYRIAUSYBĖS 2006 M. KOVO 9 D. NUTARIMO NR. 221 „DĖL</w:t>
      </w:r>
      <w:r w:rsidRPr="0042380A">
        <w:t xml:space="preserve"> </w:t>
      </w:r>
      <w:r w:rsidRPr="0042380A">
        <w:rPr>
          <w:b/>
        </w:rPr>
        <w:t xml:space="preserve">VEIKLOS, SUSIJUSIOS SU NARKOTINIŲ IR PSICHOTROPINIŲ MEDŽIAGŲ PIRMTAKAIS (PREKURSORIAIS), LICENCIJAVIMO, VIETOS REGISTRAVIMO, </w:t>
      </w:r>
    </w:p>
    <w:p w14:paraId="75648D07" w14:textId="77777777" w:rsidR="00165E7C" w:rsidRPr="0042380A" w:rsidRDefault="00165E7C" w:rsidP="0042380A">
      <w:pPr>
        <w:pStyle w:val="prastasis1"/>
        <w:spacing w:before="0"/>
        <w:jc w:val="center"/>
        <w:rPr>
          <w:b/>
        </w:rPr>
      </w:pPr>
      <w:r w:rsidRPr="0042380A">
        <w:rPr>
          <w:b/>
        </w:rPr>
        <w:t xml:space="preserve">IMPORTO IR EKSPORTO LEIDIMŲ IŠDAVIMO IR ŠIOS VEIKLOS PRIEŽIŪROS IR KONTROLĖS VYKDYMO TAISYKLIŲ PATVIRTINIMO“ </w:t>
      </w:r>
      <w:r w:rsidRPr="0042380A">
        <w:rPr>
          <w:b/>
          <w:color w:val="000000"/>
        </w:rPr>
        <w:t>PAKEITIMO PROJEKTO</w:t>
      </w:r>
    </w:p>
    <w:p w14:paraId="1D5741E5" w14:textId="77777777" w:rsidR="00737148" w:rsidRPr="0042380A" w:rsidRDefault="00891F25" w:rsidP="0042380A">
      <w:pPr>
        <w:pStyle w:val="Pagrindiniotekstotrauka2"/>
        <w:tabs>
          <w:tab w:val="left" w:pos="0"/>
        </w:tabs>
        <w:spacing w:after="0" w:line="240" w:lineRule="auto"/>
        <w:ind w:left="0"/>
        <w:jc w:val="center"/>
        <w:outlineLvl w:val="0"/>
        <w:rPr>
          <w:b/>
          <w:szCs w:val="24"/>
        </w:rPr>
      </w:pPr>
      <w:r w:rsidRPr="0042380A">
        <w:rPr>
          <w:b/>
          <w:szCs w:val="24"/>
        </w:rPr>
        <w:t>ATITIKTIES LENTELĖ</w:t>
      </w:r>
    </w:p>
    <w:p w14:paraId="3787BB5E" w14:textId="77777777" w:rsidR="00273298" w:rsidRPr="0042380A" w:rsidRDefault="00273298" w:rsidP="0042380A">
      <w:pPr>
        <w:pStyle w:val="Pagrindiniotekstotrauka2"/>
        <w:tabs>
          <w:tab w:val="left" w:pos="0"/>
        </w:tabs>
        <w:spacing w:after="0" w:line="240" w:lineRule="auto"/>
        <w:ind w:left="0"/>
        <w:jc w:val="center"/>
        <w:outlineLvl w:val="0"/>
        <w:rPr>
          <w:b/>
          <w:szCs w:val="24"/>
        </w:rPr>
      </w:pP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812"/>
        <w:gridCol w:w="6946"/>
        <w:gridCol w:w="1984"/>
      </w:tblGrid>
      <w:tr w:rsidR="00F53BA4" w:rsidRPr="0042380A" w14:paraId="0D77C5EF" w14:textId="77777777" w:rsidTr="00F53BA4">
        <w:tc>
          <w:tcPr>
            <w:tcW w:w="5812" w:type="dxa"/>
          </w:tcPr>
          <w:p w14:paraId="6D2BE26F" w14:textId="77777777" w:rsidR="00F53BA4" w:rsidRPr="00CC7E15" w:rsidRDefault="00F53BA4" w:rsidP="0042380A">
            <w:pPr>
              <w:pStyle w:val="Pagrindiniotekstotrauka2"/>
              <w:tabs>
                <w:tab w:val="left" w:pos="0"/>
              </w:tabs>
              <w:spacing w:after="0" w:line="240" w:lineRule="auto"/>
              <w:ind w:left="0"/>
              <w:jc w:val="both"/>
              <w:outlineLvl w:val="0"/>
              <w:rPr>
                <w:b/>
                <w:bCs/>
                <w:color w:val="000000" w:themeColor="text1"/>
                <w:szCs w:val="24"/>
                <w:lang w:eastAsia="lt-LT"/>
              </w:rPr>
            </w:pPr>
            <w:r w:rsidRPr="00CC7E15">
              <w:rPr>
                <w:rStyle w:val="Numatytasispastraiposriftas1"/>
                <w:b/>
                <w:bCs/>
                <w:color w:val="000000" w:themeColor="text1"/>
                <w:szCs w:val="24"/>
                <w:shd w:val="clear" w:color="auto" w:fill="FFFFFF"/>
              </w:rPr>
              <w:t>2015 m. birželio 25 d. Komisijos įgyvendinimo reglamento (ES) Nr. 2015/1013, kuriuo išdėstomos su Europos Parlamento ir Tarybos reglamentu (EB) Nr. 273/2004 dėl narkotinių medžiagų pirmtakų (</w:t>
            </w:r>
            <w:proofErr w:type="spellStart"/>
            <w:r w:rsidRPr="00CC7E15">
              <w:rPr>
                <w:rStyle w:val="Numatytasispastraiposriftas1"/>
                <w:b/>
                <w:bCs/>
                <w:color w:val="000000" w:themeColor="text1"/>
                <w:szCs w:val="24"/>
                <w:shd w:val="clear" w:color="auto" w:fill="FFFFFF"/>
              </w:rPr>
              <w:t>prekursorių</w:t>
            </w:r>
            <w:proofErr w:type="spellEnd"/>
            <w:r w:rsidRPr="00CC7E15">
              <w:rPr>
                <w:rStyle w:val="Numatytasispastraiposriftas1"/>
                <w:b/>
                <w:bCs/>
                <w:color w:val="000000" w:themeColor="text1"/>
                <w:szCs w:val="24"/>
                <w:shd w:val="clear" w:color="auto" w:fill="FFFFFF"/>
              </w:rPr>
              <w:t>) ir Tarybos reglamentu (EB) Nr. 111/2005, nustatančiu prekybos narkotinių ir psichotropinių medžiagų pirmtakais (</w:t>
            </w:r>
            <w:proofErr w:type="spellStart"/>
            <w:r w:rsidRPr="00CC7E15">
              <w:rPr>
                <w:rStyle w:val="Numatytasispastraiposriftas1"/>
                <w:b/>
                <w:bCs/>
                <w:color w:val="000000" w:themeColor="text1"/>
                <w:szCs w:val="24"/>
                <w:shd w:val="clear" w:color="auto" w:fill="FFFFFF"/>
              </w:rPr>
              <w:t>prekursoriais</w:t>
            </w:r>
            <w:proofErr w:type="spellEnd"/>
            <w:r w:rsidRPr="00CC7E15">
              <w:rPr>
                <w:rStyle w:val="Numatytasispastraiposriftas1"/>
                <w:b/>
                <w:bCs/>
                <w:color w:val="000000" w:themeColor="text1"/>
                <w:szCs w:val="24"/>
                <w:shd w:val="clear" w:color="auto" w:fill="FFFFFF"/>
              </w:rPr>
              <w:t>) tarp Sąjungos ir trečiųjų šalių stebėsenos taisykles, susijusios taisyklės</w:t>
            </w:r>
          </w:p>
        </w:tc>
        <w:tc>
          <w:tcPr>
            <w:tcW w:w="6946" w:type="dxa"/>
          </w:tcPr>
          <w:p w14:paraId="7C7BA7DE" w14:textId="0894192D" w:rsidR="00F53BA4" w:rsidRPr="00A35284" w:rsidRDefault="00F53BA4" w:rsidP="0042380A">
            <w:pPr>
              <w:jc w:val="both"/>
              <w:rPr>
                <w:b/>
                <w:szCs w:val="24"/>
              </w:rPr>
            </w:pPr>
            <w:r w:rsidRPr="0042380A">
              <w:rPr>
                <w:b/>
                <w:szCs w:val="24"/>
              </w:rPr>
              <w:t>L</w:t>
            </w:r>
            <w:r w:rsidRPr="0042380A">
              <w:rPr>
                <w:b/>
                <w:bCs/>
                <w:szCs w:val="24"/>
              </w:rPr>
              <w:t>ietuvos Respublikos Vyriausybės nutarimo „Dėl Lietuvos Respublikos Vyriausybės 2006 m. kovo 9 d. nutarimo Nr. 221 „Dėl Veiklos, susijusios su narkotinių ir psichotropinių medžiagų pirmtakais (</w:t>
            </w:r>
            <w:proofErr w:type="spellStart"/>
            <w:r w:rsidRPr="0042380A">
              <w:rPr>
                <w:b/>
                <w:bCs/>
                <w:szCs w:val="24"/>
              </w:rPr>
              <w:t>prekursoriais</w:t>
            </w:r>
            <w:proofErr w:type="spellEnd"/>
            <w:r w:rsidRPr="0042380A">
              <w:rPr>
                <w:b/>
                <w:bCs/>
                <w:szCs w:val="24"/>
              </w:rPr>
              <w:t>), licencijavimo, vietos registravimo, importo ir eksporto leidimų išdavimo ir šios veiklos priežiūros ir kontrolės vykdymo taisyklių patvirtinimo“</w:t>
            </w:r>
            <w:r w:rsidRPr="0042380A">
              <w:rPr>
                <w:b/>
                <w:szCs w:val="24"/>
              </w:rPr>
              <w:t xml:space="preserve"> </w:t>
            </w:r>
            <w:r w:rsidRPr="0042380A">
              <w:rPr>
                <w:b/>
                <w:bCs/>
                <w:color w:val="000000"/>
                <w:szCs w:val="24"/>
              </w:rPr>
              <w:t>pakeitimo“ projektas (toliau – Projektas)</w:t>
            </w:r>
          </w:p>
        </w:tc>
        <w:tc>
          <w:tcPr>
            <w:tcW w:w="1984" w:type="dxa"/>
          </w:tcPr>
          <w:p w14:paraId="2EE3D939" w14:textId="77777777" w:rsidR="00F53BA4" w:rsidRPr="0042380A" w:rsidRDefault="00F53BA4" w:rsidP="0042380A">
            <w:pPr>
              <w:jc w:val="center"/>
              <w:rPr>
                <w:b/>
                <w:szCs w:val="24"/>
              </w:rPr>
            </w:pPr>
            <w:r w:rsidRPr="0042380A">
              <w:rPr>
                <w:b/>
                <w:szCs w:val="24"/>
              </w:rPr>
              <w:t>Perkėlimo ir (ar) įgyvendinimo lygis</w:t>
            </w:r>
          </w:p>
        </w:tc>
      </w:tr>
      <w:tr w:rsidR="00F53BA4" w:rsidRPr="0042380A" w14:paraId="292D2B3F" w14:textId="77777777" w:rsidTr="00E51824">
        <w:trPr>
          <w:trHeight w:val="983"/>
        </w:trPr>
        <w:tc>
          <w:tcPr>
            <w:tcW w:w="5812" w:type="dxa"/>
          </w:tcPr>
          <w:p w14:paraId="0768D655" w14:textId="77777777" w:rsidR="00F53BA4" w:rsidRPr="00CC7E15" w:rsidRDefault="00F53BA4" w:rsidP="0042380A">
            <w:pPr>
              <w:shd w:val="clear" w:color="auto" w:fill="FFFFFF"/>
              <w:rPr>
                <w:b/>
                <w:iCs/>
                <w:color w:val="000000" w:themeColor="text1"/>
                <w:szCs w:val="24"/>
                <w:lang w:eastAsia="lt-LT"/>
              </w:rPr>
            </w:pPr>
            <w:r w:rsidRPr="00CC7E15">
              <w:rPr>
                <w:b/>
                <w:iCs/>
                <w:color w:val="000000" w:themeColor="text1"/>
                <w:szCs w:val="24"/>
                <w:lang w:eastAsia="lt-LT"/>
              </w:rPr>
              <w:t>3 straipsnis</w:t>
            </w:r>
          </w:p>
          <w:p w14:paraId="5BF32D01" w14:textId="77777777" w:rsidR="00F53BA4" w:rsidRPr="00CC7E15" w:rsidRDefault="00F53BA4" w:rsidP="0042380A">
            <w:pPr>
              <w:shd w:val="clear" w:color="auto" w:fill="FFFFFF"/>
              <w:rPr>
                <w:b/>
                <w:bCs/>
                <w:color w:val="000000" w:themeColor="text1"/>
                <w:szCs w:val="24"/>
                <w:lang w:eastAsia="lt-LT"/>
              </w:rPr>
            </w:pPr>
            <w:r w:rsidRPr="00CC7E15">
              <w:rPr>
                <w:b/>
                <w:bCs/>
                <w:color w:val="000000" w:themeColor="text1"/>
                <w:szCs w:val="24"/>
                <w:lang w:eastAsia="lt-LT"/>
              </w:rPr>
              <w:t>Licencijų išdavimo procedūra</w:t>
            </w:r>
          </w:p>
          <w:p w14:paraId="54C865AD" w14:textId="77777777" w:rsidR="00F53BA4" w:rsidRPr="00CC7E15" w:rsidRDefault="00F53BA4" w:rsidP="0042380A">
            <w:pPr>
              <w:shd w:val="clear" w:color="auto" w:fill="FFFFFF"/>
              <w:jc w:val="both"/>
              <w:rPr>
                <w:bCs/>
                <w:color w:val="000000" w:themeColor="text1"/>
                <w:szCs w:val="24"/>
              </w:rPr>
            </w:pPr>
            <w:r w:rsidRPr="00CC7E15">
              <w:rPr>
                <w:bCs/>
                <w:color w:val="000000" w:themeColor="text1"/>
                <w:szCs w:val="24"/>
              </w:rPr>
              <w:t xml:space="preserve">&lt;...&gt; </w:t>
            </w:r>
          </w:p>
          <w:p w14:paraId="2CEEAF4B" w14:textId="0203545F" w:rsidR="00F53BA4" w:rsidRPr="00CC7E15" w:rsidRDefault="00F53BA4" w:rsidP="0042380A">
            <w:pPr>
              <w:shd w:val="clear" w:color="auto" w:fill="FFFFFF"/>
              <w:jc w:val="both"/>
              <w:rPr>
                <w:color w:val="000000" w:themeColor="text1"/>
                <w:szCs w:val="24"/>
                <w:lang w:eastAsia="lt-LT"/>
              </w:rPr>
            </w:pPr>
            <w:r w:rsidRPr="00CC7E15">
              <w:rPr>
                <w:color w:val="000000" w:themeColor="text1"/>
                <w:szCs w:val="24"/>
                <w:lang w:eastAsia="lt-LT"/>
              </w:rPr>
              <w:t>2.   Vertindama licencijos paraišką kompetentinga institucija taip pat gali atsižvelgti į ankstesnius paraišką teikiančio ūkio subjekto, turinčio įgaliotojo ekonominių operacijų vykdytojo (ĮEOV) statusą, kaip apibrėžta Tarybos reglamento (EEB) Nr. 2913/92</w:t>
            </w:r>
            <w:hyperlink r:id="rId7" w:anchor="ntr5-L_2015162LT.01003301-E0005" w:history="1">
              <w:r w:rsidRPr="00CC7E15">
                <w:rPr>
                  <w:color w:val="000000" w:themeColor="text1"/>
                  <w:szCs w:val="24"/>
                  <w:lang w:eastAsia="lt-LT"/>
                </w:rPr>
                <w:t> (</w:t>
              </w:r>
              <w:r w:rsidRPr="00CC7E15">
                <w:rPr>
                  <w:color w:val="000000" w:themeColor="text1"/>
                  <w:szCs w:val="24"/>
                  <w:vertAlign w:val="superscript"/>
                  <w:lang w:eastAsia="lt-LT"/>
                </w:rPr>
                <w:t>5</w:t>
              </w:r>
              <w:r w:rsidRPr="00CC7E15">
                <w:rPr>
                  <w:color w:val="000000" w:themeColor="text1"/>
                  <w:szCs w:val="24"/>
                  <w:lang w:eastAsia="lt-LT"/>
                </w:rPr>
                <w:t>)</w:t>
              </w:r>
            </w:hyperlink>
            <w:r w:rsidRPr="00CC7E15">
              <w:rPr>
                <w:color w:val="000000" w:themeColor="text1"/>
                <w:szCs w:val="24"/>
                <w:lang w:eastAsia="lt-LT"/>
              </w:rPr>
              <w:t> 5a straipsnyje, atžvilgiu atliktus vertinimus arba auditą tiek, kiek jie svarbūs nagrinėjant licencijos išdavimo sąlygas.</w:t>
            </w:r>
          </w:p>
          <w:p w14:paraId="03EABEE6" w14:textId="5154817A" w:rsidR="00F53BA4" w:rsidRDefault="00F53BA4" w:rsidP="0042380A">
            <w:pPr>
              <w:shd w:val="clear" w:color="auto" w:fill="FFFFFF"/>
              <w:jc w:val="both"/>
              <w:rPr>
                <w:bCs/>
                <w:color w:val="000000" w:themeColor="text1"/>
                <w:szCs w:val="24"/>
              </w:rPr>
            </w:pPr>
            <w:r w:rsidRPr="00CC7E15">
              <w:rPr>
                <w:color w:val="000000" w:themeColor="text1"/>
                <w:szCs w:val="24"/>
                <w:lang w:eastAsia="lt-LT"/>
              </w:rPr>
              <w:t>Nukrypdama nuo šio reglamento 3 straipsnio 1 dalies kompetentinga institucija gali leisti ūkio subjektams, turintiems ĮEOV statusą, teikiant paraišką nepateikti visos Deleguotojo reglamento (ES) 2015/1011 3 straipsnio 2 dalies b punkte minimos informacijos.</w:t>
            </w:r>
            <w:r w:rsidRPr="00CC7E15">
              <w:rPr>
                <w:bCs/>
                <w:color w:val="000000" w:themeColor="text1"/>
                <w:szCs w:val="24"/>
              </w:rPr>
              <w:t xml:space="preserve"> &lt;...&gt;</w:t>
            </w:r>
          </w:p>
          <w:p w14:paraId="345034BB" w14:textId="77777777" w:rsidR="009F4EF6" w:rsidRDefault="009F4EF6" w:rsidP="0042380A">
            <w:pPr>
              <w:shd w:val="clear" w:color="auto" w:fill="FFFFFF"/>
              <w:jc w:val="both"/>
              <w:rPr>
                <w:bCs/>
                <w:color w:val="000000" w:themeColor="text1"/>
                <w:szCs w:val="24"/>
              </w:rPr>
            </w:pPr>
          </w:p>
          <w:p w14:paraId="0403CA38" w14:textId="77777777" w:rsidR="009F4EF6" w:rsidRDefault="009F4EF6" w:rsidP="0042380A">
            <w:pPr>
              <w:shd w:val="clear" w:color="auto" w:fill="FFFFFF"/>
              <w:jc w:val="both"/>
              <w:rPr>
                <w:bCs/>
                <w:color w:val="000000" w:themeColor="text1"/>
                <w:szCs w:val="24"/>
              </w:rPr>
            </w:pPr>
          </w:p>
          <w:p w14:paraId="13149F5A" w14:textId="5E2F22BC" w:rsidR="009F4EF6" w:rsidRPr="00CC7E15" w:rsidRDefault="009F4EF6" w:rsidP="0042380A">
            <w:pPr>
              <w:shd w:val="clear" w:color="auto" w:fill="FFFFFF"/>
              <w:jc w:val="both"/>
              <w:rPr>
                <w:rStyle w:val="Numatytasispastraiposriftas1"/>
                <w:bCs/>
                <w:color w:val="000000" w:themeColor="text1"/>
                <w:szCs w:val="24"/>
              </w:rPr>
            </w:pPr>
          </w:p>
        </w:tc>
        <w:tc>
          <w:tcPr>
            <w:tcW w:w="6946" w:type="dxa"/>
          </w:tcPr>
          <w:p w14:paraId="77169E8D" w14:textId="77777777" w:rsidR="00F53BA4" w:rsidRPr="0042380A" w:rsidRDefault="00F53BA4" w:rsidP="0042380A">
            <w:pPr>
              <w:jc w:val="both"/>
              <w:rPr>
                <w:b/>
                <w:szCs w:val="24"/>
              </w:rPr>
            </w:pPr>
            <w:r w:rsidRPr="0042380A">
              <w:rPr>
                <w:b/>
                <w:szCs w:val="24"/>
              </w:rPr>
              <w:lastRenderedPageBreak/>
              <w:t>Projektas</w:t>
            </w:r>
          </w:p>
          <w:p w14:paraId="0408D02E" w14:textId="77777777" w:rsidR="00674698" w:rsidRDefault="00674698" w:rsidP="0042380A">
            <w:pPr>
              <w:jc w:val="both"/>
              <w:rPr>
                <w:szCs w:val="24"/>
                <w:lang w:eastAsia="lt-LT"/>
              </w:rPr>
            </w:pPr>
          </w:p>
          <w:p w14:paraId="61271A06" w14:textId="77777777" w:rsidR="00674698" w:rsidRDefault="00674698" w:rsidP="0042380A">
            <w:pPr>
              <w:jc w:val="both"/>
              <w:rPr>
                <w:szCs w:val="24"/>
                <w:lang w:eastAsia="lt-LT"/>
              </w:rPr>
            </w:pPr>
          </w:p>
          <w:p w14:paraId="56D56769" w14:textId="43EDD301" w:rsidR="00F53BA4" w:rsidRDefault="00F53BA4" w:rsidP="0042380A">
            <w:pPr>
              <w:jc w:val="both"/>
              <w:rPr>
                <w:szCs w:val="24"/>
                <w:lang w:eastAsia="lt-LT"/>
              </w:rPr>
            </w:pPr>
            <w:r w:rsidRPr="0042380A">
              <w:rPr>
                <w:szCs w:val="24"/>
                <w:lang w:eastAsia="lt-LT"/>
              </w:rPr>
              <w:t xml:space="preserve">9. </w:t>
            </w:r>
            <w:r w:rsidRPr="0042380A">
              <w:rPr>
                <w:iCs/>
                <w:szCs w:val="24"/>
                <w:lang w:eastAsia="lt-LT"/>
              </w:rPr>
              <w:t>S</w:t>
            </w:r>
            <w:r w:rsidRPr="0042380A">
              <w:rPr>
                <w:szCs w:val="24"/>
                <w:lang w:eastAsia="lt-LT"/>
              </w:rPr>
              <w:t xml:space="preserve">ubjektas, turintis įgaliotojo ekonominių operacijų vykdytojo sertifikatą (ar statusą), kaip nustatyta </w:t>
            </w:r>
            <w:r w:rsidRPr="0042380A">
              <w:rPr>
                <w:iCs/>
                <w:szCs w:val="24"/>
                <w:lang w:eastAsia="lt-LT"/>
              </w:rPr>
              <w:t>Reglamento (ES) Nr. 2015/1013 3 straipsnio 2 dalyje,</w:t>
            </w:r>
            <w:r w:rsidRPr="0042380A">
              <w:rPr>
                <w:szCs w:val="24"/>
                <w:lang w:eastAsia="lt-LT"/>
              </w:rPr>
              <w:t xml:space="preserve"> ir norintis gauti licenciją, pateikia Narkotikų, tabako ir alkoholio kontrolės departamento direktoriaus įsakymu patvirtintos</w:t>
            </w:r>
            <w:r w:rsidRPr="0042380A">
              <w:rPr>
                <w:b/>
                <w:szCs w:val="24"/>
                <w:lang w:eastAsia="lt-LT"/>
              </w:rPr>
              <w:t xml:space="preserve"> </w:t>
            </w:r>
            <w:r w:rsidRPr="0042380A">
              <w:rPr>
                <w:szCs w:val="24"/>
                <w:lang w:eastAsia="lt-LT"/>
              </w:rPr>
              <w:t>formos paraišką ir Taisyklių 8.4 papunktyje nurodytą deklaraciją.</w:t>
            </w:r>
          </w:p>
          <w:p w14:paraId="15C49632" w14:textId="77777777" w:rsidR="00E67EC3" w:rsidRDefault="00E67EC3" w:rsidP="0042380A">
            <w:pPr>
              <w:jc w:val="both"/>
              <w:rPr>
                <w:szCs w:val="24"/>
                <w:lang w:eastAsia="lt-LT"/>
              </w:rPr>
            </w:pPr>
          </w:p>
          <w:p w14:paraId="39CD6D0D" w14:textId="3D523F68" w:rsidR="00E67EC3" w:rsidRPr="0042380A" w:rsidRDefault="00E67EC3" w:rsidP="002458AF">
            <w:pPr>
              <w:tabs>
                <w:tab w:val="left" w:pos="900"/>
                <w:tab w:val="left" w:pos="1134"/>
                <w:tab w:val="left" w:pos="1276"/>
              </w:tabs>
              <w:suppressAutoHyphens/>
              <w:autoSpaceDN w:val="0"/>
              <w:jc w:val="both"/>
              <w:textAlignment w:val="baseline"/>
              <w:rPr>
                <w:b/>
                <w:szCs w:val="24"/>
              </w:rPr>
            </w:pPr>
            <w:r w:rsidRPr="0042380A">
              <w:rPr>
                <w:szCs w:val="24"/>
                <w:lang w:eastAsia="lt-LT"/>
              </w:rPr>
              <w:t xml:space="preserve">24. Subjektas, turintis įgaliotojo ekonominių operacijų vykdytojo sertifikatą (ar statusą), kaip nustatyta </w:t>
            </w:r>
            <w:r w:rsidRPr="0042380A">
              <w:rPr>
                <w:iCs/>
                <w:szCs w:val="24"/>
                <w:lang w:eastAsia="lt-LT"/>
              </w:rPr>
              <w:t>Reglamento (ES) Nr. 2015/1013 3 straipsnio 2 dalyje ir 9 straipsnio 1 dalyje,</w:t>
            </w:r>
            <w:r w:rsidRPr="0042380A">
              <w:rPr>
                <w:szCs w:val="24"/>
                <w:lang w:eastAsia="lt-LT"/>
              </w:rPr>
              <w:t xml:space="preserve"> ir norintis gauti veiklos vietos registracijos pažymėjimą, Narkotikų, tabako ir alkoholio kontrolės departamentui </w:t>
            </w:r>
            <w:r w:rsidRPr="0042380A">
              <w:rPr>
                <w:szCs w:val="24"/>
              </w:rPr>
              <w:t xml:space="preserve">per atstumą, per Lietuvos Respublikos paslaugų įstatyme nurodytą paslaugų ir gaminių kontaktinį centrą, </w:t>
            </w:r>
            <w:r w:rsidRPr="0042380A">
              <w:rPr>
                <w:szCs w:val="24"/>
              </w:rPr>
              <w:lastRenderedPageBreak/>
              <w:t>elektroninėmis ryšio priemonėmis arba tiesiogiai</w:t>
            </w:r>
            <w:r w:rsidRPr="0042380A">
              <w:rPr>
                <w:szCs w:val="24"/>
                <w:lang w:eastAsia="lt-LT"/>
              </w:rPr>
              <w:t xml:space="preserve"> Narkotikų, tabako ir alkoholio kontrolės departamentui pateikia patvirtintos formos paraišką ir Taisyklių 23.4 papunktyje nurodytą dokumentą.</w:t>
            </w:r>
          </w:p>
        </w:tc>
        <w:tc>
          <w:tcPr>
            <w:tcW w:w="1984" w:type="dxa"/>
          </w:tcPr>
          <w:p w14:paraId="18DD5FDF" w14:textId="7BF6EC59" w:rsidR="00F53BA4" w:rsidRPr="0042380A" w:rsidRDefault="00F53BA4" w:rsidP="0042380A">
            <w:pPr>
              <w:jc w:val="center"/>
              <w:rPr>
                <w:bCs/>
                <w:szCs w:val="24"/>
              </w:rPr>
            </w:pPr>
            <w:r w:rsidRPr="0042380A">
              <w:rPr>
                <w:bCs/>
                <w:szCs w:val="24"/>
              </w:rPr>
              <w:lastRenderedPageBreak/>
              <w:t>Visiškas</w:t>
            </w:r>
          </w:p>
        </w:tc>
      </w:tr>
      <w:tr w:rsidR="00F53BA4" w:rsidRPr="0042380A" w14:paraId="2087275B" w14:textId="77777777" w:rsidTr="00F53BA4">
        <w:tc>
          <w:tcPr>
            <w:tcW w:w="5812" w:type="dxa"/>
          </w:tcPr>
          <w:p w14:paraId="68F11645" w14:textId="77777777" w:rsidR="00F53BA4" w:rsidRPr="00CC7E15" w:rsidRDefault="00F53BA4" w:rsidP="00F53BA4">
            <w:pPr>
              <w:shd w:val="clear" w:color="auto" w:fill="FFFFFF"/>
              <w:jc w:val="both"/>
              <w:rPr>
                <w:b/>
                <w:iCs/>
                <w:color w:val="000000" w:themeColor="text1"/>
                <w:szCs w:val="24"/>
                <w:lang w:eastAsia="lt-LT"/>
              </w:rPr>
            </w:pPr>
            <w:r w:rsidRPr="00CC7E15">
              <w:rPr>
                <w:b/>
                <w:iCs/>
                <w:color w:val="000000" w:themeColor="text1"/>
                <w:szCs w:val="24"/>
                <w:lang w:eastAsia="lt-LT"/>
              </w:rPr>
              <w:t>5 straipsnis</w:t>
            </w:r>
          </w:p>
          <w:p w14:paraId="03F03AE6" w14:textId="77777777" w:rsidR="00F53BA4" w:rsidRPr="00CC7E15" w:rsidRDefault="00F53BA4" w:rsidP="00F53BA4">
            <w:pPr>
              <w:shd w:val="clear" w:color="auto" w:fill="FFFFFF"/>
              <w:jc w:val="both"/>
              <w:rPr>
                <w:b/>
                <w:bCs/>
                <w:color w:val="000000" w:themeColor="text1"/>
                <w:szCs w:val="24"/>
                <w:lang w:eastAsia="lt-LT"/>
              </w:rPr>
            </w:pPr>
            <w:r w:rsidRPr="00CC7E15">
              <w:rPr>
                <w:b/>
                <w:bCs/>
                <w:color w:val="000000" w:themeColor="text1"/>
                <w:szCs w:val="24"/>
                <w:lang w:eastAsia="lt-LT"/>
              </w:rPr>
              <w:t>Licencijos forma</w:t>
            </w:r>
          </w:p>
          <w:p w14:paraId="34DA5120" w14:textId="32103743" w:rsidR="00F53BA4" w:rsidRPr="00CC7E15" w:rsidRDefault="00F53BA4" w:rsidP="00F53BA4">
            <w:pPr>
              <w:shd w:val="clear" w:color="auto" w:fill="FFFFFF"/>
              <w:jc w:val="both"/>
              <w:rPr>
                <w:b/>
                <w:iCs/>
                <w:color w:val="000000" w:themeColor="text1"/>
                <w:szCs w:val="24"/>
                <w:lang w:eastAsia="lt-LT"/>
              </w:rPr>
            </w:pPr>
            <w:r w:rsidRPr="00CC7E15">
              <w:rPr>
                <w:color w:val="000000" w:themeColor="text1"/>
                <w:szCs w:val="24"/>
                <w:lang w:eastAsia="lt-LT"/>
              </w:rPr>
              <w:t>Reglamento (EB) Nr. 273/2004 3 straipsnio 2 dalyje arba Reglamento (EB) Nr. 111/2005 6 straipsnio 1 dalyje nurodyta licencija išduodama šio reglamento I priede nurodytos formos.</w:t>
            </w:r>
          </w:p>
        </w:tc>
        <w:tc>
          <w:tcPr>
            <w:tcW w:w="6946" w:type="dxa"/>
          </w:tcPr>
          <w:p w14:paraId="341E438E" w14:textId="08125D3B" w:rsidR="00674698" w:rsidRPr="0042380A" w:rsidRDefault="00E73305" w:rsidP="00E73305">
            <w:pPr>
              <w:jc w:val="both"/>
              <w:rPr>
                <w:b/>
                <w:szCs w:val="24"/>
              </w:rPr>
            </w:pPr>
            <w:r w:rsidRPr="0042380A">
              <w:rPr>
                <w:b/>
                <w:szCs w:val="24"/>
              </w:rPr>
              <w:t>Projektas</w:t>
            </w:r>
          </w:p>
          <w:p w14:paraId="463C118B" w14:textId="77777777" w:rsidR="005D1FC2" w:rsidRDefault="005D1FC2" w:rsidP="00E73305">
            <w:pPr>
              <w:tabs>
                <w:tab w:val="left" w:pos="993"/>
              </w:tabs>
              <w:suppressAutoHyphens/>
              <w:autoSpaceDN w:val="0"/>
              <w:jc w:val="both"/>
              <w:textAlignment w:val="baseline"/>
              <w:rPr>
                <w:szCs w:val="24"/>
                <w:lang w:eastAsia="lt-LT"/>
              </w:rPr>
            </w:pPr>
          </w:p>
          <w:p w14:paraId="165852EB" w14:textId="6C4FA6FE" w:rsidR="00E73305" w:rsidRPr="00741414" w:rsidRDefault="00E73305" w:rsidP="00E73305">
            <w:pPr>
              <w:tabs>
                <w:tab w:val="left" w:pos="993"/>
              </w:tabs>
              <w:suppressAutoHyphens/>
              <w:autoSpaceDN w:val="0"/>
              <w:jc w:val="both"/>
              <w:textAlignment w:val="baseline"/>
              <w:rPr>
                <w:szCs w:val="24"/>
                <w:lang w:val="en-US"/>
              </w:rPr>
            </w:pPr>
            <w:r w:rsidRPr="0042380A">
              <w:rPr>
                <w:szCs w:val="24"/>
                <w:lang w:eastAsia="lt-LT"/>
              </w:rPr>
              <w:t>6. Licencija išduodama Reglamento (ES) Nr. 2015/1013 I priede nurodytos formos.</w:t>
            </w:r>
          </w:p>
          <w:p w14:paraId="3666FD8F" w14:textId="551B60AB" w:rsidR="00F53BA4" w:rsidRPr="00CC7E15" w:rsidRDefault="00B44718" w:rsidP="00F53BA4">
            <w:pPr>
              <w:jc w:val="both"/>
              <w:rPr>
                <w:b/>
                <w:i/>
                <w:szCs w:val="24"/>
              </w:rPr>
            </w:pPr>
            <w:r w:rsidRPr="00CC7E15">
              <w:rPr>
                <w:b/>
                <w:i/>
                <w:szCs w:val="24"/>
              </w:rPr>
              <w:t xml:space="preserve">Pastaba: </w:t>
            </w:r>
            <w:r w:rsidRPr="00CC7E15">
              <w:rPr>
                <w:i/>
                <w:color w:val="000000" w:themeColor="text1"/>
              </w:rPr>
              <w:t xml:space="preserve">Tiek </w:t>
            </w:r>
            <w:r w:rsidRPr="00CC7E15">
              <w:rPr>
                <w:i/>
                <w:color w:val="000000" w:themeColor="text1"/>
                <w:szCs w:val="24"/>
                <w:lang w:eastAsia="lt-LT"/>
              </w:rPr>
              <w:t>Reglamento (EB) Nr. 273/2004, tiek Reglamento (EB) Nr. 111/2005 atveju išduodama tos pačios formos licencija.</w:t>
            </w:r>
          </w:p>
        </w:tc>
        <w:tc>
          <w:tcPr>
            <w:tcW w:w="1984" w:type="dxa"/>
          </w:tcPr>
          <w:p w14:paraId="281A34FC" w14:textId="306683DB" w:rsidR="00F53BA4" w:rsidRPr="0042380A" w:rsidRDefault="00F53BA4" w:rsidP="007B48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Visiškas</w:t>
            </w:r>
          </w:p>
        </w:tc>
      </w:tr>
      <w:tr w:rsidR="00F53BA4" w:rsidRPr="0042380A" w14:paraId="27FBE00B" w14:textId="77777777" w:rsidTr="00F53BA4">
        <w:trPr>
          <w:trHeight w:val="2322"/>
        </w:trPr>
        <w:tc>
          <w:tcPr>
            <w:tcW w:w="5812" w:type="dxa"/>
          </w:tcPr>
          <w:p w14:paraId="03341917" w14:textId="77777777" w:rsidR="00F53BA4" w:rsidRPr="00CC7E15" w:rsidRDefault="00F53BA4" w:rsidP="007B48E6">
            <w:pPr>
              <w:shd w:val="clear" w:color="auto" w:fill="FFFFFF"/>
              <w:rPr>
                <w:b/>
                <w:iCs/>
                <w:color w:val="000000" w:themeColor="text1"/>
                <w:szCs w:val="24"/>
                <w:lang w:eastAsia="lt-LT"/>
              </w:rPr>
            </w:pPr>
            <w:r w:rsidRPr="00CC7E15">
              <w:rPr>
                <w:b/>
                <w:iCs/>
                <w:color w:val="000000" w:themeColor="text1"/>
                <w:szCs w:val="24"/>
                <w:lang w:eastAsia="lt-LT"/>
              </w:rPr>
              <w:t>7 straipsnis</w:t>
            </w:r>
          </w:p>
          <w:p w14:paraId="00B34853" w14:textId="77777777" w:rsidR="00F53BA4" w:rsidRPr="00CC7E15" w:rsidRDefault="00F53BA4" w:rsidP="007B48E6">
            <w:pPr>
              <w:shd w:val="clear" w:color="auto" w:fill="FFFFFF"/>
              <w:rPr>
                <w:b/>
                <w:bCs/>
                <w:color w:val="000000" w:themeColor="text1"/>
                <w:szCs w:val="24"/>
                <w:lang w:eastAsia="lt-LT"/>
              </w:rPr>
            </w:pPr>
            <w:r w:rsidRPr="00CC7E15">
              <w:rPr>
                <w:b/>
                <w:bCs/>
                <w:color w:val="000000" w:themeColor="text1"/>
                <w:szCs w:val="24"/>
                <w:lang w:eastAsia="lt-LT"/>
              </w:rPr>
              <w:t>Licencijų galiojimas, jo sustabdymas ir licencijų panaikinimas</w:t>
            </w:r>
          </w:p>
          <w:p w14:paraId="4C93C84E" w14:textId="7A014386" w:rsidR="00F53BA4" w:rsidRPr="00CC7E15" w:rsidRDefault="00F53BA4" w:rsidP="007B48E6">
            <w:pPr>
              <w:shd w:val="clear" w:color="auto" w:fill="FFFFFF"/>
              <w:jc w:val="both"/>
              <w:rPr>
                <w:color w:val="000000" w:themeColor="text1"/>
                <w:szCs w:val="24"/>
                <w:lang w:eastAsia="lt-LT"/>
              </w:rPr>
            </w:pPr>
            <w:r w:rsidRPr="00CC7E15">
              <w:rPr>
                <w:color w:val="000000" w:themeColor="text1"/>
                <w:szCs w:val="24"/>
                <w:lang w:eastAsia="lt-LT"/>
              </w:rPr>
              <w:t>1. Jeigu pasibaigė licencijos galiojimas arba licencija buvo panaikinta, licencijos savininkas per 10 darbo dienų nuo galiojimo pabaigos arba panaikinimo dienos grąžina nebegaliojančią licenciją kompetentingai institucijai.</w:t>
            </w:r>
          </w:p>
          <w:p w14:paraId="4C6A8A6E" w14:textId="2DF2898E" w:rsidR="00F53BA4" w:rsidRPr="00CC7E15" w:rsidRDefault="00F53BA4" w:rsidP="007B48E6">
            <w:pPr>
              <w:shd w:val="clear" w:color="auto" w:fill="FFFFFF"/>
              <w:jc w:val="both"/>
              <w:rPr>
                <w:color w:val="000000" w:themeColor="text1"/>
                <w:szCs w:val="24"/>
                <w:lang w:eastAsia="lt-LT"/>
              </w:rPr>
            </w:pPr>
            <w:r w:rsidRPr="00CC7E15">
              <w:rPr>
                <w:bCs/>
                <w:color w:val="000000" w:themeColor="text1"/>
                <w:szCs w:val="24"/>
              </w:rPr>
              <w:t xml:space="preserve"> &lt;...&gt;</w:t>
            </w:r>
          </w:p>
        </w:tc>
        <w:tc>
          <w:tcPr>
            <w:tcW w:w="6946" w:type="dxa"/>
          </w:tcPr>
          <w:p w14:paraId="6B619782" w14:textId="77777777" w:rsidR="00F53BA4" w:rsidRPr="0042380A" w:rsidRDefault="00F53BA4" w:rsidP="007B48E6">
            <w:pPr>
              <w:tabs>
                <w:tab w:val="left" w:pos="1134"/>
              </w:tabs>
              <w:suppressAutoHyphens/>
              <w:autoSpaceDN w:val="0"/>
              <w:jc w:val="both"/>
              <w:textAlignment w:val="baseline"/>
              <w:rPr>
                <w:b/>
                <w:szCs w:val="24"/>
                <w:lang w:eastAsia="lt-LT"/>
              </w:rPr>
            </w:pPr>
            <w:r w:rsidRPr="0042380A">
              <w:rPr>
                <w:b/>
                <w:szCs w:val="24"/>
                <w:lang w:eastAsia="lt-LT"/>
              </w:rPr>
              <w:t>Projektas</w:t>
            </w:r>
          </w:p>
          <w:p w14:paraId="0979DF3C" w14:textId="77777777" w:rsidR="005D1FC2" w:rsidRDefault="005D1FC2" w:rsidP="007B48E6">
            <w:pPr>
              <w:tabs>
                <w:tab w:val="left" w:pos="1134"/>
              </w:tabs>
              <w:suppressAutoHyphens/>
              <w:autoSpaceDN w:val="0"/>
              <w:jc w:val="both"/>
              <w:textAlignment w:val="baseline"/>
              <w:rPr>
                <w:szCs w:val="24"/>
                <w:lang w:eastAsia="lt-LT"/>
              </w:rPr>
            </w:pPr>
          </w:p>
          <w:p w14:paraId="2375BD31" w14:textId="77777777" w:rsidR="005D1FC2" w:rsidRDefault="005D1FC2" w:rsidP="007B48E6">
            <w:pPr>
              <w:tabs>
                <w:tab w:val="left" w:pos="1134"/>
              </w:tabs>
              <w:suppressAutoHyphens/>
              <w:autoSpaceDN w:val="0"/>
              <w:jc w:val="both"/>
              <w:textAlignment w:val="baseline"/>
              <w:rPr>
                <w:szCs w:val="24"/>
                <w:lang w:eastAsia="lt-LT"/>
              </w:rPr>
            </w:pPr>
          </w:p>
          <w:p w14:paraId="6FFFE615" w14:textId="40F2C858" w:rsidR="00F53BA4" w:rsidRDefault="00F53BA4" w:rsidP="007B48E6">
            <w:pPr>
              <w:tabs>
                <w:tab w:val="left" w:pos="1134"/>
              </w:tabs>
              <w:suppressAutoHyphens/>
              <w:autoSpaceDN w:val="0"/>
              <w:jc w:val="both"/>
              <w:textAlignment w:val="baseline"/>
              <w:rPr>
                <w:iCs/>
                <w:szCs w:val="24"/>
                <w:lang w:eastAsia="lt-LT"/>
              </w:rPr>
            </w:pPr>
            <w:r w:rsidRPr="0042380A">
              <w:rPr>
                <w:szCs w:val="24"/>
                <w:lang w:eastAsia="lt-LT"/>
              </w:rPr>
              <w:t xml:space="preserve">20. Subjektas, kurio licencijos arba specialiosios licencijos galiojimas panaikinamas, privalo grąžinti licenciją arba specialiąją licenciją (jeigu išduota popierinė licencija arba specialioji licencija) Narkotikų, tabako ir alkoholio kontrolės departamentui per </w:t>
            </w:r>
            <w:r w:rsidRPr="0042380A">
              <w:rPr>
                <w:iCs/>
                <w:szCs w:val="24"/>
                <w:lang w:eastAsia="lt-LT"/>
              </w:rPr>
              <w:t>Reglamento (ES) Nr. 2015/1013 7 straipsnio 1 dalyje nustatytą terminą.</w:t>
            </w:r>
          </w:p>
          <w:p w14:paraId="3CFCA90B" w14:textId="77777777" w:rsidR="00E67EC3" w:rsidRDefault="00E67EC3" w:rsidP="007B48E6">
            <w:pPr>
              <w:tabs>
                <w:tab w:val="left" w:pos="1134"/>
              </w:tabs>
              <w:suppressAutoHyphens/>
              <w:autoSpaceDN w:val="0"/>
              <w:jc w:val="both"/>
              <w:textAlignment w:val="baseline"/>
              <w:rPr>
                <w:iCs/>
                <w:szCs w:val="24"/>
                <w:lang w:eastAsia="lt-LT"/>
              </w:rPr>
            </w:pPr>
          </w:p>
          <w:p w14:paraId="5EF1B6F7" w14:textId="472A9AA8" w:rsidR="00CC7E15" w:rsidRPr="0042380A" w:rsidRDefault="00CC7E15" w:rsidP="007B48E6">
            <w:pPr>
              <w:tabs>
                <w:tab w:val="left" w:pos="1134"/>
              </w:tabs>
              <w:suppressAutoHyphens/>
              <w:autoSpaceDN w:val="0"/>
              <w:jc w:val="both"/>
              <w:textAlignment w:val="baseline"/>
              <w:rPr>
                <w:iCs/>
                <w:szCs w:val="24"/>
                <w:lang w:eastAsia="lt-LT"/>
              </w:rPr>
            </w:pPr>
            <w:r w:rsidRPr="0042380A">
              <w:rPr>
                <w:szCs w:val="24"/>
                <w:lang w:eastAsia="lt-LT"/>
              </w:rPr>
              <w:t>34. Subjektas, kurio veiklos vietos registracijos pažymėjimo ar veiklos vietos specialiojo registracijos pažymėjimo galiojimas panaikinamas (jeigu buvo išduotas popierinis veiklos vietos registracijos pažymėjimas ar veiklos vietos specialusis registracijos pažymėjimas), privalo grąžinti jį</w:t>
            </w:r>
            <w:r w:rsidRPr="0042380A">
              <w:rPr>
                <w:b/>
                <w:szCs w:val="24"/>
                <w:lang w:eastAsia="lt-LT"/>
              </w:rPr>
              <w:t xml:space="preserve"> </w:t>
            </w:r>
            <w:r w:rsidRPr="0042380A">
              <w:rPr>
                <w:szCs w:val="24"/>
                <w:lang w:eastAsia="lt-LT"/>
              </w:rPr>
              <w:t xml:space="preserve">Narkotikų, tabako ir alkoholio kontrolės departamentui per </w:t>
            </w:r>
            <w:r w:rsidRPr="0042380A">
              <w:rPr>
                <w:iCs/>
                <w:szCs w:val="24"/>
                <w:lang w:eastAsia="lt-LT"/>
              </w:rPr>
              <w:t>Reglamento (ES) Nr. 2015/1013 7 straipsnio 1 dalyje nustatytą terminą.</w:t>
            </w:r>
          </w:p>
        </w:tc>
        <w:tc>
          <w:tcPr>
            <w:tcW w:w="1984" w:type="dxa"/>
          </w:tcPr>
          <w:p w14:paraId="7A050588" w14:textId="4AD60473" w:rsidR="00F53BA4" w:rsidRPr="0042380A" w:rsidRDefault="00F53BA4" w:rsidP="007B48E6">
            <w:pPr>
              <w:jc w:val="center"/>
              <w:rPr>
                <w:bCs/>
                <w:szCs w:val="24"/>
              </w:rPr>
            </w:pPr>
            <w:r w:rsidRPr="0042380A">
              <w:rPr>
                <w:bCs/>
                <w:szCs w:val="24"/>
              </w:rPr>
              <w:t>Visiškas</w:t>
            </w:r>
          </w:p>
        </w:tc>
      </w:tr>
      <w:tr w:rsidR="00F53BA4" w:rsidRPr="0042380A" w14:paraId="4C6CB4B6" w14:textId="77777777" w:rsidTr="00F53BA4">
        <w:tc>
          <w:tcPr>
            <w:tcW w:w="5812" w:type="dxa"/>
          </w:tcPr>
          <w:p w14:paraId="04CEC04B" w14:textId="77777777" w:rsidR="00F53BA4" w:rsidRPr="00CC7E15" w:rsidRDefault="00F53BA4" w:rsidP="007B48E6">
            <w:pPr>
              <w:pStyle w:val="prastasis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  <w:r w:rsidRPr="00CC7E15">
              <w:rPr>
                <w:b/>
                <w:color w:val="000000" w:themeColor="text1"/>
              </w:rPr>
              <w:t>9 straipsnis</w:t>
            </w:r>
          </w:p>
          <w:p w14:paraId="0AB3BCDD" w14:textId="77777777" w:rsidR="00F53BA4" w:rsidRPr="00CC7E15" w:rsidRDefault="00F53BA4" w:rsidP="007B48E6">
            <w:pPr>
              <w:pStyle w:val="prastasis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  <w:r w:rsidRPr="00CC7E15">
              <w:rPr>
                <w:b/>
                <w:color w:val="000000" w:themeColor="text1"/>
              </w:rPr>
              <w:t>Registracijos procedūra</w:t>
            </w:r>
          </w:p>
          <w:p w14:paraId="34B9040B" w14:textId="77777777" w:rsidR="00F53BA4" w:rsidRPr="00CC7E15" w:rsidRDefault="00F53BA4" w:rsidP="007B48E6">
            <w:pPr>
              <w:pStyle w:val="prastasis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 w:themeColor="text1"/>
              </w:rPr>
            </w:pPr>
            <w:r w:rsidRPr="00CC7E15">
              <w:rPr>
                <w:bCs/>
                <w:color w:val="000000" w:themeColor="text1"/>
              </w:rPr>
              <w:t xml:space="preserve">&lt;...&gt; </w:t>
            </w:r>
          </w:p>
          <w:p w14:paraId="2C6125EE" w14:textId="44BA28B8" w:rsidR="00F53BA4" w:rsidRPr="00CC7E15" w:rsidRDefault="00F53BA4" w:rsidP="007B48E6">
            <w:pPr>
              <w:pStyle w:val="prastasis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CC7E15">
              <w:rPr>
                <w:color w:val="000000" w:themeColor="text1"/>
              </w:rPr>
              <w:t>2. Registracijos pažymėjimas pagal Reglamento (EB) Nr. 273/2004 3 straipsnio 6 dalį arba Reglamento (EB) Nr. 111/2005 7 straipsnio 1 dalį išduodamas II priede nurodytos formos.</w:t>
            </w:r>
          </w:p>
          <w:p w14:paraId="6DEFE8FC" w14:textId="77777777" w:rsidR="00F53BA4" w:rsidRPr="00CC7E15" w:rsidRDefault="00F53BA4" w:rsidP="007B48E6">
            <w:pPr>
              <w:pStyle w:val="prastasis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 w:themeColor="text1"/>
              </w:rPr>
            </w:pPr>
            <w:r w:rsidRPr="00CC7E15">
              <w:rPr>
                <w:color w:val="000000" w:themeColor="text1"/>
              </w:rPr>
              <w:t xml:space="preserve">3.   Nukrypdama nuo 2 dalies, kompetentinga institucija gali išduoti registracijos pažymėjimus ant formos, išspausdintos iki šio reglamento įsigaliojimo dienos ir </w:t>
            </w:r>
            <w:r w:rsidRPr="00CC7E15">
              <w:rPr>
                <w:color w:val="000000" w:themeColor="text1"/>
              </w:rPr>
              <w:lastRenderedPageBreak/>
              <w:t>atitinkančius nacionalines taisykles, taikomas prieš įsigaliojant šiam reglamentui, kol baigsis jų atsargos.</w:t>
            </w:r>
            <w:r w:rsidRPr="00CC7E15">
              <w:rPr>
                <w:bCs/>
                <w:color w:val="000000" w:themeColor="text1"/>
              </w:rPr>
              <w:t xml:space="preserve"> </w:t>
            </w:r>
          </w:p>
          <w:p w14:paraId="5885F80F" w14:textId="2415A88D" w:rsidR="00F53BA4" w:rsidRPr="00CC7E15" w:rsidRDefault="00F53BA4" w:rsidP="007B48E6">
            <w:pPr>
              <w:pStyle w:val="prastasis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CC7E15">
              <w:rPr>
                <w:bCs/>
                <w:color w:val="000000" w:themeColor="text1"/>
              </w:rPr>
              <w:t>&lt;...&gt;</w:t>
            </w:r>
          </w:p>
        </w:tc>
        <w:tc>
          <w:tcPr>
            <w:tcW w:w="6946" w:type="dxa"/>
          </w:tcPr>
          <w:p w14:paraId="268A4E83" w14:textId="31C2C4EC" w:rsidR="00F53BA4" w:rsidRDefault="00F53BA4" w:rsidP="007B48E6">
            <w:pPr>
              <w:tabs>
                <w:tab w:val="left" w:pos="993"/>
              </w:tabs>
              <w:suppressAutoHyphens/>
              <w:autoSpaceDN w:val="0"/>
              <w:jc w:val="both"/>
              <w:textAlignment w:val="baseline"/>
              <w:rPr>
                <w:b/>
                <w:szCs w:val="24"/>
                <w:lang w:eastAsia="lt-LT"/>
              </w:rPr>
            </w:pPr>
            <w:r w:rsidRPr="0042380A">
              <w:rPr>
                <w:b/>
                <w:szCs w:val="24"/>
                <w:lang w:eastAsia="lt-LT"/>
              </w:rPr>
              <w:lastRenderedPageBreak/>
              <w:t>Projektas</w:t>
            </w:r>
          </w:p>
          <w:p w14:paraId="18095386" w14:textId="38D60197" w:rsidR="00E67EC3" w:rsidRDefault="00E67EC3" w:rsidP="007B48E6">
            <w:pPr>
              <w:tabs>
                <w:tab w:val="left" w:pos="993"/>
              </w:tabs>
              <w:suppressAutoHyphens/>
              <w:autoSpaceDN w:val="0"/>
              <w:jc w:val="both"/>
              <w:textAlignment w:val="baseline"/>
              <w:rPr>
                <w:b/>
                <w:szCs w:val="24"/>
                <w:lang w:eastAsia="lt-LT"/>
              </w:rPr>
            </w:pPr>
          </w:p>
          <w:p w14:paraId="0507C365" w14:textId="77777777" w:rsidR="00E67EC3" w:rsidRPr="0042380A" w:rsidRDefault="00E67EC3" w:rsidP="007B48E6">
            <w:pPr>
              <w:tabs>
                <w:tab w:val="left" w:pos="993"/>
              </w:tabs>
              <w:suppressAutoHyphens/>
              <w:autoSpaceDN w:val="0"/>
              <w:jc w:val="both"/>
              <w:textAlignment w:val="baseline"/>
              <w:rPr>
                <w:b/>
                <w:szCs w:val="24"/>
                <w:lang w:eastAsia="lt-LT"/>
              </w:rPr>
            </w:pPr>
          </w:p>
          <w:p w14:paraId="22F2C31F" w14:textId="77777777" w:rsidR="00F53BA4" w:rsidRPr="0042380A" w:rsidRDefault="00F53BA4" w:rsidP="007B48E6">
            <w:pPr>
              <w:tabs>
                <w:tab w:val="left" w:pos="993"/>
              </w:tabs>
              <w:suppressAutoHyphens/>
              <w:autoSpaceDN w:val="0"/>
              <w:jc w:val="both"/>
              <w:textAlignment w:val="baseline"/>
              <w:rPr>
                <w:szCs w:val="24"/>
                <w:lang w:eastAsia="lt-LT"/>
              </w:rPr>
            </w:pPr>
            <w:r w:rsidRPr="0042380A">
              <w:rPr>
                <w:szCs w:val="24"/>
                <w:lang w:eastAsia="lt-LT"/>
              </w:rPr>
              <w:t xml:space="preserve">21. Veiklos vietos registracijos pažymėjimas išduodamas Reglamento (ES) Nr. 2015/1013 II priede nustatytos formos, atsižvelgiant į Reglamento (ES) Nr. 2015/1013 9 straipsnio 3 dalį. </w:t>
            </w:r>
          </w:p>
          <w:p w14:paraId="56343355" w14:textId="77777777" w:rsidR="00F53BA4" w:rsidRPr="0042380A" w:rsidRDefault="00F53BA4" w:rsidP="007B48E6">
            <w:pPr>
              <w:tabs>
                <w:tab w:val="left" w:pos="993"/>
              </w:tabs>
              <w:suppressAutoHyphens/>
              <w:autoSpaceDN w:val="0"/>
              <w:jc w:val="both"/>
              <w:textAlignment w:val="baseline"/>
              <w:rPr>
                <w:szCs w:val="24"/>
              </w:rPr>
            </w:pPr>
          </w:p>
          <w:p w14:paraId="2BA23120" w14:textId="77777777" w:rsidR="00F53BA4" w:rsidRPr="0042380A" w:rsidRDefault="00F53BA4" w:rsidP="007B48E6">
            <w:pPr>
              <w:tabs>
                <w:tab w:val="left" w:pos="1134"/>
              </w:tabs>
              <w:suppressAutoHyphens/>
              <w:autoSpaceDN w:val="0"/>
              <w:jc w:val="both"/>
              <w:textAlignment w:val="baseline"/>
              <w:rPr>
                <w:b/>
                <w:szCs w:val="24"/>
                <w:lang w:eastAsia="lt-LT"/>
              </w:rPr>
            </w:pPr>
          </w:p>
        </w:tc>
        <w:tc>
          <w:tcPr>
            <w:tcW w:w="1984" w:type="dxa"/>
          </w:tcPr>
          <w:p w14:paraId="08436C06" w14:textId="0F757BD5" w:rsidR="00F53BA4" w:rsidRPr="0042380A" w:rsidRDefault="00F53BA4" w:rsidP="007B48E6">
            <w:pPr>
              <w:jc w:val="center"/>
              <w:rPr>
                <w:bCs/>
                <w:szCs w:val="24"/>
              </w:rPr>
            </w:pPr>
            <w:r w:rsidRPr="0042380A">
              <w:rPr>
                <w:bCs/>
                <w:szCs w:val="24"/>
              </w:rPr>
              <w:t>Visiškas</w:t>
            </w:r>
          </w:p>
        </w:tc>
      </w:tr>
      <w:tr w:rsidR="00F53BA4" w:rsidRPr="0042380A" w14:paraId="7CD5EB81" w14:textId="77777777" w:rsidTr="00F53BA4">
        <w:tc>
          <w:tcPr>
            <w:tcW w:w="5812" w:type="dxa"/>
          </w:tcPr>
          <w:p w14:paraId="4306597F" w14:textId="77777777" w:rsidR="00F53BA4" w:rsidRPr="00CC7E15" w:rsidRDefault="00F53BA4" w:rsidP="007B48E6">
            <w:pPr>
              <w:jc w:val="both"/>
              <w:rPr>
                <w:b/>
                <w:bCs/>
                <w:color w:val="000000" w:themeColor="text1"/>
                <w:szCs w:val="24"/>
                <w:lang w:eastAsia="lt-LT"/>
              </w:rPr>
            </w:pPr>
            <w:r w:rsidRPr="00CC7E15">
              <w:rPr>
                <w:b/>
                <w:bCs/>
                <w:color w:val="000000" w:themeColor="text1"/>
                <w:szCs w:val="24"/>
                <w:lang w:eastAsia="lt-LT"/>
              </w:rPr>
              <w:t>10 straipsnis</w:t>
            </w:r>
          </w:p>
          <w:p w14:paraId="65A42FC8" w14:textId="77777777" w:rsidR="00F53BA4" w:rsidRPr="00CC7E15" w:rsidRDefault="00F53BA4" w:rsidP="007B48E6">
            <w:pPr>
              <w:jc w:val="both"/>
              <w:rPr>
                <w:b/>
                <w:bCs/>
                <w:color w:val="000000" w:themeColor="text1"/>
                <w:szCs w:val="24"/>
                <w:lang w:eastAsia="lt-LT"/>
              </w:rPr>
            </w:pPr>
            <w:r w:rsidRPr="00CC7E15">
              <w:rPr>
                <w:b/>
                <w:bCs/>
                <w:color w:val="000000" w:themeColor="text1"/>
                <w:szCs w:val="24"/>
                <w:lang w:eastAsia="lt-LT"/>
              </w:rPr>
              <w:t>Prekybos stebėsenai vykdyti būtina informacija</w:t>
            </w:r>
          </w:p>
          <w:p w14:paraId="68C58B04" w14:textId="33A5B3D9" w:rsidR="00F53BA4" w:rsidRPr="00CC7E15" w:rsidRDefault="00F53BA4" w:rsidP="007B48E6">
            <w:pPr>
              <w:jc w:val="both"/>
              <w:rPr>
                <w:color w:val="000000" w:themeColor="text1"/>
                <w:szCs w:val="24"/>
                <w:lang w:eastAsia="lt-LT"/>
              </w:rPr>
            </w:pPr>
            <w:r w:rsidRPr="00CC7E15">
              <w:rPr>
                <w:color w:val="000000" w:themeColor="text1"/>
                <w:szCs w:val="24"/>
                <w:lang w:eastAsia="lt-LT"/>
              </w:rPr>
              <w:t>1. Ūkio subjektai Reglamento (EB) Nr. 273/2004 8 straipsnio 2 dalyje nurodytą informaciją pateikia elektroniniu būdu arba raštu, kaip nustatyta atitinkamos valstybės narės, iki kiekvienų kalendorinių metų vasario 15 d., kiek tai susiję su to reglamento I priede išvardytomis 1 ir 2 kategorijų medžiagomis, įtrauktomis į oficialų sąrašą.</w:t>
            </w:r>
          </w:p>
          <w:p w14:paraId="784CF9F0" w14:textId="593FA0A2" w:rsidR="0081410F" w:rsidRPr="00CC7E15" w:rsidRDefault="00F53BA4" w:rsidP="007B48E6">
            <w:pPr>
              <w:jc w:val="both"/>
              <w:rPr>
                <w:color w:val="000000" w:themeColor="text1"/>
                <w:szCs w:val="24"/>
                <w:lang w:eastAsia="lt-LT"/>
              </w:rPr>
            </w:pPr>
            <w:r w:rsidRPr="00CC7E15">
              <w:rPr>
                <w:color w:val="000000" w:themeColor="text1"/>
                <w:szCs w:val="24"/>
                <w:lang w:eastAsia="lt-LT"/>
              </w:rPr>
              <w:t>2. Ūkio subjektai Reglamento (EB) Nr. 111/2005 9 straipsnio 2 dalyje nurodytą informaciją pateikia elektroniniu būdu arba raštu, kaip nustatyta atitinkamos valstybės narės, iki kiekvienų kalendorinių metų vasario 15 d.</w:t>
            </w:r>
          </w:p>
          <w:p w14:paraId="4FD14472" w14:textId="4578AAD6" w:rsidR="00F53BA4" w:rsidRPr="00CC7E15" w:rsidRDefault="00F53BA4" w:rsidP="007B48E6">
            <w:pPr>
              <w:jc w:val="both"/>
              <w:rPr>
                <w:color w:val="000000" w:themeColor="text1"/>
                <w:szCs w:val="24"/>
                <w:lang w:eastAsia="lt-LT"/>
              </w:rPr>
            </w:pPr>
            <w:r w:rsidRPr="00CC7E15">
              <w:rPr>
                <w:color w:val="000000" w:themeColor="text1"/>
                <w:szCs w:val="24"/>
                <w:lang w:eastAsia="lt-LT"/>
              </w:rPr>
              <w:t>3. Ūkio subjektas 1 ir 2 dalyse nurodytas metines ataskaitas teikia, net jeigu per atitinkamus metus nebuvo jokių sandorių.</w:t>
            </w:r>
          </w:p>
        </w:tc>
        <w:tc>
          <w:tcPr>
            <w:tcW w:w="6946" w:type="dxa"/>
          </w:tcPr>
          <w:p w14:paraId="2A3BA3DB" w14:textId="77777777" w:rsidR="00F53BA4" w:rsidRPr="0042380A" w:rsidRDefault="00F53BA4" w:rsidP="007B48E6">
            <w:pPr>
              <w:tabs>
                <w:tab w:val="left" w:pos="900"/>
                <w:tab w:val="left" w:pos="1134"/>
              </w:tabs>
              <w:suppressAutoHyphens/>
              <w:autoSpaceDN w:val="0"/>
              <w:jc w:val="both"/>
              <w:textAlignment w:val="baseline"/>
              <w:rPr>
                <w:b/>
                <w:szCs w:val="24"/>
                <w:lang w:eastAsia="lt-LT"/>
              </w:rPr>
            </w:pPr>
            <w:r w:rsidRPr="0042380A">
              <w:rPr>
                <w:b/>
                <w:szCs w:val="24"/>
                <w:lang w:eastAsia="lt-LT"/>
              </w:rPr>
              <w:t>Projektas</w:t>
            </w:r>
          </w:p>
          <w:p w14:paraId="3E7F3943" w14:textId="77777777" w:rsidR="00E67EC3" w:rsidRDefault="00E67EC3" w:rsidP="007B48E6">
            <w:pPr>
              <w:tabs>
                <w:tab w:val="left" w:pos="900"/>
                <w:tab w:val="left" w:pos="1134"/>
              </w:tabs>
              <w:suppressAutoHyphens/>
              <w:autoSpaceDN w:val="0"/>
              <w:jc w:val="both"/>
              <w:textAlignment w:val="baseline"/>
              <w:rPr>
                <w:szCs w:val="24"/>
                <w:lang w:eastAsia="lt-LT"/>
              </w:rPr>
            </w:pPr>
          </w:p>
          <w:p w14:paraId="5EB2DC67" w14:textId="15DF9C63" w:rsidR="00F53BA4" w:rsidRDefault="00F53BA4" w:rsidP="007B48E6">
            <w:pPr>
              <w:tabs>
                <w:tab w:val="left" w:pos="900"/>
                <w:tab w:val="left" w:pos="1134"/>
              </w:tabs>
              <w:suppressAutoHyphens/>
              <w:autoSpaceDN w:val="0"/>
              <w:jc w:val="both"/>
              <w:textAlignment w:val="baseline"/>
              <w:rPr>
                <w:szCs w:val="24"/>
                <w:lang w:eastAsia="lt-LT"/>
              </w:rPr>
            </w:pPr>
            <w:r w:rsidRPr="0042380A">
              <w:rPr>
                <w:szCs w:val="24"/>
                <w:lang w:eastAsia="lt-LT"/>
              </w:rPr>
              <w:t>44. Narkotikų, tabako ir alkoholio kontrolės departamentas</w:t>
            </w:r>
            <w:r w:rsidRPr="0042380A">
              <w:rPr>
                <w:b/>
                <w:szCs w:val="24"/>
                <w:lang w:eastAsia="lt-LT"/>
              </w:rPr>
              <w:t xml:space="preserve"> </w:t>
            </w:r>
            <w:r w:rsidRPr="0042380A">
              <w:rPr>
                <w:szCs w:val="24"/>
                <w:lang w:eastAsia="lt-LT"/>
              </w:rPr>
              <w:t>tvirtina ataskaitų formas, skirtas informacijai, nurodytai</w:t>
            </w:r>
            <w:r w:rsidRPr="0042380A">
              <w:rPr>
                <w:b/>
                <w:szCs w:val="24"/>
                <w:lang w:eastAsia="lt-LT"/>
              </w:rPr>
              <w:t xml:space="preserve"> </w:t>
            </w:r>
            <w:r w:rsidRPr="0042380A">
              <w:rPr>
                <w:iCs/>
                <w:szCs w:val="24"/>
                <w:lang w:eastAsia="lt-LT"/>
              </w:rPr>
              <w:t>Reglamente (ES) Nr. 2015/1011, Reglamente (ES) Nr.</w:t>
            </w:r>
            <w:r w:rsidRPr="0042380A">
              <w:rPr>
                <w:szCs w:val="24"/>
                <w:lang w:eastAsia="lt-LT"/>
              </w:rPr>
              <w:t> </w:t>
            </w:r>
            <w:r w:rsidRPr="0042380A">
              <w:rPr>
                <w:iCs/>
                <w:szCs w:val="24"/>
                <w:lang w:eastAsia="lt-LT"/>
              </w:rPr>
              <w:t xml:space="preserve">2015/1013 ir </w:t>
            </w:r>
            <w:r w:rsidRPr="0042380A">
              <w:rPr>
                <w:szCs w:val="24"/>
                <w:lang w:eastAsia="lt-LT"/>
              </w:rPr>
              <w:t>Įstatymo 15 straipsnyje ir 16 straipsnio 1 dalyje, pateikti, ir jų teikimo tvarką.</w:t>
            </w:r>
          </w:p>
          <w:p w14:paraId="313C4AF1" w14:textId="77777777" w:rsidR="00E67EC3" w:rsidRDefault="00E67EC3" w:rsidP="007B48E6">
            <w:pPr>
              <w:tabs>
                <w:tab w:val="left" w:pos="900"/>
                <w:tab w:val="left" w:pos="1134"/>
              </w:tabs>
              <w:suppressAutoHyphens/>
              <w:autoSpaceDN w:val="0"/>
              <w:jc w:val="both"/>
              <w:textAlignment w:val="baseline"/>
              <w:rPr>
                <w:szCs w:val="24"/>
                <w:lang w:eastAsia="lt-LT"/>
              </w:rPr>
            </w:pPr>
          </w:p>
          <w:p w14:paraId="5E800805" w14:textId="77777777" w:rsidR="00E67EC3" w:rsidRDefault="00E67EC3" w:rsidP="007B48E6">
            <w:pPr>
              <w:tabs>
                <w:tab w:val="left" w:pos="900"/>
                <w:tab w:val="left" w:pos="1134"/>
              </w:tabs>
              <w:suppressAutoHyphens/>
              <w:autoSpaceDN w:val="0"/>
              <w:jc w:val="both"/>
              <w:textAlignment w:val="baseline"/>
              <w:rPr>
                <w:color w:val="000000" w:themeColor="text1"/>
                <w:szCs w:val="24"/>
                <w:lang w:eastAsia="lt-LT"/>
              </w:rPr>
            </w:pPr>
          </w:p>
          <w:p w14:paraId="255A4EC6" w14:textId="77777777" w:rsidR="00E67EC3" w:rsidRDefault="00E67EC3" w:rsidP="007B48E6">
            <w:pPr>
              <w:tabs>
                <w:tab w:val="left" w:pos="900"/>
                <w:tab w:val="left" w:pos="1134"/>
              </w:tabs>
              <w:suppressAutoHyphens/>
              <w:autoSpaceDN w:val="0"/>
              <w:jc w:val="both"/>
              <w:textAlignment w:val="baseline"/>
              <w:rPr>
                <w:color w:val="000000" w:themeColor="text1"/>
                <w:szCs w:val="24"/>
                <w:lang w:eastAsia="lt-LT"/>
              </w:rPr>
            </w:pPr>
          </w:p>
          <w:p w14:paraId="5FE73A8F" w14:textId="47AB251B" w:rsidR="00C6238D" w:rsidRPr="00E51824" w:rsidRDefault="004D59F1" w:rsidP="007B48E6">
            <w:pPr>
              <w:tabs>
                <w:tab w:val="left" w:pos="900"/>
                <w:tab w:val="left" w:pos="1134"/>
              </w:tabs>
              <w:suppressAutoHyphens/>
              <w:autoSpaceDN w:val="0"/>
              <w:jc w:val="both"/>
              <w:textAlignment w:val="baseline"/>
              <w:rPr>
                <w:color w:val="000000" w:themeColor="text1"/>
                <w:szCs w:val="24"/>
                <w:lang w:eastAsia="lt-LT"/>
              </w:rPr>
            </w:pPr>
            <w:r w:rsidRPr="00E73305">
              <w:rPr>
                <w:color w:val="000000" w:themeColor="text1"/>
                <w:szCs w:val="24"/>
                <w:lang w:eastAsia="lt-LT"/>
              </w:rPr>
              <w:t>45. Subjektas, kuriam išduota licencija arba specialioji licencija, ataskaitas Narkotikų, tabako ir alkoholio kontrolės departamentui teikia</w:t>
            </w:r>
            <w:r w:rsidR="00E51824">
              <w:rPr>
                <w:color w:val="000000" w:themeColor="text1"/>
                <w:szCs w:val="24"/>
                <w:lang w:eastAsia="lt-LT"/>
              </w:rPr>
              <w:t>:</w:t>
            </w:r>
          </w:p>
          <w:p w14:paraId="0AE1070A" w14:textId="76209A31" w:rsidR="00CC7E15" w:rsidRPr="0042380A" w:rsidRDefault="00CC7E15" w:rsidP="007B48E6">
            <w:pPr>
              <w:tabs>
                <w:tab w:val="left" w:pos="900"/>
                <w:tab w:val="left" w:pos="1134"/>
              </w:tabs>
              <w:suppressAutoHyphens/>
              <w:autoSpaceDN w:val="0"/>
              <w:jc w:val="both"/>
              <w:textAlignment w:val="baseline"/>
              <w:rPr>
                <w:szCs w:val="24"/>
              </w:rPr>
            </w:pPr>
            <w:r w:rsidRPr="0042380A">
              <w:rPr>
                <w:szCs w:val="24"/>
                <w:lang w:eastAsia="lt-LT"/>
              </w:rPr>
              <w:t>45.2. Reglamento (ES) Nr. 2015/1013 10 straipsnyje nustatytu laiku – informaciją apie</w:t>
            </w:r>
            <w:r w:rsidRPr="0042380A">
              <w:rPr>
                <w:b/>
                <w:szCs w:val="24"/>
                <w:lang w:eastAsia="lt-LT"/>
              </w:rPr>
              <w:t xml:space="preserve"> </w:t>
            </w:r>
            <w:r w:rsidRPr="0042380A">
              <w:rPr>
                <w:szCs w:val="24"/>
                <w:lang w:eastAsia="lt-LT"/>
              </w:rPr>
              <w:t>pirmos kategorijos narkotinių ir psichotropinių medžiagų pirmtakų (</w:t>
            </w:r>
            <w:proofErr w:type="spellStart"/>
            <w:r w:rsidRPr="0042380A">
              <w:rPr>
                <w:szCs w:val="24"/>
                <w:lang w:eastAsia="lt-LT"/>
              </w:rPr>
              <w:t>prekursorių</w:t>
            </w:r>
            <w:proofErr w:type="spellEnd"/>
            <w:r w:rsidRPr="0042380A">
              <w:rPr>
                <w:szCs w:val="24"/>
                <w:lang w:eastAsia="lt-LT"/>
              </w:rPr>
              <w:t>) apyvartą pagal Narkotikų, tabako ir alkoholio kontrolės departamento patvirtintą</w:t>
            </w:r>
            <w:r w:rsidRPr="0042380A">
              <w:rPr>
                <w:b/>
                <w:szCs w:val="24"/>
                <w:lang w:eastAsia="lt-LT"/>
              </w:rPr>
              <w:t xml:space="preserve"> </w:t>
            </w:r>
            <w:r w:rsidRPr="0042380A">
              <w:rPr>
                <w:szCs w:val="24"/>
                <w:lang w:eastAsia="lt-LT"/>
              </w:rPr>
              <w:t>formą ir nustatytą teikimo tvarką.</w:t>
            </w:r>
          </w:p>
        </w:tc>
        <w:tc>
          <w:tcPr>
            <w:tcW w:w="1984" w:type="dxa"/>
          </w:tcPr>
          <w:p w14:paraId="75D7B57D" w14:textId="77777777" w:rsidR="00F53BA4" w:rsidRPr="0042380A" w:rsidRDefault="00F53BA4" w:rsidP="007B48E6">
            <w:pPr>
              <w:jc w:val="center"/>
              <w:rPr>
                <w:bCs/>
                <w:szCs w:val="24"/>
              </w:rPr>
            </w:pPr>
            <w:r w:rsidRPr="0042380A">
              <w:rPr>
                <w:bCs/>
                <w:szCs w:val="24"/>
              </w:rPr>
              <w:t>Visiškas</w:t>
            </w:r>
          </w:p>
        </w:tc>
      </w:tr>
      <w:tr w:rsidR="00F53BA4" w:rsidRPr="0042380A" w14:paraId="4113B5BF" w14:textId="77777777" w:rsidTr="00F53BA4">
        <w:tc>
          <w:tcPr>
            <w:tcW w:w="5812" w:type="dxa"/>
          </w:tcPr>
          <w:p w14:paraId="32955AF8" w14:textId="77777777" w:rsidR="00F53BA4" w:rsidRPr="00CC7E15" w:rsidRDefault="00F53BA4" w:rsidP="00F40B71">
            <w:pPr>
              <w:shd w:val="clear" w:color="auto" w:fill="FFFFFF"/>
              <w:rPr>
                <w:b/>
                <w:iCs/>
                <w:color w:val="000000" w:themeColor="text1"/>
                <w:szCs w:val="24"/>
                <w:lang w:eastAsia="lt-LT"/>
              </w:rPr>
            </w:pPr>
            <w:r w:rsidRPr="00CC7E15">
              <w:rPr>
                <w:b/>
                <w:iCs/>
                <w:color w:val="000000" w:themeColor="text1"/>
                <w:szCs w:val="24"/>
                <w:lang w:eastAsia="lt-LT"/>
              </w:rPr>
              <w:t>11 straipsnis</w:t>
            </w:r>
          </w:p>
          <w:p w14:paraId="26CF9B7C" w14:textId="77777777" w:rsidR="00F53BA4" w:rsidRPr="00CC7E15" w:rsidRDefault="00F53BA4" w:rsidP="00F40B71">
            <w:pPr>
              <w:shd w:val="clear" w:color="auto" w:fill="FFFFFF"/>
              <w:rPr>
                <w:b/>
                <w:bCs/>
                <w:color w:val="000000" w:themeColor="text1"/>
                <w:szCs w:val="24"/>
                <w:lang w:eastAsia="lt-LT"/>
              </w:rPr>
            </w:pPr>
            <w:r w:rsidRPr="00CC7E15">
              <w:rPr>
                <w:b/>
                <w:bCs/>
                <w:color w:val="000000" w:themeColor="text1"/>
                <w:szCs w:val="24"/>
                <w:lang w:eastAsia="lt-LT"/>
              </w:rPr>
              <w:t>Eksporto ir importo leidimai</w:t>
            </w:r>
          </w:p>
          <w:p w14:paraId="058CB127" w14:textId="77777777" w:rsidR="00F53BA4" w:rsidRPr="00CC7E15" w:rsidRDefault="00F53BA4" w:rsidP="00F40B71">
            <w:pPr>
              <w:shd w:val="clear" w:color="auto" w:fill="FFFFFF"/>
              <w:jc w:val="both"/>
              <w:rPr>
                <w:color w:val="000000" w:themeColor="text1"/>
                <w:szCs w:val="24"/>
                <w:lang w:eastAsia="lt-LT"/>
              </w:rPr>
            </w:pPr>
            <w:r w:rsidRPr="00CC7E15">
              <w:rPr>
                <w:color w:val="000000" w:themeColor="text1"/>
                <w:szCs w:val="24"/>
                <w:lang w:eastAsia="lt-LT"/>
              </w:rPr>
              <w:t>1.   Eksporto ir importo leidimai, nurodyti Reglamento (EB) Nr. 111/2005 28 straipsnyje, turi būti šio reglamento atitinkamai III arba IV prieduose nustatytos formos.</w:t>
            </w:r>
          </w:p>
          <w:p w14:paraId="0174D520" w14:textId="77777777" w:rsidR="00F53BA4" w:rsidRPr="00CC7E15" w:rsidRDefault="00F53BA4" w:rsidP="00F40B71">
            <w:pPr>
              <w:shd w:val="clear" w:color="auto" w:fill="FFFFFF"/>
              <w:jc w:val="both"/>
              <w:rPr>
                <w:bCs/>
                <w:color w:val="000000" w:themeColor="text1"/>
                <w:szCs w:val="24"/>
              </w:rPr>
            </w:pPr>
            <w:r w:rsidRPr="00CC7E15">
              <w:rPr>
                <w:color w:val="000000" w:themeColor="text1"/>
                <w:szCs w:val="24"/>
                <w:lang w:eastAsia="lt-LT"/>
              </w:rPr>
              <w:t>Nukrypstant nuo pirmos pastraipos, leidimo numeriui skirtas langelis gali būti kitokios formos, jeigu eksporto ar importo leidimas suteikiamas elektroninėmis priemonėmis.</w:t>
            </w:r>
            <w:r w:rsidRPr="00CC7E15">
              <w:rPr>
                <w:bCs/>
                <w:color w:val="000000" w:themeColor="text1"/>
                <w:szCs w:val="24"/>
              </w:rPr>
              <w:t xml:space="preserve"> </w:t>
            </w:r>
          </w:p>
          <w:p w14:paraId="74DC55DD" w14:textId="77777777" w:rsidR="00F53BA4" w:rsidRPr="00CC7E15" w:rsidRDefault="00F53BA4" w:rsidP="00F40B71">
            <w:pPr>
              <w:jc w:val="both"/>
              <w:rPr>
                <w:bCs/>
                <w:color w:val="000000" w:themeColor="text1"/>
                <w:szCs w:val="24"/>
              </w:rPr>
            </w:pPr>
            <w:r w:rsidRPr="00CC7E15">
              <w:rPr>
                <w:bCs/>
                <w:color w:val="000000" w:themeColor="text1"/>
                <w:szCs w:val="24"/>
              </w:rPr>
              <w:t>&lt;...&gt;</w:t>
            </w:r>
          </w:p>
          <w:p w14:paraId="139F12A5" w14:textId="77777777" w:rsidR="00F53BA4" w:rsidRPr="00CC7E15" w:rsidRDefault="00F53BA4" w:rsidP="00F40B71">
            <w:pPr>
              <w:jc w:val="both"/>
              <w:rPr>
                <w:color w:val="000000" w:themeColor="text1"/>
                <w:szCs w:val="24"/>
                <w:shd w:val="clear" w:color="auto" w:fill="FFFFFF"/>
              </w:rPr>
            </w:pPr>
            <w:r w:rsidRPr="00CC7E15">
              <w:rPr>
                <w:color w:val="000000" w:themeColor="text1"/>
                <w:szCs w:val="24"/>
                <w:shd w:val="clear" w:color="auto" w:fill="FFFFFF"/>
              </w:rPr>
              <w:t>7.   Nukrypdama nuo 1–6 dalių, valstybė narė gali išduoti eksporto arba importo leidimą ant formos, išspausdintos iki šio reglamento įsigaliojimo dienos ir atitinkančios Komisijos reglamentą (EB) Nr. 1277/2005, kol baigsis atsargos.</w:t>
            </w:r>
          </w:p>
          <w:p w14:paraId="33084C09" w14:textId="568A861B" w:rsidR="00F53BA4" w:rsidRPr="00CC7E15" w:rsidRDefault="00F53BA4" w:rsidP="00F40B71">
            <w:pPr>
              <w:jc w:val="both"/>
              <w:rPr>
                <w:rStyle w:val="Numatytasispastraiposriftas1"/>
                <w:bCs/>
                <w:color w:val="000000" w:themeColor="text1"/>
                <w:szCs w:val="24"/>
              </w:rPr>
            </w:pPr>
            <w:r w:rsidRPr="00CC7E15">
              <w:rPr>
                <w:bCs/>
                <w:color w:val="000000" w:themeColor="text1"/>
                <w:szCs w:val="24"/>
              </w:rPr>
              <w:t>&lt;...&gt;</w:t>
            </w:r>
          </w:p>
        </w:tc>
        <w:tc>
          <w:tcPr>
            <w:tcW w:w="6946" w:type="dxa"/>
          </w:tcPr>
          <w:p w14:paraId="365D1C52" w14:textId="77777777" w:rsidR="00F53BA4" w:rsidRPr="0042380A" w:rsidRDefault="00F53BA4" w:rsidP="00F40B71">
            <w:pPr>
              <w:tabs>
                <w:tab w:val="left" w:pos="1134"/>
              </w:tabs>
              <w:suppressAutoHyphens/>
              <w:autoSpaceDN w:val="0"/>
              <w:jc w:val="both"/>
              <w:textAlignment w:val="baseline"/>
              <w:rPr>
                <w:b/>
                <w:szCs w:val="24"/>
                <w:lang w:eastAsia="lt-LT"/>
              </w:rPr>
            </w:pPr>
            <w:r w:rsidRPr="0042380A">
              <w:rPr>
                <w:b/>
                <w:szCs w:val="24"/>
                <w:lang w:eastAsia="lt-LT"/>
              </w:rPr>
              <w:t>Projektas</w:t>
            </w:r>
          </w:p>
          <w:p w14:paraId="3F6B20C3" w14:textId="77777777" w:rsidR="000E1318" w:rsidRDefault="000E1318" w:rsidP="00F40B71">
            <w:pPr>
              <w:tabs>
                <w:tab w:val="left" w:pos="1134"/>
              </w:tabs>
              <w:suppressAutoHyphens/>
              <w:autoSpaceDN w:val="0"/>
              <w:jc w:val="both"/>
              <w:textAlignment w:val="baseline"/>
              <w:rPr>
                <w:szCs w:val="24"/>
                <w:lang w:eastAsia="lt-LT"/>
              </w:rPr>
            </w:pPr>
          </w:p>
          <w:p w14:paraId="2D143867" w14:textId="77777777" w:rsidR="00F53BA4" w:rsidRPr="0042380A" w:rsidRDefault="00F53BA4" w:rsidP="00F40B71">
            <w:pPr>
              <w:tabs>
                <w:tab w:val="left" w:pos="1134"/>
              </w:tabs>
              <w:suppressAutoHyphens/>
              <w:autoSpaceDN w:val="0"/>
              <w:jc w:val="both"/>
              <w:textAlignment w:val="baseline"/>
              <w:rPr>
                <w:b/>
                <w:szCs w:val="24"/>
                <w:lang w:eastAsia="lt-LT"/>
              </w:rPr>
            </w:pPr>
            <w:r w:rsidRPr="0042380A">
              <w:rPr>
                <w:szCs w:val="24"/>
                <w:lang w:eastAsia="lt-LT"/>
              </w:rPr>
              <w:t>37. Leidimai išduodami Reglamento (ES) Nr. 2015/1013 III ir IV prieduose nustatytos formos, atsižvelgiant į šio reglamento 11 straipsnio 7 dalį</w:t>
            </w:r>
            <w:r w:rsidRPr="0038246C">
              <w:rPr>
                <w:bCs/>
                <w:szCs w:val="24"/>
                <w:lang w:eastAsia="lt-LT"/>
              </w:rPr>
              <w:t>.</w:t>
            </w:r>
            <w:r w:rsidRPr="0042380A">
              <w:rPr>
                <w:b/>
                <w:szCs w:val="24"/>
                <w:lang w:eastAsia="lt-LT"/>
              </w:rPr>
              <w:t xml:space="preserve"> </w:t>
            </w:r>
          </w:p>
          <w:p w14:paraId="6059BCD3" w14:textId="77777777" w:rsidR="00F53BA4" w:rsidRPr="0042380A" w:rsidRDefault="00F53BA4" w:rsidP="007B48E6">
            <w:pPr>
              <w:tabs>
                <w:tab w:val="left" w:pos="1276"/>
              </w:tabs>
              <w:suppressAutoHyphens/>
              <w:autoSpaceDN w:val="0"/>
              <w:jc w:val="both"/>
              <w:textAlignment w:val="baseline"/>
              <w:rPr>
                <w:b/>
                <w:szCs w:val="24"/>
                <w:lang w:eastAsia="lt-LT"/>
              </w:rPr>
            </w:pPr>
          </w:p>
        </w:tc>
        <w:tc>
          <w:tcPr>
            <w:tcW w:w="1984" w:type="dxa"/>
          </w:tcPr>
          <w:p w14:paraId="6DADD666" w14:textId="24E80A35" w:rsidR="00F53BA4" w:rsidRPr="0042380A" w:rsidRDefault="00F53BA4" w:rsidP="007B48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Visiškas</w:t>
            </w:r>
          </w:p>
        </w:tc>
      </w:tr>
      <w:tr w:rsidR="00F53BA4" w:rsidRPr="0042380A" w14:paraId="004FCDF9" w14:textId="77777777" w:rsidTr="00F53BA4">
        <w:tc>
          <w:tcPr>
            <w:tcW w:w="5812" w:type="dxa"/>
          </w:tcPr>
          <w:p w14:paraId="7065F885" w14:textId="638BCF73" w:rsidR="00F53BA4" w:rsidRPr="00CC7E15" w:rsidRDefault="00F53BA4" w:rsidP="007B48E6">
            <w:pPr>
              <w:pStyle w:val="Pagrindiniotekstotrauka2"/>
              <w:tabs>
                <w:tab w:val="left" w:pos="0"/>
              </w:tabs>
              <w:spacing w:after="0" w:line="240" w:lineRule="auto"/>
              <w:ind w:left="0"/>
              <w:jc w:val="both"/>
              <w:outlineLvl w:val="0"/>
              <w:rPr>
                <w:rStyle w:val="Numatytasispastraiposriftas1"/>
                <w:b/>
                <w:color w:val="000000" w:themeColor="text1"/>
                <w:szCs w:val="24"/>
                <w:shd w:val="clear" w:color="auto" w:fill="FFFFFF"/>
              </w:rPr>
            </w:pPr>
            <w:r w:rsidRPr="00CC7E15">
              <w:rPr>
                <w:rStyle w:val="Numatytasispastraiposriftas1"/>
                <w:b/>
                <w:color w:val="000000" w:themeColor="text1"/>
                <w:szCs w:val="24"/>
                <w:shd w:val="clear" w:color="auto" w:fill="FFFFFF"/>
              </w:rPr>
              <w:lastRenderedPageBreak/>
              <w:t>12 straipsnis</w:t>
            </w:r>
          </w:p>
          <w:p w14:paraId="05A25E20" w14:textId="204C55E6" w:rsidR="00F53BA4" w:rsidRPr="00CC7E15" w:rsidRDefault="00F53BA4" w:rsidP="007B48E6">
            <w:pPr>
              <w:pStyle w:val="Pagrindiniotekstotrauka2"/>
              <w:tabs>
                <w:tab w:val="left" w:pos="0"/>
              </w:tabs>
              <w:spacing w:after="0" w:line="240" w:lineRule="auto"/>
              <w:ind w:left="0"/>
              <w:jc w:val="both"/>
              <w:outlineLvl w:val="0"/>
              <w:rPr>
                <w:rStyle w:val="Numatytasispastraiposriftas1"/>
                <w:b/>
                <w:bCs/>
                <w:color w:val="000000" w:themeColor="text1"/>
                <w:szCs w:val="24"/>
                <w:shd w:val="clear" w:color="auto" w:fill="FFFFFF"/>
              </w:rPr>
            </w:pPr>
            <w:r w:rsidRPr="00CC7E15">
              <w:rPr>
                <w:b/>
                <w:bCs/>
                <w:color w:val="000000" w:themeColor="text1"/>
              </w:rPr>
              <w:t>Ūkio subjektų ir naudotojų įtraukimas į Europos narkotinių ir psichotropinių medžiagų pirmtakų (</w:t>
            </w:r>
            <w:proofErr w:type="spellStart"/>
            <w:r w:rsidRPr="00CC7E15">
              <w:rPr>
                <w:b/>
                <w:bCs/>
                <w:color w:val="000000" w:themeColor="text1"/>
              </w:rPr>
              <w:t>prekursorių</w:t>
            </w:r>
            <w:proofErr w:type="spellEnd"/>
            <w:r w:rsidRPr="00CC7E15">
              <w:rPr>
                <w:b/>
                <w:bCs/>
                <w:color w:val="000000" w:themeColor="text1"/>
              </w:rPr>
              <w:t>) duomenų bazę</w:t>
            </w:r>
          </w:p>
          <w:p w14:paraId="07398BEC" w14:textId="77AF9660" w:rsidR="00F53BA4" w:rsidRPr="00CC7E15" w:rsidRDefault="00F53BA4" w:rsidP="007B48E6">
            <w:pPr>
              <w:pStyle w:val="Pagrindiniotekstotrauka2"/>
              <w:tabs>
                <w:tab w:val="left" w:pos="0"/>
              </w:tabs>
              <w:spacing w:after="0" w:line="240" w:lineRule="auto"/>
              <w:ind w:left="0"/>
              <w:jc w:val="both"/>
              <w:outlineLvl w:val="0"/>
              <w:rPr>
                <w:rStyle w:val="Numatytasispastraiposriftas1"/>
                <w:bCs/>
                <w:color w:val="000000" w:themeColor="text1"/>
                <w:szCs w:val="24"/>
                <w:shd w:val="clear" w:color="auto" w:fill="FFFFFF"/>
              </w:rPr>
            </w:pPr>
            <w:r w:rsidRPr="00CC7E15">
              <w:rPr>
                <w:rStyle w:val="Numatytasispastraiposriftas1"/>
                <w:bCs/>
                <w:color w:val="000000" w:themeColor="text1"/>
                <w:szCs w:val="24"/>
                <w:shd w:val="clear" w:color="auto" w:fill="FFFFFF"/>
              </w:rPr>
              <w:t>1. Licenciją arba registracijos pažymėjimą pagal Reglamento (EB) Nr. 273/2004 3 straipsnio 7 dalį gavusių ūkio subjektų ir naudotojų įtraukimo į Europos narkotinių ir psichotropinių medžiagų pirmtakų (</w:t>
            </w:r>
            <w:proofErr w:type="spellStart"/>
            <w:r w:rsidRPr="00CC7E15">
              <w:rPr>
                <w:rStyle w:val="Numatytasispastraiposriftas1"/>
                <w:bCs/>
                <w:color w:val="000000" w:themeColor="text1"/>
                <w:szCs w:val="24"/>
                <w:shd w:val="clear" w:color="auto" w:fill="FFFFFF"/>
              </w:rPr>
              <w:t>prekursorių</w:t>
            </w:r>
            <w:proofErr w:type="spellEnd"/>
            <w:r w:rsidRPr="00CC7E15">
              <w:rPr>
                <w:rStyle w:val="Numatytasispastraiposriftas1"/>
                <w:bCs/>
                <w:color w:val="000000" w:themeColor="text1"/>
                <w:szCs w:val="24"/>
                <w:shd w:val="clear" w:color="auto" w:fill="FFFFFF"/>
              </w:rPr>
              <w:t>) duomenų bazę reikmėms kiekviena valstybė narė paskiria po vieną informacinį punktą ir jo kontaktinius duomenis pateikia Komisijai.</w:t>
            </w:r>
          </w:p>
          <w:p w14:paraId="12FC027A" w14:textId="48DF3A55" w:rsidR="00F53BA4" w:rsidRPr="00CC7E15" w:rsidRDefault="00F53BA4" w:rsidP="007B48E6">
            <w:pPr>
              <w:pStyle w:val="Pagrindiniotekstotrauka2"/>
              <w:tabs>
                <w:tab w:val="left" w:pos="0"/>
              </w:tabs>
              <w:spacing w:after="0" w:line="240" w:lineRule="auto"/>
              <w:ind w:left="0"/>
              <w:jc w:val="both"/>
              <w:outlineLvl w:val="0"/>
              <w:rPr>
                <w:rStyle w:val="Numatytasispastraiposriftas1"/>
                <w:b/>
                <w:bCs/>
                <w:color w:val="000000" w:themeColor="text1"/>
                <w:szCs w:val="24"/>
                <w:shd w:val="clear" w:color="auto" w:fill="FFFFFF"/>
              </w:rPr>
            </w:pPr>
            <w:r w:rsidRPr="00CC7E15">
              <w:rPr>
                <w:bCs/>
                <w:color w:val="000000" w:themeColor="text1"/>
                <w:szCs w:val="24"/>
              </w:rPr>
              <w:t>&lt;...&gt;</w:t>
            </w:r>
          </w:p>
        </w:tc>
        <w:tc>
          <w:tcPr>
            <w:tcW w:w="6946" w:type="dxa"/>
          </w:tcPr>
          <w:p w14:paraId="68F7B50B" w14:textId="77777777" w:rsidR="00F53BA4" w:rsidRPr="0042380A" w:rsidRDefault="00F53BA4" w:rsidP="007B48E6">
            <w:pPr>
              <w:tabs>
                <w:tab w:val="left" w:pos="1134"/>
              </w:tabs>
              <w:suppressAutoHyphens/>
              <w:autoSpaceDN w:val="0"/>
              <w:jc w:val="both"/>
              <w:textAlignment w:val="baseline"/>
              <w:rPr>
                <w:b/>
                <w:szCs w:val="24"/>
                <w:lang w:eastAsia="lt-LT"/>
              </w:rPr>
            </w:pPr>
            <w:r w:rsidRPr="0042380A">
              <w:rPr>
                <w:b/>
                <w:szCs w:val="24"/>
                <w:lang w:eastAsia="lt-LT"/>
              </w:rPr>
              <w:t>Projektas</w:t>
            </w:r>
          </w:p>
          <w:p w14:paraId="0BD4BAA0" w14:textId="77777777" w:rsidR="000E1318" w:rsidRDefault="000E1318" w:rsidP="007B48E6">
            <w:pPr>
              <w:tabs>
                <w:tab w:val="left" w:pos="1134"/>
              </w:tabs>
              <w:suppressAutoHyphens/>
              <w:autoSpaceDN w:val="0"/>
              <w:jc w:val="both"/>
              <w:textAlignment w:val="baseline"/>
              <w:rPr>
                <w:szCs w:val="24"/>
                <w:lang w:eastAsia="lt-LT"/>
              </w:rPr>
            </w:pPr>
          </w:p>
          <w:p w14:paraId="7B08412C" w14:textId="77777777" w:rsidR="000E1318" w:rsidRDefault="000E1318" w:rsidP="007B48E6">
            <w:pPr>
              <w:tabs>
                <w:tab w:val="left" w:pos="1134"/>
              </w:tabs>
              <w:suppressAutoHyphens/>
              <w:autoSpaceDN w:val="0"/>
              <w:jc w:val="both"/>
              <w:textAlignment w:val="baseline"/>
              <w:rPr>
                <w:szCs w:val="24"/>
                <w:lang w:eastAsia="lt-LT"/>
              </w:rPr>
            </w:pPr>
          </w:p>
          <w:p w14:paraId="06B925E8" w14:textId="77777777" w:rsidR="000E1318" w:rsidRDefault="000E1318" w:rsidP="007B48E6">
            <w:pPr>
              <w:tabs>
                <w:tab w:val="left" w:pos="1134"/>
              </w:tabs>
              <w:suppressAutoHyphens/>
              <w:autoSpaceDN w:val="0"/>
              <w:jc w:val="both"/>
              <w:textAlignment w:val="baseline"/>
              <w:rPr>
                <w:szCs w:val="24"/>
                <w:lang w:eastAsia="lt-LT"/>
              </w:rPr>
            </w:pPr>
          </w:p>
          <w:p w14:paraId="71FDC323" w14:textId="3F3B763A" w:rsidR="00F53BA4" w:rsidRPr="0042380A" w:rsidRDefault="00F53BA4" w:rsidP="007B48E6">
            <w:pPr>
              <w:tabs>
                <w:tab w:val="left" w:pos="1134"/>
              </w:tabs>
              <w:suppressAutoHyphens/>
              <w:autoSpaceDN w:val="0"/>
              <w:jc w:val="both"/>
              <w:textAlignment w:val="baseline"/>
              <w:rPr>
                <w:szCs w:val="24"/>
              </w:rPr>
            </w:pPr>
            <w:r w:rsidRPr="0042380A">
              <w:rPr>
                <w:szCs w:val="24"/>
                <w:lang w:eastAsia="lt-LT"/>
              </w:rPr>
              <w:t>47. Narkotikų, tabako ir alkoholio kontrolės departamentas duomenis apie veiklą, susijusią su narkotinių ir psichotropinių medžiagų pirmtakais (</w:t>
            </w:r>
            <w:proofErr w:type="spellStart"/>
            <w:r w:rsidRPr="0042380A">
              <w:rPr>
                <w:szCs w:val="24"/>
                <w:lang w:eastAsia="lt-LT"/>
              </w:rPr>
              <w:t>prekursoriais</w:t>
            </w:r>
            <w:proofErr w:type="spellEnd"/>
            <w:r w:rsidRPr="0042380A">
              <w:rPr>
                <w:szCs w:val="24"/>
                <w:lang w:eastAsia="lt-LT"/>
              </w:rPr>
              <w:t xml:space="preserve">), perduoda į Europos narkotinių ir psichotropinių medžiagų (pirmtakų) </w:t>
            </w:r>
            <w:proofErr w:type="spellStart"/>
            <w:r w:rsidRPr="0042380A">
              <w:rPr>
                <w:szCs w:val="24"/>
                <w:lang w:eastAsia="lt-LT"/>
              </w:rPr>
              <w:t>prekursorių</w:t>
            </w:r>
            <w:proofErr w:type="spellEnd"/>
            <w:r w:rsidRPr="0042380A">
              <w:rPr>
                <w:szCs w:val="24"/>
                <w:lang w:eastAsia="lt-LT"/>
              </w:rPr>
              <w:t xml:space="preserve"> duomenų bazę Reglamento (ES) Nr. 2015/1013 12 straipsnyje ir Reglamento (ES) Nr. 2015/1011 13 straipsnyje nustatyta tvarka.</w:t>
            </w:r>
          </w:p>
        </w:tc>
        <w:tc>
          <w:tcPr>
            <w:tcW w:w="1984" w:type="dxa"/>
          </w:tcPr>
          <w:p w14:paraId="2F340690" w14:textId="132836B9" w:rsidR="00F53BA4" w:rsidRPr="0042380A" w:rsidRDefault="00F53BA4" w:rsidP="007B48E6">
            <w:pPr>
              <w:jc w:val="center"/>
              <w:rPr>
                <w:bCs/>
                <w:szCs w:val="24"/>
              </w:rPr>
            </w:pPr>
            <w:r w:rsidRPr="0042380A">
              <w:rPr>
                <w:bCs/>
                <w:szCs w:val="24"/>
              </w:rPr>
              <w:t>Visiškas</w:t>
            </w:r>
          </w:p>
        </w:tc>
      </w:tr>
    </w:tbl>
    <w:p w14:paraId="109D6DF3" w14:textId="3496968F" w:rsidR="008A4C36" w:rsidRPr="0042380A" w:rsidRDefault="009261D7" w:rsidP="0042380A">
      <w:pPr>
        <w:jc w:val="center"/>
        <w:rPr>
          <w:szCs w:val="24"/>
        </w:rPr>
      </w:pPr>
      <w:r w:rsidRPr="0042380A">
        <w:rPr>
          <w:szCs w:val="24"/>
        </w:rPr>
        <w:t>_________________________________________</w:t>
      </w:r>
    </w:p>
    <w:sectPr w:rsidR="008A4C36" w:rsidRPr="0042380A" w:rsidSect="00C728FB">
      <w:headerReference w:type="default" r:id="rId8"/>
      <w:pgSz w:w="16838" w:h="11906" w:orient="landscape" w:code="9"/>
      <w:pgMar w:top="1134" w:right="962" w:bottom="56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41772" w14:textId="77777777" w:rsidR="00DD5EDB" w:rsidRDefault="00DD5EDB">
      <w:r>
        <w:separator/>
      </w:r>
    </w:p>
  </w:endnote>
  <w:endnote w:type="continuationSeparator" w:id="0">
    <w:p w14:paraId="76357FD3" w14:textId="77777777" w:rsidR="00DD5EDB" w:rsidRDefault="00DD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8EE4D" w14:textId="77777777" w:rsidR="00DD5EDB" w:rsidRDefault="00DD5EDB">
      <w:r>
        <w:separator/>
      </w:r>
    </w:p>
  </w:footnote>
  <w:footnote w:type="continuationSeparator" w:id="0">
    <w:p w14:paraId="55E156F2" w14:textId="77777777" w:rsidR="00DD5EDB" w:rsidRDefault="00DD5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56195" w14:textId="4D54A42A" w:rsidR="006E1BFF" w:rsidRDefault="006E1BF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23D26">
      <w:rPr>
        <w:noProof/>
      </w:rPr>
      <w:t>4</w:t>
    </w:r>
    <w:r>
      <w:fldChar w:fldCharType="end"/>
    </w:r>
  </w:p>
  <w:p w14:paraId="507D5324" w14:textId="77777777" w:rsidR="006E1BFF" w:rsidRDefault="006E1B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40E3C"/>
    <w:multiLevelType w:val="hybridMultilevel"/>
    <w:tmpl w:val="F9E8F436"/>
    <w:lvl w:ilvl="0" w:tplc="E8DA7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317CEA"/>
    <w:multiLevelType w:val="hybridMultilevel"/>
    <w:tmpl w:val="25FA57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94DD0"/>
    <w:multiLevelType w:val="hybridMultilevel"/>
    <w:tmpl w:val="EADA69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2048E"/>
    <w:multiLevelType w:val="hybridMultilevel"/>
    <w:tmpl w:val="0D0E4738"/>
    <w:lvl w:ilvl="0" w:tplc="0427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596AE3"/>
    <w:multiLevelType w:val="hybridMultilevel"/>
    <w:tmpl w:val="BA32AEA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E694A"/>
    <w:multiLevelType w:val="hybridMultilevel"/>
    <w:tmpl w:val="3086DD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148"/>
    <w:rsid w:val="00004683"/>
    <w:rsid w:val="00021CBC"/>
    <w:rsid w:val="00031E24"/>
    <w:rsid w:val="00032E24"/>
    <w:rsid w:val="00033D87"/>
    <w:rsid w:val="000374E9"/>
    <w:rsid w:val="000403B2"/>
    <w:rsid w:val="00040D74"/>
    <w:rsid w:val="0004222E"/>
    <w:rsid w:val="00044FD5"/>
    <w:rsid w:val="000451B7"/>
    <w:rsid w:val="00055574"/>
    <w:rsid w:val="00055DF3"/>
    <w:rsid w:val="00056E28"/>
    <w:rsid w:val="00063BAC"/>
    <w:rsid w:val="000652E3"/>
    <w:rsid w:val="00074FEF"/>
    <w:rsid w:val="00076E4E"/>
    <w:rsid w:val="000802E6"/>
    <w:rsid w:val="00081C53"/>
    <w:rsid w:val="000849EA"/>
    <w:rsid w:val="000850BE"/>
    <w:rsid w:val="00094DEC"/>
    <w:rsid w:val="00097E62"/>
    <w:rsid w:val="000A4391"/>
    <w:rsid w:val="000B1228"/>
    <w:rsid w:val="000B2E9C"/>
    <w:rsid w:val="000B327F"/>
    <w:rsid w:val="000C14D6"/>
    <w:rsid w:val="000C3256"/>
    <w:rsid w:val="000C40F9"/>
    <w:rsid w:val="000C57C5"/>
    <w:rsid w:val="000E1318"/>
    <w:rsid w:val="000E6CA5"/>
    <w:rsid w:val="000F2C1F"/>
    <w:rsid w:val="000F3886"/>
    <w:rsid w:val="000F44F1"/>
    <w:rsid w:val="000F5D96"/>
    <w:rsid w:val="00102815"/>
    <w:rsid w:val="001074DB"/>
    <w:rsid w:val="001122A0"/>
    <w:rsid w:val="00113663"/>
    <w:rsid w:val="001162C4"/>
    <w:rsid w:val="00117713"/>
    <w:rsid w:val="00131698"/>
    <w:rsid w:val="00133EA1"/>
    <w:rsid w:val="001366CC"/>
    <w:rsid w:val="00141C4C"/>
    <w:rsid w:val="001453CC"/>
    <w:rsid w:val="00150DB0"/>
    <w:rsid w:val="001529A4"/>
    <w:rsid w:val="00154CFE"/>
    <w:rsid w:val="00157CC4"/>
    <w:rsid w:val="00160632"/>
    <w:rsid w:val="001607EB"/>
    <w:rsid w:val="00160A50"/>
    <w:rsid w:val="001611B2"/>
    <w:rsid w:val="00163165"/>
    <w:rsid w:val="001650E3"/>
    <w:rsid w:val="00165E7C"/>
    <w:rsid w:val="00166A7D"/>
    <w:rsid w:val="00171DAE"/>
    <w:rsid w:val="00176880"/>
    <w:rsid w:val="001858CD"/>
    <w:rsid w:val="00186690"/>
    <w:rsid w:val="00186824"/>
    <w:rsid w:val="001922D6"/>
    <w:rsid w:val="001A517A"/>
    <w:rsid w:val="001B01E5"/>
    <w:rsid w:val="001B0836"/>
    <w:rsid w:val="001B2821"/>
    <w:rsid w:val="001B572A"/>
    <w:rsid w:val="001C6141"/>
    <w:rsid w:val="001C6B47"/>
    <w:rsid w:val="001C711C"/>
    <w:rsid w:val="001C7E3C"/>
    <w:rsid w:val="001D5B18"/>
    <w:rsid w:val="001D6375"/>
    <w:rsid w:val="001D698E"/>
    <w:rsid w:val="001E224C"/>
    <w:rsid w:val="001E34D5"/>
    <w:rsid w:val="001E4D4C"/>
    <w:rsid w:val="001E5011"/>
    <w:rsid w:val="001F03D5"/>
    <w:rsid w:val="001F06C0"/>
    <w:rsid w:val="001F182C"/>
    <w:rsid w:val="001F4559"/>
    <w:rsid w:val="001F5684"/>
    <w:rsid w:val="001F5832"/>
    <w:rsid w:val="002022AF"/>
    <w:rsid w:val="00210C8F"/>
    <w:rsid w:val="00210D42"/>
    <w:rsid w:val="00211406"/>
    <w:rsid w:val="002120EA"/>
    <w:rsid w:val="00213E3C"/>
    <w:rsid w:val="00214F52"/>
    <w:rsid w:val="00216BE0"/>
    <w:rsid w:val="00217024"/>
    <w:rsid w:val="0022009B"/>
    <w:rsid w:val="0022242E"/>
    <w:rsid w:val="0022294C"/>
    <w:rsid w:val="002256BD"/>
    <w:rsid w:val="0022581D"/>
    <w:rsid w:val="00225F60"/>
    <w:rsid w:val="00226CED"/>
    <w:rsid w:val="00227607"/>
    <w:rsid w:val="00230413"/>
    <w:rsid w:val="00231E57"/>
    <w:rsid w:val="00232918"/>
    <w:rsid w:val="00233C97"/>
    <w:rsid w:val="00235332"/>
    <w:rsid w:val="002458AF"/>
    <w:rsid w:val="00245956"/>
    <w:rsid w:val="002504B1"/>
    <w:rsid w:val="00254647"/>
    <w:rsid w:val="00262160"/>
    <w:rsid w:val="00263702"/>
    <w:rsid w:val="00267E59"/>
    <w:rsid w:val="00271039"/>
    <w:rsid w:val="00273298"/>
    <w:rsid w:val="0027376B"/>
    <w:rsid w:val="002803EE"/>
    <w:rsid w:val="002819B8"/>
    <w:rsid w:val="002829F9"/>
    <w:rsid w:val="0028419E"/>
    <w:rsid w:val="0029564F"/>
    <w:rsid w:val="002974E1"/>
    <w:rsid w:val="002A02BF"/>
    <w:rsid w:val="002A1154"/>
    <w:rsid w:val="002A1F24"/>
    <w:rsid w:val="002B2220"/>
    <w:rsid w:val="002B67D6"/>
    <w:rsid w:val="002B7737"/>
    <w:rsid w:val="002C08EE"/>
    <w:rsid w:val="002C143B"/>
    <w:rsid w:val="002C1880"/>
    <w:rsid w:val="002C189B"/>
    <w:rsid w:val="002D0F1E"/>
    <w:rsid w:val="002D1F23"/>
    <w:rsid w:val="002D21ED"/>
    <w:rsid w:val="002D62A3"/>
    <w:rsid w:val="002D7B3B"/>
    <w:rsid w:val="002E43A4"/>
    <w:rsid w:val="002E5D00"/>
    <w:rsid w:val="002E6AFE"/>
    <w:rsid w:val="002E702D"/>
    <w:rsid w:val="002E732B"/>
    <w:rsid w:val="002F4E06"/>
    <w:rsid w:val="00310346"/>
    <w:rsid w:val="0031119F"/>
    <w:rsid w:val="00311F5E"/>
    <w:rsid w:val="00313E8C"/>
    <w:rsid w:val="00316BFB"/>
    <w:rsid w:val="00323D26"/>
    <w:rsid w:val="00323E5C"/>
    <w:rsid w:val="0032432C"/>
    <w:rsid w:val="00331A6D"/>
    <w:rsid w:val="003371AA"/>
    <w:rsid w:val="00337E7C"/>
    <w:rsid w:val="003446A9"/>
    <w:rsid w:val="003467E0"/>
    <w:rsid w:val="0035090C"/>
    <w:rsid w:val="00353C91"/>
    <w:rsid w:val="00356290"/>
    <w:rsid w:val="00362A90"/>
    <w:rsid w:val="00366ACB"/>
    <w:rsid w:val="003672AB"/>
    <w:rsid w:val="00370CE5"/>
    <w:rsid w:val="00375107"/>
    <w:rsid w:val="0038246C"/>
    <w:rsid w:val="00382D35"/>
    <w:rsid w:val="00384DB2"/>
    <w:rsid w:val="003916A3"/>
    <w:rsid w:val="003933F9"/>
    <w:rsid w:val="003A18E6"/>
    <w:rsid w:val="003A1E13"/>
    <w:rsid w:val="003A4FB7"/>
    <w:rsid w:val="003B1746"/>
    <w:rsid w:val="003B2DCA"/>
    <w:rsid w:val="003B62C3"/>
    <w:rsid w:val="003C17DA"/>
    <w:rsid w:val="003C3993"/>
    <w:rsid w:val="003C4849"/>
    <w:rsid w:val="003D0AE0"/>
    <w:rsid w:val="003D599D"/>
    <w:rsid w:val="003E2825"/>
    <w:rsid w:val="003F087F"/>
    <w:rsid w:val="003F175C"/>
    <w:rsid w:val="003F3C00"/>
    <w:rsid w:val="003F5FB5"/>
    <w:rsid w:val="003F6C66"/>
    <w:rsid w:val="003F700B"/>
    <w:rsid w:val="00401170"/>
    <w:rsid w:val="00404240"/>
    <w:rsid w:val="004064E0"/>
    <w:rsid w:val="00412233"/>
    <w:rsid w:val="00413267"/>
    <w:rsid w:val="00414B5D"/>
    <w:rsid w:val="004161A5"/>
    <w:rsid w:val="00417114"/>
    <w:rsid w:val="00420953"/>
    <w:rsid w:val="0042380A"/>
    <w:rsid w:val="0042419D"/>
    <w:rsid w:val="00424ACD"/>
    <w:rsid w:val="0043185D"/>
    <w:rsid w:val="004352E9"/>
    <w:rsid w:val="0043784F"/>
    <w:rsid w:val="0043794E"/>
    <w:rsid w:val="00440337"/>
    <w:rsid w:val="00440B2B"/>
    <w:rsid w:val="0045426B"/>
    <w:rsid w:val="0045535A"/>
    <w:rsid w:val="00455BF2"/>
    <w:rsid w:val="00457063"/>
    <w:rsid w:val="00457AF8"/>
    <w:rsid w:val="00463702"/>
    <w:rsid w:val="004714E4"/>
    <w:rsid w:val="00475CC2"/>
    <w:rsid w:val="00477F8F"/>
    <w:rsid w:val="00481E72"/>
    <w:rsid w:val="00486D2A"/>
    <w:rsid w:val="00487B7A"/>
    <w:rsid w:val="0049098D"/>
    <w:rsid w:val="00492DBA"/>
    <w:rsid w:val="004C2C46"/>
    <w:rsid w:val="004C31B0"/>
    <w:rsid w:val="004D0DDB"/>
    <w:rsid w:val="004D1E99"/>
    <w:rsid w:val="004D264F"/>
    <w:rsid w:val="004D2A07"/>
    <w:rsid w:val="004D59F1"/>
    <w:rsid w:val="004E1679"/>
    <w:rsid w:val="004E22F5"/>
    <w:rsid w:val="004E4D29"/>
    <w:rsid w:val="004E541B"/>
    <w:rsid w:val="004F0D69"/>
    <w:rsid w:val="004F22CA"/>
    <w:rsid w:val="004F31E3"/>
    <w:rsid w:val="004F41DE"/>
    <w:rsid w:val="004F573A"/>
    <w:rsid w:val="0050084D"/>
    <w:rsid w:val="00500C75"/>
    <w:rsid w:val="00506231"/>
    <w:rsid w:val="0050741E"/>
    <w:rsid w:val="00507E54"/>
    <w:rsid w:val="00512B84"/>
    <w:rsid w:val="005219BE"/>
    <w:rsid w:val="00531B5F"/>
    <w:rsid w:val="005340DB"/>
    <w:rsid w:val="00536641"/>
    <w:rsid w:val="005367B6"/>
    <w:rsid w:val="00537DB4"/>
    <w:rsid w:val="005432F2"/>
    <w:rsid w:val="005448FD"/>
    <w:rsid w:val="00550BDE"/>
    <w:rsid w:val="00556485"/>
    <w:rsid w:val="00561E21"/>
    <w:rsid w:val="005621E5"/>
    <w:rsid w:val="005661ED"/>
    <w:rsid w:val="00567943"/>
    <w:rsid w:val="00567F4F"/>
    <w:rsid w:val="00570EF6"/>
    <w:rsid w:val="00571291"/>
    <w:rsid w:val="00571F9C"/>
    <w:rsid w:val="005833EC"/>
    <w:rsid w:val="00584F2A"/>
    <w:rsid w:val="00585B39"/>
    <w:rsid w:val="00590A91"/>
    <w:rsid w:val="005940DD"/>
    <w:rsid w:val="00595425"/>
    <w:rsid w:val="005A1C50"/>
    <w:rsid w:val="005B3665"/>
    <w:rsid w:val="005C0591"/>
    <w:rsid w:val="005C1C78"/>
    <w:rsid w:val="005C2D6E"/>
    <w:rsid w:val="005D0CC5"/>
    <w:rsid w:val="005D1FC2"/>
    <w:rsid w:val="005D4D45"/>
    <w:rsid w:val="005D5121"/>
    <w:rsid w:val="005D52AB"/>
    <w:rsid w:val="005F1D91"/>
    <w:rsid w:val="006046AD"/>
    <w:rsid w:val="006063E4"/>
    <w:rsid w:val="006067EB"/>
    <w:rsid w:val="00613295"/>
    <w:rsid w:val="006144E1"/>
    <w:rsid w:val="006169EF"/>
    <w:rsid w:val="00620E68"/>
    <w:rsid w:val="006212CB"/>
    <w:rsid w:val="00621771"/>
    <w:rsid w:val="00622277"/>
    <w:rsid w:val="00626416"/>
    <w:rsid w:val="006267CB"/>
    <w:rsid w:val="00631F70"/>
    <w:rsid w:val="0063321E"/>
    <w:rsid w:val="00641835"/>
    <w:rsid w:val="00647C6E"/>
    <w:rsid w:val="0065033D"/>
    <w:rsid w:val="00653104"/>
    <w:rsid w:val="00663A1E"/>
    <w:rsid w:val="00667BF0"/>
    <w:rsid w:val="00667C84"/>
    <w:rsid w:val="00674698"/>
    <w:rsid w:val="00681677"/>
    <w:rsid w:val="006920BB"/>
    <w:rsid w:val="00697E44"/>
    <w:rsid w:val="006A0213"/>
    <w:rsid w:val="006A142C"/>
    <w:rsid w:val="006A3E36"/>
    <w:rsid w:val="006A7328"/>
    <w:rsid w:val="006B067D"/>
    <w:rsid w:val="006B1FED"/>
    <w:rsid w:val="006B230E"/>
    <w:rsid w:val="006B3090"/>
    <w:rsid w:val="006B6E2D"/>
    <w:rsid w:val="006C55D7"/>
    <w:rsid w:val="006D2E45"/>
    <w:rsid w:val="006D514E"/>
    <w:rsid w:val="006D5338"/>
    <w:rsid w:val="006D560D"/>
    <w:rsid w:val="006D59DA"/>
    <w:rsid w:val="006E1BFF"/>
    <w:rsid w:val="006E20B6"/>
    <w:rsid w:val="006F2CF9"/>
    <w:rsid w:val="006F410A"/>
    <w:rsid w:val="006F50B7"/>
    <w:rsid w:val="006F6FBE"/>
    <w:rsid w:val="006F74FA"/>
    <w:rsid w:val="00702686"/>
    <w:rsid w:val="0071177C"/>
    <w:rsid w:val="007133F0"/>
    <w:rsid w:val="00714E31"/>
    <w:rsid w:val="007224C6"/>
    <w:rsid w:val="00732024"/>
    <w:rsid w:val="00732D7E"/>
    <w:rsid w:val="00735A1F"/>
    <w:rsid w:val="00736456"/>
    <w:rsid w:val="00737148"/>
    <w:rsid w:val="00737221"/>
    <w:rsid w:val="00740E3A"/>
    <w:rsid w:val="00741414"/>
    <w:rsid w:val="00741561"/>
    <w:rsid w:val="00743082"/>
    <w:rsid w:val="00747780"/>
    <w:rsid w:val="00753662"/>
    <w:rsid w:val="007550B9"/>
    <w:rsid w:val="007648CE"/>
    <w:rsid w:val="00767D17"/>
    <w:rsid w:val="00773789"/>
    <w:rsid w:val="007911E3"/>
    <w:rsid w:val="007914AC"/>
    <w:rsid w:val="00791C83"/>
    <w:rsid w:val="0079209A"/>
    <w:rsid w:val="00793968"/>
    <w:rsid w:val="00794C82"/>
    <w:rsid w:val="00796409"/>
    <w:rsid w:val="00797259"/>
    <w:rsid w:val="007A0A40"/>
    <w:rsid w:val="007A4F8F"/>
    <w:rsid w:val="007A5129"/>
    <w:rsid w:val="007A7072"/>
    <w:rsid w:val="007A7636"/>
    <w:rsid w:val="007B0423"/>
    <w:rsid w:val="007B2F72"/>
    <w:rsid w:val="007B48E6"/>
    <w:rsid w:val="007B603A"/>
    <w:rsid w:val="007C083F"/>
    <w:rsid w:val="007C21EF"/>
    <w:rsid w:val="007C2A5C"/>
    <w:rsid w:val="007C5080"/>
    <w:rsid w:val="007C6AD9"/>
    <w:rsid w:val="007C6E97"/>
    <w:rsid w:val="007C7703"/>
    <w:rsid w:val="007C7899"/>
    <w:rsid w:val="007D5B35"/>
    <w:rsid w:val="007D7500"/>
    <w:rsid w:val="007E12CC"/>
    <w:rsid w:val="007E4813"/>
    <w:rsid w:val="007E6AB1"/>
    <w:rsid w:val="007F239E"/>
    <w:rsid w:val="007F2DA1"/>
    <w:rsid w:val="007F5B10"/>
    <w:rsid w:val="007F69BB"/>
    <w:rsid w:val="007F6DA4"/>
    <w:rsid w:val="0080059E"/>
    <w:rsid w:val="00805C20"/>
    <w:rsid w:val="00810753"/>
    <w:rsid w:val="00811463"/>
    <w:rsid w:val="0081405D"/>
    <w:rsid w:val="0081410F"/>
    <w:rsid w:val="008144E8"/>
    <w:rsid w:val="0081674D"/>
    <w:rsid w:val="00820484"/>
    <w:rsid w:val="00820E4B"/>
    <w:rsid w:val="00825D7E"/>
    <w:rsid w:val="00830E55"/>
    <w:rsid w:val="00830FD9"/>
    <w:rsid w:val="00834D81"/>
    <w:rsid w:val="0083599C"/>
    <w:rsid w:val="00837D24"/>
    <w:rsid w:val="0084347F"/>
    <w:rsid w:val="00844BA0"/>
    <w:rsid w:val="008507E2"/>
    <w:rsid w:val="00850FAF"/>
    <w:rsid w:val="00853527"/>
    <w:rsid w:val="00856114"/>
    <w:rsid w:val="0085768C"/>
    <w:rsid w:val="00863574"/>
    <w:rsid w:val="00863713"/>
    <w:rsid w:val="00865C10"/>
    <w:rsid w:val="008667DB"/>
    <w:rsid w:val="008710D4"/>
    <w:rsid w:val="008744E5"/>
    <w:rsid w:val="0088315B"/>
    <w:rsid w:val="00891E16"/>
    <w:rsid w:val="00891F25"/>
    <w:rsid w:val="00897353"/>
    <w:rsid w:val="008A0D2C"/>
    <w:rsid w:val="008A1551"/>
    <w:rsid w:val="008A37D8"/>
    <w:rsid w:val="008A4C36"/>
    <w:rsid w:val="008A5485"/>
    <w:rsid w:val="008A5D5B"/>
    <w:rsid w:val="008A7037"/>
    <w:rsid w:val="008B299E"/>
    <w:rsid w:val="008B4200"/>
    <w:rsid w:val="008B6FA2"/>
    <w:rsid w:val="008B7ABE"/>
    <w:rsid w:val="008B7DDC"/>
    <w:rsid w:val="008C0A24"/>
    <w:rsid w:val="008C2D32"/>
    <w:rsid w:val="008C7D3A"/>
    <w:rsid w:val="008D4776"/>
    <w:rsid w:val="008D4C91"/>
    <w:rsid w:val="008E37B2"/>
    <w:rsid w:val="008E486C"/>
    <w:rsid w:val="008E6264"/>
    <w:rsid w:val="008F16F0"/>
    <w:rsid w:val="008F4FA4"/>
    <w:rsid w:val="008F540C"/>
    <w:rsid w:val="008F6A2A"/>
    <w:rsid w:val="008F7305"/>
    <w:rsid w:val="009015C1"/>
    <w:rsid w:val="00904B81"/>
    <w:rsid w:val="00906B51"/>
    <w:rsid w:val="00911173"/>
    <w:rsid w:val="00916EB3"/>
    <w:rsid w:val="009261D7"/>
    <w:rsid w:val="009262C1"/>
    <w:rsid w:val="009323BA"/>
    <w:rsid w:val="009324F9"/>
    <w:rsid w:val="00935E17"/>
    <w:rsid w:val="0094076C"/>
    <w:rsid w:val="0094153F"/>
    <w:rsid w:val="009425A1"/>
    <w:rsid w:val="00943FAA"/>
    <w:rsid w:val="00952CD9"/>
    <w:rsid w:val="009579C4"/>
    <w:rsid w:val="00960E14"/>
    <w:rsid w:val="009634BA"/>
    <w:rsid w:val="00963EB1"/>
    <w:rsid w:val="009666BF"/>
    <w:rsid w:val="00972D44"/>
    <w:rsid w:val="009740FE"/>
    <w:rsid w:val="00974BF0"/>
    <w:rsid w:val="009825F7"/>
    <w:rsid w:val="009870FC"/>
    <w:rsid w:val="00987798"/>
    <w:rsid w:val="009923B5"/>
    <w:rsid w:val="00992B21"/>
    <w:rsid w:val="0099761D"/>
    <w:rsid w:val="009A68EE"/>
    <w:rsid w:val="009A777B"/>
    <w:rsid w:val="009B0B35"/>
    <w:rsid w:val="009B311E"/>
    <w:rsid w:val="009B54D7"/>
    <w:rsid w:val="009C0C20"/>
    <w:rsid w:val="009C1ED7"/>
    <w:rsid w:val="009D3463"/>
    <w:rsid w:val="009D7608"/>
    <w:rsid w:val="009E0B7C"/>
    <w:rsid w:val="009E0EF0"/>
    <w:rsid w:val="009E2B30"/>
    <w:rsid w:val="009E2B7B"/>
    <w:rsid w:val="009F14C0"/>
    <w:rsid w:val="009F317D"/>
    <w:rsid w:val="009F4C59"/>
    <w:rsid w:val="009F4EF6"/>
    <w:rsid w:val="009F608A"/>
    <w:rsid w:val="00A006EC"/>
    <w:rsid w:val="00A0089C"/>
    <w:rsid w:val="00A0123F"/>
    <w:rsid w:val="00A04075"/>
    <w:rsid w:val="00A06016"/>
    <w:rsid w:val="00A10D87"/>
    <w:rsid w:val="00A12254"/>
    <w:rsid w:val="00A15090"/>
    <w:rsid w:val="00A2243B"/>
    <w:rsid w:val="00A23984"/>
    <w:rsid w:val="00A26652"/>
    <w:rsid w:val="00A3059E"/>
    <w:rsid w:val="00A35284"/>
    <w:rsid w:val="00A36AB4"/>
    <w:rsid w:val="00A40C47"/>
    <w:rsid w:val="00A419C0"/>
    <w:rsid w:val="00A4513C"/>
    <w:rsid w:val="00A464EC"/>
    <w:rsid w:val="00A539D4"/>
    <w:rsid w:val="00A61809"/>
    <w:rsid w:val="00A625B7"/>
    <w:rsid w:val="00A66473"/>
    <w:rsid w:val="00A7410D"/>
    <w:rsid w:val="00A7458E"/>
    <w:rsid w:val="00A75BDA"/>
    <w:rsid w:val="00A76F18"/>
    <w:rsid w:val="00A80147"/>
    <w:rsid w:val="00A82451"/>
    <w:rsid w:val="00A828C2"/>
    <w:rsid w:val="00A847D8"/>
    <w:rsid w:val="00A87DEF"/>
    <w:rsid w:val="00A904D0"/>
    <w:rsid w:val="00A944A4"/>
    <w:rsid w:val="00A96A96"/>
    <w:rsid w:val="00A977D0"/>
    <w:rsid w:val="00AA1DBE"/>
    <w:rsid w:val="00AA2C61"/>
    <w:rsid w:val="00AB379C"/>
    <w:rsid w:val="00AB6C7B"/>
    <w:rsid w:val="00AC28AC"/>
    <w:rsid w:val="00AC2DB7"/>
    <w:rsid w:val="00AC2DD6"/>
    <w:rsid w:val="00AC2FFC"/>
    <w:rsid w:val="00AC383E"/>
    <w:rsid w:val="00AC5DC1"/>
    <w:rsid w:val="00AC63F8"/>
    <w:rsid w:val="00AD0DB4"/>
    <w:rsid w:val="00AD1603"/>
    <w:rsid w:val="00AD17D4"/>
    <w:rsid w:val="00AD3DCA"/>
    <w:rsid w:val="00AD4A55"/>
    <w:rsid w:val="00AE1DE1"/>
    <w:rsid w:val="00AE5381"/>
    <w:rsid w:val="00AF446D"/>
    <w:rsid w:val="00AF5754"/>
    <w:rsid w:val="00B0144F"/>
    <w:rsid w:val="00B01B5C"/>
    <w:rsid w:val="00B03134"/>
    <w:rsid w:val="00B056D3"/>
    <w:rsid w:val="00B06196"/>
    <w:rsid w:val="00B079A8"/>
    <w:rsid w:val="00B1414C"/>
    <w:rsid w:val="00B1523C"/>
    <w:rsid w:val="00B20600"/>
    <w:rsid w:val="00B21132"/>
    <w:rsid w:val="00B24810"/>
    <w:rsid w:val="00B24854"/>
    <w:rsid w:val="00B24A9C"/>
    <w:rsid w:val="00B26146"/>
    <w:rsid w:val="00B2714F"/>
    <w:rsid w:val="00B34BD1"/>
    <w:rsid w:val="00B44718"/>
    <w:rsid w:val="00B52585"/>
    <w:rsid w:val="00B52A76"/>
    <w:rsid w:val="00B53093"/>
    <w:rsid w:val="00B54164"/>
    <w:rsid w:val="00B54D66"/>
    <w:rsid w:val="00B6078C"/>
    <w:rsid w:val="00B61A7E"/>
    <w:rsid w:val="00B636BD"/>
    <w:rsid w:val="00B67064"/>
    <w:rsid w:val="00B674AD"/>
    <w:rsid w:val="00B6758B"/>
    <w:rsid w:val="00B715CB"/>
    <w:rsid w:val="00B7231F"/>
    <w:rsid w:val="00B72808"/>
    <w:rsid w:val="00B728E3"/>
    <w:rsid w:val="00B73A5A"/>
    <w:rsid w:val="00B751EE"/>
    <w:rsid w:val="00B76E9C"/>
    <w:rsid w:val="00B80AD1"/>
    <w:rsid w:val="00B813DD"/>
    <w:rsid w:val="00B85E5E"/>
    <w:rsid w:val="00B87C30"/>
    <w:rsid w:val="00B94671"/>
    <w:rsid w:val="00BA0DD9"/>
    <w:rsid w:val="00BA204B"/>
    <w:rsid w:val="00BA70FE"/>
    <w:rsid w:val="00BB0BD9"/>
    <w:rsid w:val="00BB4A53"/>
    <w:rsid w:val="00BB7523"/>
    <w:rsid w:val="00BC6F4E"/>
    <w:rsid w:val="00BD45B8"/>
    <w:rsid w:val="00BD497F"/>
    <w:rsid w:val="00BD4CBD"/>
    <w:rsid w:val="00BE2C92"/>
    <w:rsid w:val="00BE3BEB"/>
    <w:rsid w:val="00BE6165"/>
    <w:rsid w:val="00BE6F35"/>
    <w:rsid w:val="00BF11C2"/>
    <w:rsid w:val="00BF5C1F"/>
    <w:rsid w:val="00BF7393"/>
    <w:rsid w:val="00C100BB"/>
    <w:rsid w:val="00C115B5"/>
    <w:rsid w:val="00C12232"/>
    <w:rsid w:val="00C243D9"/>
    <w:rsid w:val="00C26A3F"/>
    <w:rsid w:val="00C26F72"/>
    <w:rsid w:val="00C31020"/>
    <w:rsid w:val="00C33134"/>
    <w:rsid w:val="00C35653"/>
    <w:rsid w:val="00C36C89"/>
    <w:rsid w:val="00C439E6"/>
    <w:rsid w:val="00C43A75"/>
    <w:rsid w:val="00C471DA"/>
    <w:rsid w:val="00C475DC"/>
    <w:rsid w:val="00C5454E"/>
    <w:rsid w:val="00C54FF5"/>
    <w:rsid w:val="00C6238D"/>
    <w:rsid w:val="00C625EF"/>
    <w:rsid w:val="00C62BC7"/>
    <w:rsid w:val="00C6494A"/>
    <w:rsid w:val="00C728FB"/>
    <w:rsid w:val="00C72C84"/>
    <w:rsid w:val="00C75DE3"/>
    <w:rsid w:val="00C75FA1"/>
    <w:rsid w:val="00C77226"/>
    <w:rsid w:val="00C7722A"/>
    <w:rsid w:val="00C7775B"/>
    <w:rsid w:val="00C77C15"/>
    <w:rsid w:val="00C82CE6"/>
    <w:rsid w:val="00C83B67"/>
    <w:rsid w:val="00C850BF"/>
    <w:rsid w:val="00C85285"/>
    <w:rsid w:val="00C87784"/>
    <w:rsid w:val="00C90E56"/>
    <w:rsid w:val="00C967E4"/>
    <w:rsid w:val="00CA264D"/>
    <w:rsid w:val="00CA35D7"/>
    <w:rsid w:val="00CB02E5"/>
    <w:rsid w:val="00CB5FDB"/>
    <w:rsid w:val="00CB750C"/>
    <w:rsid w:val="00CC4054"/>
    <w:rsid w:val="00CC73D4"/>
    <w:rsid w:val="00CC7E15"/>
    <w:rsid w:val="00CD41D4"/>
    <w:rsid w:val="00CD5BBA"/>
    <w:rsid w:val="00CE33B6"/>
    <w:rsid w:val="00CE56B9"/>
    <w:rsid w:val="00CE6C7E"/>
    <w:rsid w:val="00CE772E"/>
    <w:rsid w:val="00CF0089"/>
    <w:rsid w:val="00CF0DBE"/>
    <w:rsid w:val="00CF3222"/>
    <w:rsid w:val="00CF34AD"/>
    <w:rsid w:val="00CF683E"/>
    <w:rsid w:val="00D05123"/>
    <w:rsid w:val="00D05C55"/>
    <w:rsid w:val="00D06EE8"/>
    <w:rsid w:val="00D117CC"/>
    <w:rsid w:val="00D13890"/>
    <w:rsid w:val="00D13E55"/>
    <w:rsid w:val="00D15445"/>
    <w:rsid w:val="00D15A04"/>
    <w:rsid w:val="00D17E07"/>
    <w:rsid w:val="00D21266"/>
    <w:rsid w:val="00D249CD"/>
    <w:rsid w:val="00D310AA"/>
    <w:rsid w:val="00D32504"/>
    <w:rsid w:val="00D36BD7"/>
    <w:rsid w:val="00D4110F"/>
    <w:rsid w:val="00D41F8E"/>
    <w:rsid w:val="00D45D78"/>
    <w:rsid w:val="00D46B8B"/>
    <w:rsid w:val="00D50F9B"/>
    <w:rsid w:val="00D51CF7"/>
    <w:rsid w:val="00D56885"/>
    <w:rsid w:val="00D63F10"/>
    <w:rsid w:val="00D67337"/>
    <w:rsid w:val="00D76487"/>
    <w:rsid w:val="00D84698"/>
    <w:rsid w:val="00D87183"/>
    <w:rsid w:val="00D87A7A"/>
    <w:rsid w:val="00D93E94"/>
    <w:rsid w:val="00D9616C"/>
    <w:rsid w:val="00D97601"/>
    <w:rsid w:val="00DA5B1E"/>
    <w:rsid w:val="00DA6742"/>
    <w:rsid w:val="00DA7893"/>
    <w:rsid w:val="00DA7D0C"/>
    <w:rsid w:val="00DC0AC7"/>
    <w:rsid w:val="00DC1A8B"/>
    <w:rsid w:val="00DC4E9C"/>
    <w:rsid w:val="00DC5A31"/>
    <w:rsid w:val="00DC7685"/>
    <w:rsid w:val="00DC783D"/>
    <w:rsid w:val="00DD5EDB"/>
    <w:rsid w:val="00DE1D02"/>
    <w:rsid w:val="00DE69D4"/>
    <w:rsid w:val="00DE73D6"/>
    <w:rsid w:val="00DE78E9"/>
    <w:rsid w:val="00DE7D19"/>
    <w:rsid w:val="00DF1D7B"/>
    <w:rsid w:val="00DF2F60"/>
    <w:rsid w:val="00E01014"/>
    <w:rsid w:val="00E02A5E"/>
    <w:rsid w:val="00E03109"/>
    <w:rsid w:val="00E07802"/>
    <w:rsid w:val="00E07D63"/>
    <w:rsid w:val="00E14EDB"/>
    <w:rsid w:val="00E20A4D"/>
    <w:rsid w:val="00E24A69"/>
    <w:rsid w:val="00E2549A"/>
    <w:rsid w:val="00E26BB0"/>
    <w:rsid w:val="00E32A8D"/>
    <w:rsid w:val="00E3567A"/>
    <w:rsid w:val="00E403BB"/>
    <w:rsid w:val="00E46034"/>
    <w:rsid w:val="00E47DD0"/>
    <w:rsid w:val="00E5037B"/>
    <w:rsid w:val="00E51824"/>
    <w:rsid w:val="00E54566"/>
    <w:rsid w:val="00E561D9"/>
    <w:rsid w:val="00E56675"/>
    <w:rsid w:val="00E5685B"/>
    <w:rsid w:val="00E57469"/>
    <w:rsid w:val="00E60758"/>
    <w:rsid w:val="00E628E4"/>
    <w:rsid w:val="00E64954"/>
    <w:rsid w:val="00E670DB"/>
    <w:rsid w:val="00E67EC3"/>
    <w:rsid w:val="00E72346"/>
    <w:rsid w:val="00E72FB8"/>
    <w:rsid w:val="00E73305"/>
    <w:rsid w:val="00E744E4"/>
    <w:rsid w:val="00E7591D"/>
    <w:rsid w:val="00E765E8"/>
    <w:rsid w:val="00E82ED7"/>
    <w:rsid w:val="00E841C1"/>
    <w:rsid w:val="00E90DCC"/>
    <w:rsid w:val="00E91262"/>
    <w:rsid w:val="00E94A98"/>
    <w:rsid w:val="00E971C5"/>
    <w:rsid w:val="00EA020A"/>
    <w:rsid w:val="00EA529E"/>
    <w:rsid w:val="00EA70FE"/>
    <w:rsid w:val="00EB0DA9"/>
    <w:rsid w:val="00EB0FB7"/>
    <w:rsid w:val="00EB104F"/>
    <w:rsid w:val="00EB738E"/>
    <w:rsid w:val="00EB7AB0"/>
    <w:rsid w:val="00EC0036"/>
    <w:rsid w:val="00EC1677"/>
    <w:rsid w:val="00EC3302"/>
    <w:rsid w:val="00EC5B15"/>
    <w:rsid w:val="00ED3629"/>
    <w:rsid w:val="00ED44EE"/>
    <w:rsid w:val="00EE3D92"/>
    <w:rsid w:val="00EE5F0C"/>
    <w:rsid w:val="00EE5F97"/>
    <w:rsid w:val="00EE74AD"/>
    <w:rsid w:val="00F01CC9"/>
    <w:rsid w:val="00F02B83"/>
    <w:rsid w:val="00F02F90"/>
    <w:rsid w:val="00F04BFA"/>
    <w:rsid w:val="00F11536"/>
    <w:rsid w:val="00F142C7"/>
    <w:rsid w:val="00F20778"/>
    <w:rsid w:val="00F2480E"/>
    <w:rsid w:val="00F357E0"/>
    <w:rsid w:val="00F40B71"/>
    <w:rsid w:val="00F43B70"/>
    <w:rsid w:val="00F44A2A"/>
    <w:rsid w:val="00F51869"/>
    <w:rsid w:val="00F53BA4"/>
    <w:rsid w:val="00F545C4"/>
    <w:rsid w:val="00F61EFC"/>
    <w:rsid w:val="00F6264E"/>
    <w:rsid w:val="00F63431"/>
    <w:rsid w:val="00F65063"/>
    <w:rsid w:val="00F67DFA"/>
    <w:rsid w:val="00F807D8"/>
    <w:rsid w:val="00F83389"/>
    <w:rsid w:val="00F91E0E"/>
    <w:rsid w:val="00FA064F"/>
    <w:rsid w:val="00FA1C3C"/>
    <w:rsid w:val="00FA3921"/>
    <w:rsid w:val="00FA4319"/>
    <w:rsid w:val="00FA5B44"/>
    <w:rsid w:val="00FB01F3"/>
    <w:rsid w:val="00FB1C32"/>
    <w:rsid w:val="00FB2642"/>
    <w:rsid w:val="00FB5C65"/>
    <w:rsid w:val="00FC032D"/>
    <w:rsid w:val="00FC0798"/>
    <w:rsid w:val="00FC220E"/>
    <w:rsid w:val="00FC2328"/>
    <w:rsid w:val="00FD6FF9"/>
    <w:rsid w:val="00FE1902"/>
    <w:rsid w:val="00FE3797"/>
    <w:rsid w:val="00FE425C"/>
    <w:rsid w:val="00FF0280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9C3B3"/>
  <w15:chartTrackingRefBased/>
  <w15:docId w15:val="{3ECFB8B3-EB41-4157-BD9D-992B7C6E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7148"/>
    <w:rPr>
      <w:sz w:val="24"/>
      <w:lang w:eastAsia="en-US"/>
    </w:rPr>
  </w:style>
  <w:style w:type="paragraph" w:styleId="Antrat6">
    <w:name w:val="heading 6"/>
    <w:basedOn w:val="prastasis"/>
    <w:link w:val="Antrat6Diagrama"/>
    <w:uiPriority w:val="9"/>
    <w:qFormat/>
    <w:rsid w:val="00891F25"/>
    <w:pPr>
      <w:spacing w:before="100" w:beforeAutospacing="1" w:after="100" w:afterAutospacing="1"/>
      <w:outlineLvl w:val="5"/>
    </w:pPr>
    <w:rPr>
      <w:b/>
      <w:bCs/>
      <w:sz w:val="15"/>
      <w:szCs w:val="15"/>
      <w:lang w:val="x-non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atedadoption">
    <w:name w:val="Date d'adoption"/>
    <w:basedOn w:val="prastasis"/>
    <w:next w:val="prastasis"/>
    <w:rsid w:val="00737148"/>
    <w:pPr>
      <w:spacing w:before="360"/>
      <w:jc w:val="center"/>
    </w:pPr>
    <w:rPr>
      <w:b/>
      <w:lang w:val="en-GB"/>
    </w:rPr>
  </w:style>
  <w:style w:type="paragraph" w:customStyle="1" w:styleId="Emission">
    <w:name w:val="Emission"/>
    <w:basedOn w:val="prastasis"/>
    <w:next w:val="prastasis"/>
    <w:rsid w:val="00737148"/>
    <w:pPr>
      <w:ind w:left="5103"/>
    </w:pPr>
    <w:rPr>
      <w:lang w:val="en-GB"/>
    </w:rPr>
  </w:style>
  <w:style w:type="paragraph" w:customStyle="1" w:styleId="Fait">
    <w:name w:val="Fait ?"/>
    <w:basedOn w:val="prastasis"/>
    <w:next w:val="prastasis"/>
    <w:rsid w:val="00737148"/>
    <w:pPr>
      <w:spacing w:before="120"/>
      <w:jc w:val="both"/>
    </w:pPr>
    <w:rPr>
      <w:lang w:val="en-GB"/>
    </w:rPr>
  </w:style>
  <w:style w:type="paragraph" w:styleId="Pagrindinistekstas">
    <w:name w:val="Body Text"/>
    <w:basedOn w:val="prastasis"/>
    <w:rsid w:val="00737148"/>
    <w:pPr>
      <w:jc w:val="center"/>
    </w:pPr>
    <w:rPr>
      <w:b/>
    </w:rPr>
  </w:style>
  <w:style w:type="paragraph" w:customStyle="1" w:styleId="NormalText">
    <w:name w:val="Normal Text"/>
    <w:basedOn w:val="prastasis"/>
    <w:rsid w:val="00737148"/>
    <w:pPr>
      <w:ind w:firstLine="567"/>
      <w:jc w:val="both"/>
    </w:pPr>
    <w:rPr>
      <w:rFonts w:ascii="TIMES NEW ROMAN LT" w:hAnsi="TIMES NEW ROMAN LT"/>
      <w:sz w:val="20"/>
    </w:rPr>
  </w:style>
  <w:style w:type="paragraph" w:styleId="prastasiniatinklio">
    <w:name w:val="Normal (Web)"/>
    <w:basedOn w:val="prastasis"/>
    <w:rsid w:val="00737148"/>
    <w:pPr>
      <w:spacing w:before="176" w:after="176"/>
      <w:ind w:left="790" w:right="615"/>
    </w:pPr>
    <w:rPr>
      <w:sz w:val="19"/>
      <w:szCs w:val="19"/>
      <w:lang w:val="en-US"/>
    </w:rPr>
  </w:style>
  <w:style w:type="paragraph" w:customStyle="1" w:styleId="bodytext">
    <w:name w:val="bodytext"/>
    <w:basedOn w:val="prastasis"/>
    <w:rsid w:val="0083599C"/>
    <w:pPr>
      <w:spacing w:before="100" w:beforeAutospacing="1" w:after="100" w:afterAutospacing="1"/>
    </w:pPr>
    <w:rPr>
      <w:szCs w:val="24"/>
      <w:lang w:val="en-US"/>
    </w:rPr>
  </w:style>
  <w:style w:type="paragraph" w:customStyle="1" w:styleId="CentrBold">
    <w:name w:val="CentrBold"/>
    <w:rsid w:val="0045535A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Patvirtinta">
    <w:name w:val="Patvirtinta"/>
    <w:rsid w:val="0045535A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val="en-US" w:eastAsia="en-US"/>
    </w:rPr>
  </w:style>
  <w:style w:type="paragraph" w:customStyle="1" w:styleId="Pagrindinistekstas1">
    <w:name w:val="Pagrindinis tekstas1"/>
    <w:rsid w:val="0045535A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ISTATYMAS">
    <w:name w:val="ISTATYMAS"/>
    <w:rsid w:val="003F3C00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styleId="Debesliotekstas">
    <w:name w:val="Balloon Text"/>
    <w:basedOn w:val="prastasis"/>
    <w:semiHidden/>
    <w:rsid w:val="00C6494A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891F2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rsid w:val="00891F25"/>
    <w:rPr>
      <w:sz w:val="24"/>
      <w:lang w:eastAsia="en-US"/>
    </w:rPr>
  </w:style>
  <w:style w:type="character" w:customStyle="1" w:styleId="Antrat6Diagrama">
    <w:name w:val="Antraštė 6 Diagrama"/>
    <w:link w:val="Antrat6"/>
    <w:uiPriority w:val="9"/>
    <w:rsid w:val="00891F25"/>
    <w:rPr>
      <w:b/>
      <w:bCs/>
      <w:sz w:val="15"/>
      <w:szCs w:val="15"/>
      <w:lang w:val="x-none"/>
    </w:rPr>
  </w:style>
  <w:style w:type="paragraph" w:customStyle="1" w:styleId="CM1">
    <w:name w:val="CM1"/>
    <w:basedOn w:val="prastasis"/>
    <w:next w:val="prastasis"/>
    <w:uiPriority w:val="99"/>
    <w:rsid w:val="005432F2"/>
    <w:pPr>
      <w:autoSpaceDE w:val="0"/>
      <w:autoSpaceDN w:val="0"/>
      <w:adjustRightInd w:val="0"/>
    </w:pPr>
    <w:rPr>
      <w:rFonts w:ascii="EUAlbertina" w:hAnsi="EUAlbertina"/>
      <w:szCs w:val="24"/>
      <w:lang w:eastAsia="lt-LT"/>
    </w:rPr>
  </w:style>
  <w:style w:type="paragraph" w:customStyle="1" w:styleId="CM3">
    <w:name w:val="CM3"/>
    <w:basedOn w:val="prastasis"/>
    <w:next w:val="prastasis"/>
    <w:uiPriority w:val="99"/>
    <w:rsid w:val="005432F2"/>
    <w:pPr>
      <w:autoSpaceDE w:val="0"/>
      <w:autoSpaceDN w:val="0"/>
      <w:adjustRightInd w:val="0"/>
    </w:pPr>
    <w:rPr>
      <w:rFonts w:ascii="EUAlbertina" w:hAnsi="EUAlbertina"/>
      <w:szCs w:val="24"/>
      <w:lang w:eastAsia="lt-LT"/>
    </w:rPr>
  </w:style>
  <w:style w:type="paragraph" w:customStyle="1" w:styleId="CM4">
    <w:name w:val="CM4"/>
    <w:basedOn w:val="prastasis"/>
    <w:next w:val="prastasis"/>
    <w:uiPriority w:val="99"/>
    <w:rsid w:val="00DF2F60"/>
    <w:pPr>
      <w:autoSpaceDE w:val="0"/>
      <w:autoSpaceDN w:val="0"/>
      <w:adjustRightInd w:val="0"/>
    </w:pPr>
    <w:rPr>
      <w:rFonts w:ascii="EUAlbertina" w:hAnsi="EUAlbertina"/>
      <w:szCs w:val="24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8B42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8B4200"/>
    <w:rPr>
      <w:rFonts w:ascii="Courier New" w:hAnsi="Courier New"/>
      <w:lang w:val="x-none"/>
    </w:rPr>
  </w:style>
  <w:style w:type="paragraph" w:styleId="Pataisymai">
    <w:name w:val="Revision"/>
    <w:hidden/>
    <w:uiPriority w:val="99"/>
    <w:semiHidden/>
    <w:rsid w:val="00737221"/>
    <w:rPr>
      <w:sz w:val="24"/>
      <w:lang w:eastAsia="en-US"/>
    </w:rPr>
  </w:style>
  <w:style w:type="character" w:styleId="Komentaronuoroda">
    <w:name w:val="annotation reference"/>
    <w:semiHidden/>
    <w:unhideWhenUsed/>
    <w:rsid w:val="00FE42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E425C"/>
    <w:rPr>
      <w:sz w:val="20"/>
    </w:rPr>
  </w:style>
  <w:style w:type="character" w:customStyle="1" w:styleId="KomentarotekstasDiagrama">
    <w:name w:val="Komentaro tekstas Diagrama"/>
    <w:link w:val="Komentarotekstas"/>
    <w:semiHidden/>
    <w:rsid w:val="00FE425C"/>
    <w:rPr>
      <w:lang w:eastAsia="en-US"/>
    </w:rPr>
  </w:style>
  <w:style w:type="paragraph" w:customStyle="1" w:styleId="prastasis1">
    <w:name w:val="Įprastasis1"/>
    <w:basedOn w:val="prastasis"/>
    <w:rsid w:val="00AD17D4"/>
    <w:pPr>
      <w:spacing w:before="120"/>
      <w:jc w:val="both"/>
    </w:pPr>
    <w:rPr>
      <w:szCs w:val="24"/>
      <w:lang w:eastAsia="lt-LT"/>
    </w:rPr>
  </w:style>
  <w:style w:type="paragraph" w:customStyle="1" w:styleId="sti-art">
    <w:name w:val="sti-art"/>
    <w:basedOn w:val="prastasis"/>
    <w:rsid w:val="00AD17D4"/>
    <w:pPr>
      <w:spacing w:before="60" w:after="120"/>
      <w:jc w:val="center"/>
    </w:pPr>
    <w:rPr>
      <w:b/>
      <w:bCs/>
      <w:szCs w:val="24"/>
      <w:lang w:eastAsia="lt-LT"/>
    </w:rPr>
  </w:style>
  <w:style w:type="paragraph" w:styleId="Sraopastraipa">
    <w:name w:val="List Paragraph"/>
    <w:basedOn w:val="prastasis"/>
    <w:qFormat/>
    <w:rsid w:val="009261D7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410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7410D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C728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728FB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728F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8FB"/>
    <w:rPr>
      <w:sz w:val="24"/>
      <w:lang w:eastAsia="en-US"/>
    </w:rPr>
  </w:style>
  <w:style w:type="paragraph" w:customStyle="1" w:styleId="norm">
    <w:name w:val="norm"/>
    <w:basedOn w:val="prastasis"/>
    <w:rsid w:val="002A1154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itle-article-norm">
    <w:name w:val="title-article-norm"/>
    <w:basedOn w:val="prastasis"/>
    <w:rsid w:val="006F50B7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Numatytasispastraiposriftas1">
    <w:name w:val="Numatytasis pastraipos šriftas1"/>
    <w:rsid w:val="00D15445"/>
  </w:style>
  <w:style w:type="paragraph" w:customStyle="1" w:styleId="prastasis2">
    <w:name w:val="Įprastasis2"/>
    <w:basedOn w:val="prastasis"/>
    <w:rsid w:val="00E57469"/>
    <w:pPr>
      <w:spacing w:before="100" w:beforeAutospacing="1" w:after="100" w:afterAutospacing="1"/>
    </w:pPr>
    <w:rPr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E57469"/>
    <w:rPr>
      <w:color w:val="0000FF"/>
      <w:u w:val="single"/>
    </w:rPr>
  </w:style>
  <w:style w:type="character" w:customStyle="1" w:styleId="super">
    <w:name w:val="super"/>
    <w:basedOn w:val="Numatytasispastraiposriftas"/>
    <w:rsid w:val="00E57469"/>
  </w:style>
  <w:style w:type="paragraph" w:customStyle="1" w:styleId="prastasis3">
    <w:name w:val="Įprastasis3"/>
    <w:basedOn w:val="prastasis"/>
    <w:rsid w:val="009324F9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28120">
          <w:marLeft w:val="502"/>
          <w:marRight w:val="502"/>
          <w:marTop w:val="0"/>
          <w:marBottom w:val="167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282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1111">
          <w:marLeft w:val="502"/>
          <w:marRight w:val="502"/>
          <w:marTop w:val="0"/>
          <w:marBottom w:val="167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818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4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7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3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4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0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4064">
          <w:marLeft w:val="502"/>
          <w:marRight w:val="502"/>
          <w:marTop w:val="0"/>
          <w:marBottom w:val="167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779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01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57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4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4135">
          <w:marLeft w:val="502"/>
          <w:marRight w:val="502"/>
          <w:marTop w:val="0"/>
          <w:marBottom w:val="167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0173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7473">
          <w:marLeft w:val="502"/>
          <w:marRight w:val="502"/>
          <w:marTop w:val="0"/>
          <w:marBottom w:val="167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1585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2836">
          <w:marLeft w:val="3"/>
          <w:marRight w:val="3"/>
          <w:marTop w:val="0"/>
          <w:marBottom w:val="0"/>
          <w:divBdr>
            <w:top w:val="single" w:sz="6" w:space="0" w:color="112449"/>
            <w:left w:val="single" w:sz="6" w:space="0" w:color="112449"/>
            <w:bottom w:val="single" w:sz="6" w:space="0" w:color="112449"/>
            <w:right w:val="single" w:sz="6" w:space="0" w:color="112449"/>
          </w:divBdr>
          <w:divsChild>
            <w:div w:id="19316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34808">
          <w:marLeft w:val="502"/>
          <w:marRight w:val="502"/>
          <w:marTop w:val="0"/>
          <w:marBottom w:val="167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
                 Target="https://eur-lex.europa.eu/legal-content/LT/TXT/?qid=1557317535763&amp;uri=CELEX:32015R1013"
                 TargetMode="External"
                 Type="http://schemas.openxmlformats.org/officeDocument/2006/relationships/hyperlink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5601</Words>
  <Characters>3193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KOMISIJOS DIREKTYVOS 2006/82/EB</vt:lpstr>
      <vt:lpstr>KOMISIJOS DIREKTYVOS 2006/82/EB</vt:lpstr>
    </vt:vector>
  </TitlesOfParts>
  <Company>RMC</Company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2021-10-18T11:08:00Z</dcterms:created>
  <dc:creator>Ramune</dc:creator>
  <cp:lastModifiedBy>Jelena Talačkienė</cp:lastModifiedBy>
  <cp:lastPrinted>2021-09-28T07:05:00Z</cp:lastPrinted>
  <dcterms:modified xsi:type="dcterms:W3CDTF">2021-10-18T11:08:00Z</dcterms:modified>
  <cp:revision>2</cp:revision>
  <dc:title>KOMISIJOS DIREKTYVOS 2006/82/EB</dc:title>
</cp:coreProperties>
</file>