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90636" w14:textId="77777777" w:rsidR="007762CC" w:rsidRDefault="007762CC">
      <w:pPr>
        <w:tabs>
          <w:tab w:val="center" w:pos="4153"/>
          <w:tab w:val="right" w:pos="8306"/>
        </w:tabs>
        <w:rPr>
          <w:lang w:eastAsia="lt-LT"/>
        </w:rPr>
      </w:pPr>
    </w:p>
    <w:p w14:paraId="7B90169D" w14:textId="77777777" w:rsidR="007762CC" w:rsidRDefault="00DC0C62">
      <w:pPr>
        <w:jc w:val="right"/>
        <w:rPr>
          <w:b/>
          <w:szCs w:val="24"/>
          <w:lang w:eastAsia="lt-LT"/>
        </w:rPr>
      </w:pPr>
      <w:r>
        <w:rPr>
          <w:b/>
          <w:szCs w:val="24"/>
          <w:lang w:eastAsia="lt-LT"/>
        </w:rPr>
        <w:t>Projektas</w:t>
      </w:r>
    </w:p>
    <w:p w14:paraId="61C06C6F" w14:textId="77777777" w:rsidR="007762CC" w:rsidRDefault="007762CC">
      <w:pPr>
        <w:rPr>
          <w:b/>
          <w:szCs w:val="24"/>
          <w:lang w:eastAsia="lt-LT"/>
        </w:rPr>
      </w:pPr>
    </w:p>
    <w:p w14:paraId="2E0CD1A4" w14:textId="77777777" w:rsidR="007762CC" w:rsidRDefault="00DC0C62">
      <w:pPr>
        <w:jc w:val="center"/>
        <w:rPr>
          <w:b/>
          <w:szCs w:val="24"/>
          <w:lang w:eastAsia="lt-LT"/>
        </w:rPr>
      </w:pPr>
      <w:r>
        <w:rPr>
          <w:b/>
          <w:szCs w:val="24"/>
          <w:lang w:eastAsia="lt-LT"/>
        </w:rPr>
        <w:t>LIETUVOS RESPUBLIKOS VYRIAUSYBĖ</w:t>
      </w:r>
    </w:p>
    <w:p w14:paraId="3CD348F6" w14:textId="77777777" w:rsidR="007762CC" w:rsidRDefault="007762CC">
      <w:pPr>
        <w:jc w:val="center"/>
        <w:rPr>
          <w:b/>
          <w:szCs w:val="24"/>
          <w:lang w:eastAsia="lt-LT"/>
        </w:rPr>
      </w:pPr>
    </w:p>
    <w:p w14:paraId="10A2CAAE" w14:textId="77777777" w:rsidR="007762CC" w:rsidRDefault="00DC0C62">
      <w:pPr>
        <w:jc w:val="center"/>
        <w:rPr>
          <w:b/>
          <w:szCs w:val="24"/>
          <w:lang w:eastAsia="lt-LT"/>
        </w:rPr>
      </w:pPr>
      <w:r>
        <w:rPr>
          <w:b/>
          <w:szCs w:val="24"/>
          <w:lang w:eastAsia="lt-LT"/>
        </w:rPr>
        <w:t>NUTARIMAS</w:t>
      </w:r>
    </w:p>
    <w:p w14:paraId="39AB5BF5" w14:textId="77777777" w:rsidR="00180EF0" w:rsidRPr="00992B4D" w:rsidRDefault="00DC0C62" w:rsidP="00180EF0">
      <w:pPr>
        <w:jc w:val="center"/>
        <w:rPr>
          <w:color w:val="000000"/>
          <w:sz w:val="20"/>
        </w:rPr>
      </w:pPr>
      <w:r>
        <w:rPr>
          <w:b/>
          <w:szCs w:val="24"/>
          <w:lang w:eastAsia="lt-LT"/>
        </w:rPr>
        <w:t xml:space="preserve">DĖL </w:t>
      </w:r>
      <w:r w:rsidR="00180EF0" w:rsidRPr="00180EF0">
        <w:rPr>
          <w:b/>
          <w:bCs/>
          <w:color w:val="000000"/>
          <w:szCs w:val="24"/>
        </w:rPr>
        <w:t>LIETUVOS RESPUBLIKOS</w:t>
      </w:r>
    </w:p>
    <w:p w14:paraId="7DF3A84E" w14:textId="560834B6" w:rsidR="00180EF0" w:rsidRPr="00992B4D" w:rsidRDefault="00180EF0" w:rsidP="00180EF0">
      <w:pPr>
        <w:jc w:val="center"/>
        <w:rPr>
          <w:color w:val="000000"/>
          <w:sz w:val="20"/>
        </w:rPr>
      </w:pPr>
      <w:r w:rsidRPr="00180EF0">
        <w:rPr>
          <w:b/>
          <w:bCs/>
          <w:color w:val="000000"/>
          <w:szCs w:val="24"/>
        </w:rPr>
        <w:t>TURIZMO ĮSTATYMO NR. VIII</w:t>
      </w:r>
      <w:r w:rsidR="00CF07B2">
        <w:rPr>
          <w:b/>
          <w:bCs/>
          <w:color w:val="000000"/>
          <w:szCs w:val="24"/>
        </w:rPr>
        <w:t>-</w:t>
      </w:r>
      <w:r w:rsidRPr="00180EF0">
        <w:rPr>
          <w:b/>
          <w:bCs/>
          <w:color w:val="000000"/>
          <w:szCs w:val="24"/>
        </w:rPr>
        <w:t>667 7, 13 IR 18 STRAIPSNIŲ PAKEITIMO</w:t>
      </w:r>
    </w:p>
    <w:p w14:paraId="2EAD9872" w14:textId="3F248C96" w:rsidR="007762CC" w:rsidRDefault="00180EF0" w:rsidP="00180EF0">
      <w:pPr>
        <w:shd w:val="clear" w:color="auto" w:fill="FFFFFF"/>
        <w:ind w:firstLine="567"/>
        <w:jc w:val="center"/>
        <w:rPr>
          <w:b/>
          <w:szCs w:val="24"/>
          <w:lang w:eastAsia="lt-LT"/>
        </w:rPr>
      </w:pPr>
      <w:r>
        <w:rPr>
          <w:b/>
          <w:bCs/>
          <w:caps/>
          <w:color w:val="000000"/>
          <w:szCs w:val="24"/>
        </w:rPr>
        <w:t xml:space="preserve">ĮSTATYMO </w:t>
      </w:r>
      <w:r w:rsidR="00DC0C62">
        <w:rPr>
          <w:b/>
          <w:szCs w:val="24"/>
          <w:lang w:eastAsia="lt-LT"/>
        </w:rPr>
        <w:t xml:space="preserve">PROJEKTO NR. </w:t>
      </w:r>
      <w:r w:rsidRPr="00180EF0">
        <w:rPr>
          <w:b/>
          <w:szCs w:val="24"/>
          <w:lang w:eastAsia="lt-LT"/>
        </w:rPr>
        <w:t>XIIIP-5183</w:t>
      </w:r>
    </w:p>
    <w:p w14:paraId="67733BFD" w14:textId="77777777" w:rsidR="001E397E" w:rsidRDefault="001E397E" w:rsidP="00180EF0">
      <w:pPr>
        <w:shd w:val="clear" w:color="auto" w:fill="FFFFFF"/>
        <w:ind w:firstLine="567"/>
        <w:jc w:val="center"/>
        <w:rPr>
          <w:szCs w:val="24"/>
          <w:lang w:eastAsia="lt-LT"/>
        </w:rPr>
      </w:pPr>
    </w:p>
    <w:p w14:paraId="54BE2814" w14:textId="39D8432B" w:rsidR="007762CC" w:rsidRDefault="00DC0C62">
      <w:pPr>
        <w:jc w:val="center"/>
        <w:rPr>
          <w:szCs w:val="24"/>
          <w:lang w:eastAsia="lt-LT"/>
        </w:rPr>
      </w:pPr>
      <w:r>
        <w:rPr>
          <w:szCs w:val="24"/>
          <w:lang w:eastAsia="lt-LT"/>
        </w:rPr>
        <w:t xml:space="preserve">Nr. </w:t>
      </w:r>
    </w:p>
    <w:p w14:paraId="1E1458DD" w14:textId="77777777" w:rsidR="007762CC" w:rsidRDefault="00DC0C62">
      <w:pPr>
        <w:jc w:val="center"/>
        <w:rPr>
          <w:szCs w:val="24"/>
          <w:lang w:eastAsia="lt-LT"/>
        </w:rPr>
      </w:pPr>
      <w:r>
        <w:rPr>
          <w:szCs w:val="24"/>
          <w:lang w:eastAsia="lt-LT"/>
        </w:rPr>
        <w:t>Vilnius</w:t>
      </w:r>
    </w:p>
    <w:p w14:paraId="0DA1E8B6" w14:textId="77777777" w:rsidR="007762CC" w:rsidRDefault="007762CC">
      <w:pPr>
        <w:jc w:val="center"/>
        <w:rPr>
          <w:szCs w:val="24"/>
          <w:lang w:eastAsia="lt-LT"/>
        </w:rPr>
      </w:pPr>
    </w:p>
    <w:p w14:paraId="17693A1A" w14:textId="05A9B0B7" w:rsidR="007762CC" w:rsidRPr="003F1F26" w:rsidRDefault="00DC0C62" w:rsidP="00437680">
      <w:pPr>
        <w:tabs>
          <w:tab w:val="left" w:pos="567"/>
        </w:tabs>
        <w:spacing w:line="320" w:lineRule="atLeast"/>
        <w:ind w:firstLine="567"/>
        <w:jc w:val="both"/>
        <w:rPr>
          <w:szCs w:val="24"/>
          <w:lang w:eastAsia="lt-LT"/>
        </w:rPr>
      </w:pPr>
      <w:r w:rsidRPr="003F1F26">
        <w:rPr>
          <w:szCs w:val="24"/>
          <w:lang w:eastAsia="lt-LT"/>
        </w:rPr>
        <w:t xml:space="preserve">Vadovaudamasi Lietuvos Respublikos Seimo statuto 138 straipsnio 3 dalimi ir atsižvelgdama į Lietuvos Respublikos Seimo valdybos </w:t>
      </w:r>
      <w:r w:rsidR="00180EF0" w:rsidRPr="003F1F26">
        <w:rPr>
          <w:szCs w:val="24"/>
          <w:lang w:eastAsia="lt-LT"/>
        </w:rPr>
        <w:t xml:space="preserve">2020 m. lapkričio 10 d. </w:t>
      </w:r>
      <w:r w:rsidR="005145CD">
        <w:rPr>
          <w:szCs w:val="24"/>
          <w:lang w:eastAsia="lt-LT"/>
        </w:rPr>
        <w:t xml:space="preserve">sprendimo </w:t>
      </w:r>
      <w:r w:rsidR="00180EF0" w:rsidRPr="003F1F26">
        <w:rPr>
          <w:szCs w:val="24"/>
          <w:lang w:eastAsia="lt-LT"/>
        </w:rPr>
        <w:t>Nr</w:t>
      </w:r>
      <w:r w:rsidR="0093414F" w:rsidRPr="003F1F26">
        <w:rPr>
          <w:szCs w:val="24"/>
          <w:lang w:eastAsia="lt-LT"/>
        </w:rPr>
        <w:t>.</w:t>
      </w:r>
      <w:r w:rsidR="0093414F">
        <w:rPr>
          <w:szCs w:val="24"/>
          <w:lang w:eastAsia="lt-LT"/>
        </w:rPr>
        <w:t> </w:t>
      </w:r>
      <w:r w:rsidR="00180EF0" w:rsidRPr="003F1F26">
        <w:rPr>
          <w:szCs w:val="24"/>
          <w:lang w:eastAsia="lt-LT"/>
        </w:rPr>
        <w:t>SV-S-1694</w:t>
      </w:r>
      <w:r w:rsidRPr="003F1F26">
        <w:rPr>
          <w:szCs w:val="24"/>
          <w:lang w:eastAsia="lt-LT"/>
        </w:rPr>
        <w:t xml:space="preserve"> „Dėl įstatymų projektų išvadų“ </w:t>
      </w:r>
      <w:r w:rsidR="00180EF0" w:rsidRPr="003F1F26">
        <w:rPr>
          <w:szCs w:val="24"/>
          <w:lang w:eastAsia="lt-LT"/>
        </w:rPr>
        <w:t>2</w:t>
      </w:r>
      <w:r w:rsidRPr="003F1F26">
        <w:rPr>
          <w:szCs w:val="24"/>
          <w:lang w:eastAsia="lt-LT"/>
        </w:rPr>
        <w:t xml:space="preserve"> punktą, Lietuvos Respublikos Vyriausybė</w:t>
      </w:r>
      <w:r w:rsidRPr="003F1F26">
        <w:rPr>
          <w:spacing w:val="80"/>
          <w:szCs w:val="24"/>
          <w:lang w:eastAsia="lt-LT"/>
        </w:rPr>
        <w:t xml:space="preserve"> </w:t>
      </w:r>
      <w:r w:rsidRPr="003F1F26">
        <w:rPr>
          <w:spacing w:val="70"/>
          <w:szCs w:val="24"/>
          <w:lang w:eastAsia="lt-LT"/>
        </w:rPr>
        <w:t>nutari</w:t>
      </w:r>
      <w:r w:rsidR="00CF07B2" w:rsidRPr="00CF07B2">
        <w:rPr>
          <w:szCs w:val="24"/>
          <w:lang w:eastAsia="lt-LT"/>
        </w:rPr>
        <w:t>a</w:t>
      </w:r>
      <w:r w:rsidRPr="00CF07B2">
        <w:rPr>
          <w:szCs w:val="24"/>
          <w:lang w:eastAsia="lt-LT"/>
        </w:rPr>
        <w:t>:</w:t>
      </w:r>
    </w:p>
    <w:p w14:paraId="3AE6C2D3" w14:textId="2C95BBA0" w:rsidR="007762CC" w:rsidRPr="003F1F26" w:rsidRDefault="00DC0C62" w:rsidP="00437680">
      <w:pPr>
        <w:tabs>
          <w:tab w:val="left" w:pos="567"/>
        </w:tabs>
        <w:spacing w:line="320" w:lineRule="atLeast"/>
        <w:ind w:firstLine="567"/>
        <w:jc w:val="both"/>
        <w:rPr>
          <w:rFonts w:eastAsia="Calibri"/>
          <w:szCs w:val="24"/>
        </w:rPr>
      </w:pPr>
      <w:r w:rsidRPr="003F1F26">
        <w:rPr>
          <w:rFonts w:eastAsia="Calibri"/>
          <w:szCs w:val="24"/>
        </w:rPr>
        <w:t xml:space="preserve">Nepritarti </w:t>
      </w:r>
      <w:r w:rsidR="00180EF0" w:rsidRPr="003F1F26">
        <w:rPr>
          <w:color w:val="000000"/>
        </w:rPr>
        <w:t xml:space="preserve">Lietuvos Respublikos </w:t>
      </w:r>
      <w:r w:rsidR="00FE569B" w:rsidRPr="003F1F26">
        <w:rPr>
          <w:color w:val="000000"/>
        </w:rPr>
        <w:t>t</w:t>
      </w:r>
      <w:r w:rsidR="00180EF0" w:rsidRPr="003F1F26">
        <w:rPr>
          <w:color w:val="000000"/>
        </w:rPr>
        <w:t>urizmo įstatymo Nr. VIII</w:t>
      </w:r>
      <w:r w:rsidR="00CF07B2">
        <w:rPr>
          <w:color w:val="000000"/>
        </w:rPr>
        <w:t>-</w:t>
      </w:r>
      <w:r w:rsidR="00180EF0" w:rsidRPr="003F1F26">
        <w:rPr>
          <w:color w:val="000000"/>
        </w:rPr>
        <w:t xml:space="preserve">667 7, 13 ir 18 straipsnių pakeitimo įstatymo projektui Nr. XIIIP-5183 </w:t>
      </w:r>
      <w:r w:rsidRPr="003F1F26">
        <w:rPr>
          <w:rFonts w:eastAsia="Calibri"/>
          <w:szCs w:val="24"/>
        </w:rPr>
        <w:t>(toliau –</w:t>
      </w:r>
      <w:r w:rsidR="000C6663" w:rsidRPr="003F1F26">
        <w:rPr>
          <w:rFonts w:eastAsia="Calibri"/>
          <w:szCs w:val="24"/>
        </w:rPr>
        <w:t xml:space="preserve"> P</w:t>
      </w:r>
      <w:r w:rsidRPr="003F1F26">
        <w:rPr>
          <w:rFonts w:eastAsia="Calibri"/>
          <w:szCs w:val="24"/>
        </w:rPr>
        <w:t xml:space="preserve">rojektas) dėl šių priežasčių: </w:t>
      </w:r>
    </w:p>
    <w:p w14:paraId="07FDA2FD" w14:textId="315FD3A1" w:rsidR="00CD0DD2" w:rsidRPr="00763B69" w:rsidRDefault="00DC0C62" w:rsidP="00437680">
      <w:pPr>
        <w:tabs>
          <w:tab w:val="left" w:pos="567"/>
          <w:tab w:val="left" w:pos="709"/>
        </w:tabs>
        <w:spacing w:line="320" w:lineRule="atLeast"/>
        <w:ind w:firstLine="567"/>
        <w:jc w:val="both"/>
        <w:rPr>
          <w:rFonts w:eastAsia="Calibri"/>
          <w:szCs w:val="24"/>
        </w:rPr>
      </w:pPr>
      <w:r w:rsidRPr="003F1F26">
        <w:rPr>
          <w:rFonts w:eastAsia="Calibri"/>
          <w:szCs w:val="24"/>
        </w:rPr>
        <w:t xml:space="preserve">1. </w:t>
      </w:r>
      <w:r w:rsidR="008E4130" w:rsidRPr="00763B69">
        <w:rPr>
          <w:rFonts w:eastAsia="Calibri"/>
          <w:szCs w:val="24"/>
        </w:rPr>
        <w:t>P</w:t>
      </w:r>
      <w:r w:rsidR="00C353EA" w:rsidRPr="00763B69">
        <w:rPr>
          <w:rFonts w:eastAsia="Calibri"/>
          <w:szCs w:val="24"/>
        </w:rPr>
        <w:t>rojekt</w:t>
      </w:r>
      <w:r w:rsidR="0049101A" w:rsidRPr="00763B69">
        <w:rPr>
          <w:rFonts w:eastAsia="Calibri"/>
          <w:szCs w:val="24"/>
        </w:rPr>
        <w:t>o</w:t>
      </w:r>
      <w:r w:rsidR="008E4130" w:rsidRPr="00763B69">
        <w:rPr>
          <w:rFonts w:eastAsia="Calibri"/>
          <w:szCs w:val="24"/>
        </w:rPr>
        <w:t xml:space="preserve"> </w:t>
      </w:r>
      <w:r w:rsidR="0049101A" w:rsidRPr="00763B69">
        <w:rPr>
          <w:rFonts w:eastAsia="Calibri"/>
          <w:szCs w:val="24"/>
        </w:rPr>
        <w:t>1 ir 3 straipsniais</w:t>
      </w:r>
      <w:r w:rsidR="00C353EA" w:rsidRPr="00763B69">
        <w:rPr>
          <w:rFonts w:eastAsia="Calibri"/>
          <w:szCs w:val="24"/>
        </w:rPr>
        <w:t xml:space="preserve"> numatoma </w:t>
      </w:r>
      <w:r w:rsidR="00C06BDB" w:rsidRPr="00763B69">
        <w:rPr>
          <w:rFonts w:eastAsia="Calibri"/>
          <w:szCs w:val="24"/>
        </w:rPr>
        <w:t xml:space="preserve">nuo 2021 m. sausio 1 d. </w:t>
      </w:r>
      <w:r w:rsidR="00B406DC" w:rsidRPr="00763B69">
        <w:rPr>
          <w:rFonts w:eastAsia="Calibri"/>
          <w:szCs w:val="24"/>
        </w:rPr>
        <w:t xml:space="preserve">laikyti netekusiais galios </w:t>
      </w:r>
      <w:r w:rsidR="0035051A" w:rsidRPr="00763B69">
        <w:rPr>
          <w:rFonts w:eastAsia="Calibri"/>
          <w:szCs w:val="24"/>
        </w:rPr>
        <w:t>Lietuvos Respublikos t</w:t>
      </w:r>
      <w:r w:rsidR="00C353EA" w:rsidRPr="00763B69">
        <w:rPr>
          <w:rFonts w:eastAsia="Calibri"/>
          <w:szCs w:val="24"/>
        </w:rPr>
        <w:t xml:space="preserve">urizmo įstatymo 7 straipsnio </w:t>
      </w:r>
      <w:r w:rsidR="002F62D6" w:rsidRPr="00763B69">
        <w:rPr>
          <w:rFonts w:eastAsia="Calibri"/>
          <w:szCs w:val="24"/>
        </w:rPr>
        <w:t xml:space="preserve">2 dalies 11 </w:t>
      </w:r>
      <w:r w:rsidR="000E5E2B" w:rsidRPr="00763B69">
        <w:rPr>
          <w:rFonts w:eastAsia="Calibri"/>
          <w:szCs w:val="24"/>
        </w:rPr>
        <w:t> </w:t>
      </w:r>
      <w:r w:rsidR="002F62D6" w:rsidRPr="00763B69">
        <w:rPr>
          <w:rFonts w:eastAsia="Calibri"/>
          <w:szCs w:val="24"/>
        </w:rPr>
        <w:t xml:space="preserve">punkto ir 18 straipsnio 3 </w:t>
      </w:r>
      <w:r w:rsidR="00562D38" w:rsidRPr="00763B69">
        <w:rPr>
          <w:rFonts w:eastAsia="Calibri"/>
          <w:szCs w:val="24"/>
        </w:rPr>
        <w:t> </w:t>
      </w:r>
      <w:r w:rsidR="002F62D6" w:rsidRPr="00763B69">
        <w:rPr>
          <w:rFonts w:eastAsia="Calibri"/>
          <w:szCs w:val="24"/>
        </w:rPr>
        <w:t xml:space="preserve">dalies 4 punkto </w:t>
      </w:r>
      <w:r w:rsidR="00B406DC" w:rsidRPr="00763B69">
        <w:rPr>
          <w:rFonts w:eastAsia="Calibri"/>
          <w:szCs w:val="24"/>
        </w:rPr>
        <w:t>nuostatas</w:t>
      </w:r>
      <w:r w:rsidR="00C353EA" w:rsidRPr="00763B69">
        <w:rPr>
          <w:rFonts w:eastAsia="Calibri"/>
          <w:szCs w:val="24"/>
        </w:rPr>
        <w:t xml:space="preserve"> dėl kelionių organizatoriaus </w:t>
      </w:r>
      <w:r w:rsidR="00AA66D1" w:rsidRPr="00763B69">
        <w:rPr>
          <w:rFonts w:eastAsia="Calibri"/>
          <w:szCs w:val="24"/>
        </w:rPr>
        <w:t xml:space="preserve">ir kelionių pardavimo agento </w:t>
      </w:r>
      <w:r w:rsidR="00C353EA" w:rsidRPr="00763B69">
        <w:rPr>
          <w:rFonts w:eastAsia="Calibri"/>
          <w:szCs w:val="24"/>
        </w:rPr>
        <w:t xml:space="preserve">prievolės užtikrinti, kad </w:t>
      </w:r>
      <w:r w:rsidR="00AA66D1" w:rsidRPr="00763B69">
        <w:rPr>
          <w:rFonts w:eastAsia="Calibri"/>
          <w:szCs w:val="24"/>
        </w:rPr>
        <w:t xml:space="preserve">šių subjektų – </w:t>
      </w:r>
      <w:r w:rsidR="00C353EA" w:rsidRPr="00763B69">
        <w:rPr>
          <w:rFonts w:eastAsia="Calibri"/>
          <w:szCs w:val="24"/>
        </w:rPr>
        <w:t>juridinio asmens akcinės bendrovės ar uždaros</w:t>
      </w:r>
      <w:r w:rsidR="00CF07B2" w:rsidRPr="00763B69">
        <w:rPr>
          <w:rFonts w:eastAsia="Calibri"/>
          <w:szCs w:val="24"/>
        </w:rPr>
        <w:t>ios</w:t>
      </w:r>
      <w:r w:rsidR="00C353EA" w:rsidRPr="00763B69">
        <w:rPr>
          <w:rFonts w:eastAsia="Calibri"/>
          <w:szCs w:val="24"/>
        </w:rPr>
        <w:t xml:space="preserve"> akcinės bendrovės</w:t>
      </w:r>
      <w:r w:rsidR="006E7593" w:rsidRPr="00763B69">
        <w:rPr>
          <w:rFonts w:eastAsia="Calibri"/>
          <w:szCs w:val="24"/>
        </w:rPr>
        <w:t xml:space="preserve"> </w:t>
      </w:r>
      <w:hyperlink r:id="rId8" w:anchor="B_0" w:history="1">
        <w:r w:rsidR="006E7593" w:rsidRPr="00763B69">
          <w:rPr>
            <w:rFonts w:eastAsia="Calibri"/>
            <w:szCs w:val="24"/>
          </w:rPr>
          <w:t>(toliau</w:t>
        </w:r>
      </w:hyperlink>
      <w:r w:rsidR="006E7593" w:rsidRPr="00763B69">
        <w:rPr>
          <w:rFonts w:eastAsia="Calibri"/>
          <w:szCs w:val="24"/>
        </w:rPr>
        <w:t> kartu – bendrovė)</w:t>
      </w:r>
      <w:r w:rsidR="00C353EA" w:rsidRPr="00763B69">
        <w:rPr>
          <w:rFonts w:eastAsia="Calibri"/>
          <w:szCs w:val="24"/>
        </w:rPr>
        <w:t xml:space="preserve"> </w:t>
      </w:r>
      <w:r w:rsidR="005772B2">
        <w:rPr>
          <w:rFonts w:eastAsia="Calibri"/>
          <w:szCs w:val="24"/>
        </w:rPr>
        <w:t xml:space="preserve">– </w:t>
      </w:r>
      <w:r w:rsidR="00C353EA" w:rsidRPr="00763B69">
        <w:rPr>
          <w:rFonts w:eastAsia="Calibri"/>
          <w:szCs w:val="24"/>
        </w:rPr>
        <w:t>nuosavas kapitalas būtų ne mažesnis negu</w:t>
      </w:r>
      <w:r w:rsidR="00C06BDB" w:rsidRPr="00763B69">
        <w:rPr>
          <w:rFonts w:eastAsia="Calibri"/>
          <w:szCs w:val="24"/>
        </w:rPr>
        <w:t xml:space="preserve"> 1/</w:t>
      </w:r>
      <w:r w:rsidR="005B36C5" w:rsidRPr="00763B69">
        <w:rPr>
          <w:rFonts w:eastAsia="Calibri"/>
          <w:szCs w:val="24"/>
        </w:rPr>
        <w:t>2 </w:t>
      </w:r>
      <w:r w:rsidR="00C353EA" w:rsidRPr="00763B69">
        <w:rPr>
          <w:rFonts w:eastAsia="Calibri"/>
          <w:szCs w:val="24"/>
        </w:rPr>
        <w:t>įstatuose nurodyto įstatinio kapitalo dydžio, o jei juridinio asmens teisinė forma kitokia</w:t>
      </w:r>
      <w:r w:rsidR="008F1E57">
        <w:rPr>
          <w:rFonts w:eastAsia="Calibri"/>
          <w:szCs w:val="24"/>
        </w:rPr>
        <w:t>,</w:t>
      </w:r>
      <w:r w:rsidR="00C353EA" w:rsidRPr="00763B69">
        <w:rPr>
          <w:rFonts w:eastAsia="Calibri"/>
          <w:szCs w:val="24"/>
        </w:rPr>
        <w:t xml:space="preserve"> turtiniai įsipareigojimai negali viršyti viso juridinio asmens turto.</w:t>
      </w:r>
      <w:r w:rsidR="00FF5864" w:rsidRPr="00763B69">
        <w:rPr>
          <w:rFonts w:eastAsia="Calibri"/>
          <w:szCs w:val="24"/>
        </w:rPr>
        <w:tab/>
      </w:r>
    </w:p>
    <w:p w14:paraId="7DDE0A8B" w14:textId="7D63B1DC" w:rsidR="00F36113" w:rsidRPr="00763B69" w:rsidRDefault="000120F3" w:rsidP="00437680">
      <w:pPr>
        <w:tabs>
          <w:tab w:val="left" w:pos="567"/>
          <w:tab w:val="left" w:pos="709"/>
        </w:tabs>
        <w:spacing w:line="320" w:lineRule="atLeast"/>
        <w:ind w:firstLine="567"/>
        <w:jc w:val="both"/>
        <w:rPr>
          <w:color w:val="000000"/>
          <w:shd w:val="clear" w:color="auto" w:fill="FFFFFF"/>
        </w:rPr>
      </w:pPr>
      <w:r w:rsidRPr="00763B69">
        <w:rPr>
          <w:color w:val="000000"/>
          <w:shd w:val="clear" w:color="auto" w:fill="FFFFFF"/>
        </w:rPr>
        <w:tab/>
      </w:r>
      <w:r w:rsidR="00443C0A" w:rsidRPr="00763B69">
        <w:rPr>
          <w:color w:val="000000"/>
          <w:shd w:val="clear" w:color="auto" w:fill="FFFFFF"/>
        </w:rPr>
        <w:t>Pirma,</w:t>
      </w:r>
      <w:r w:rsidR="00161BD8" w:rsidRPr="00763B69">
        <w:rPr>
          <w:color w:val="000000"/>
        </w:rPr>
        <w:t xml:space="preserve"> </w:t>
      </w:r>
      <w:r w:rsidR="00F36113" w:rsidRPr="00763B69">
        <w:rPr>
          <w:rFonts w:eastAsia="Calibri"/>
          <w:szCs w:val="24"/>
        </w:rPr>
        <w:t xml:space="preserve">Turizmo įstatyme atsisakius reikalavimų dėl kelionių organizatoriaus ir kelionių pardavimo agento minimalaus nuosavo kapitalo dydžio, nebus užtikrinamas </w:t>
      </w:r>
      <w:r w:rsidR="00F36113" w:rsidRPr="00763B69">
        <w:rPr>
          <w:color w:val="000000"/>
          <w:shd w:val="clear" w:color="auto" w:fill="FFFFFF"/>
        </w:rPr>
        <w:t>aukštas vartotojų apsaugos lygis, kurį privalo garantuoti kiekviena valstybė narė,</w:t>
      </w:r>
      <w:r w:rsidR="00F36113" w:rsidRPr="00763B69">
        <w:rPr>
          <w:rFonts w:eastAsia="Calibri"/>
          <w:szCs w:val="24"/>
        </w:rPr>
        <w:t xml:space="preserve"> va</w:t>
      </w:r>
      <w:r w:rsidR="00F36113" w:rsidRPr="00763B69">
        <w:rPr>
          <w:color w:val="000000"/>
          <w:shd w:val="clear" w:color="auto" w:fill="FFFFFF"/>
        </w:rPr>
        <w:t xml:space="preserve">dovaudamasi </w:t>
      </w:r>
      <w:r w:rsidR="00F36113" w:rsidRPr="00763B69">
        <w:rPr>
          <w:color w:val="000000"/>
          <w:szCs w:val="24"/>
          <w:shd w:val="clear" w:color="auto" w:fill="FFFFFF"/>
        </w:rPr>
        <w:t xml:space="preserve">2015 m. lapkričio 25 d. Europos Parlamento ir Tarybos direktyva (ES) 2015/2302 dėl kelionės paslaugų paketų ir susijusių kelionės paslaugų rinkinių, kuria iš dalies keičiami Europos Parlamento ir Tarybos reglamentas (EB) Nr. 2006/2004 ir Direktyva 2011/83/ES bei panaikinama Tarybos direktyva 90/314/EEB su visais pakeitimais, </w:t>
      </w:r>
      <w:r w:rsidR="00F36113" w:rsidRPr="00763B69">
        <w:t>kadangi panaikinamos kelionių organizatorių realaus atsiskaitymo su turistais garantijos ir nėra užtikrinamas Direktyvos (ES) Nr. 2015/2302 nustatytos turisto teisės į visišką pinigų, sumokėtų už kelionę, grąžinimą kelionės organizatoriaus nemokumo atveju įgyvendinimas.</w:t>
      </w:r>
      <w:r w:rsidR="00F36113" w:rsidRPr="00763B69">
        <w:rPr>
          <w:color w:val="000000"/>
          <w:szCs w:val="24"/>
          <w:shd w:val="clear" w:color="auto" w:fill="FFFFFF"/>
        </w:rPr>
        <w:t xml:space="preserve"> </w:t>
      </w:r>
      <w:r w:rsidR="00F36113" w:rsidRPr="00763B69">
        <w:rPr>
          <w:color w:val="000000"/>
          <w:shd w:val="clear" w:color="auto" w:fill="FFFFFF"/>
        </w:rPr>
        <w:t xml:space="preserve">Projekto rengėjai aiškinamajame rašte nurodo, kad Projektu </w:t>
      </w:r>
      <w:r w:rsidR="00F36113" w:rsidRPr="00763B69">
        <w:rPr>
          <w:color w:val="000000"/>
        </w:rPr>
        <w:t>siekiama sumažinti COVID-19 ekonominius padarinius turizmo sektoriui. Taip</w:t>
      </w:r>
      <w:r w:rsidR="00F36113" w:rsidRPr="00763B69">
        <w:rPr>
          <w:color w:val="00000A"/>
        </w:rPr>
        <w:t xml:space="preserve"> tikimasi išlaikyti sklandžią turizmo įmonių veiklą, tačiau toks siekis turi derėti su aukštu vartotojų apsaugos lygio reikalavimu. Europos </w:t>
      </w:r>
      <w:r w:rsidR="00F36113" w:rsidRPr="00763B69">
        <w:rPr>
          <w:color w:val="000000"/>
          <w:shd w:val="clear" w:color="auto" w:fill="FFFFFF"/>
        </w:rPr>
        <w:t xml:space="preserve">Komisija yra pabrėžusi, kad priemonės, skirtos turizmo sektoriui remti, turi nesumažinti </w:t>
      </w:r>
      <w:r w:rsidR="00F36113" w:rsidRPr="00763B69">
        <w:t>vartotojų apsaugos lygio</w:t>
      </w:r>
      <w:r w:rsidR="00F36113" w:rsidRPr="00763B69">
        <w:rPr>
          <w:color w:val="000000"/>
          <w:shd w:val="clear" w:color="auto" w:fill="FFFFFF"/>
        </w:rPr>
        <w:t xml:space="preserve">. Nacionaliniais teisės aktais neužtikrinus Direktyva </w:t>
      </w:r>
      <w:r w:rsidR="00F36113" w:rsidRPr="00763B69">
        <w:rPr>
          <w:rFonts w:eastAsia="Calibri"/>
          <w:szCs w:val="24"/>
        </w:rPr>
        <w:t xml:space="preserve">(ES) </w:t>
      </w:r>
      <w:r w:rsidR="00F36113" w:rsidRPr="00763B69">
        <w:t xml:space="preserve">Nr. 2015/2302 </w:t>
      </w:r>
      <w:r w:rsidR="00F36113" w:rsidRPr="00763B69">
        <w:rPr>
          <w:color w:val="000000"/>
          <w:shd w:val="clear" w:color="auto" w:fill="FFFFFF"/>
        </w:rPr>
        <w:t>garantuojamų turisto teisių į visišką pinigų, sumokėtų už kelionę, grąžinimą, kelionės organizatoriaus nemokumo atveju keliautojo turtinę žalą turi atlyginti valstybė.</w:t>
      </w:r>
    </w:p>
    <w:p w14:paraId="2EBA8ABB" w14:textId="77777777" w:rsidR="004651C8" w:rsidRDefault="00B13C2A" w:rsidP="004651C8">
      <w:pPr>
        <w:tabs>
          <w:tab w:val="left" w:pos="567"/>
          <w:tab w:val="left" w:pos="709"/>
        </w:tabs>
        <w:spacing w:line="320" w:lineRule="atLeast"/>
        <w:ind w:firstLine="567"/>
        <w:jc w:val="both"/>
      </w:pPr>
      <w:r w:rsidRPr="00763B69">
        <w:rPr>
          <w:szCs w:val="24"/>
        </w:rPr>
        <w:t xml:space="preserve">Antra, </w:t>
      </w:r>
      <w:r w:rsidR="00124E32">
        <w:rPr>
          <w:szCs w:val="24"/>
        </w:rPr>
        <w:t>tais atvejais, kai įstatuose nurodytas įstatinis kapitalas sudaro mažiau kaip</w:t>
      </w:r>
      <w:r w:rsidR="005615D1">
        <w:rPr>
          <w:szCs w:val="24"/>
        </w:rPr>
        <w:t xml:space="preserve"> 1/</w:t>
      </w:r>
      <w:r w:rsidR="00ED06EC">
        <w:rPr>
          <w:szCs w:val="24"/>
        </w:rPr>
        <w:t>2 </w:t>
      </w:r>
      <w:r w:rsidR="00124E32" w:rsidRPr="005772B2">
        <w:rPr>
          <w:szCs w:val="24"/>
        </w:rPr>
        <w:t>nuosavo kapitalo, suma</w:t>
      </w:r>
      <w:r w:rsidR="00124E32">
        <w:rPr>
          <w:szCs w:val="24"/>
        </w:rPr>
        <w:t xml:space="preserve">žėja </w:t>
      </w:r>
      <w:r w:rsidR="00124E32" w:rsidRPr="00472719">
        <w:rPr>
          <w:rFonts w:eastAsia="Calibri"/>
          <w:szCs w:val="24"/>
        </w:rPr>
        <w:t>bendrovės galimybės atsiskaityti pagal savo kreditorinius įsipareigojimus</w:t>
      </w:r>
      <w:r w:rsidR="00124E32">
        <w:rPr>
          <w:szCs w:val="24"/>
        </w:rPr>
        <w:t>.</w:t>
      </w:r>
      <w:r w:rsidR="00124E32" w:rsidRPr="006F3D71">
        <w:rPr>
          <w:rFonts w:eastAsia="Calibri"/>
          <w:szCs w:val="24"/>
        </w:rPr>
        <w:t xml:space="preserve"> </w:t>
      </w:r>
      <w:r w:rsidR="00124E32" w:rsidRPr="00472719">
        <w:rPr>
          <w:rFonts w:eastAsia="Calibri"/>
          <w:szCs w:val="24"/>
        </w:rPr>
        <w:t>Nuosavo kapitalo reikalavimas – fundamentali mokaus verslo sąlyga. Pagal Lietuvos Respu</w:t>
      </w:r>
      <w:r w:rsidR="00124E32">
        <w:rPr>
          <w:rFonts w:eastAsia="Calibri"/>
          <w:szCs w:val="24"/>
        </w:rPr>
        <w:t>b</w:t>
      </w:r>
      <w:r w:rsidR="00124E32" w:rsidRPr="00472719">
        <w:rPr>
          <w:rFonts w:eastAsia="Calibri"/>
          <w:szCs w:val="24"/>
        </w:rPr>
        <w:t xml:space="preserve">likos juridinių asmenų nemokumo įstatymo 2 straipsnio 7 dalį, juridinio </w:t>
      </w:r>
      <w:r w:rsidR="00124E32" w:rsidRPr="00472719">
        <w:rPr>
          <w:rFonts w:eastAsia="Calibri"/>
          <w:szCs w:val="24"/>
        </w:rPr>
        <w:lastRenderedPageBreak/>
        <w:t>asmens nemokumas – tai juridinio asmens būsena, kai juridinis asmuo negali vykdyti turtinių prievolių arba juridinio asmens įsipareigojimai viršija jo turto vertę. Esant tokiai įmonės būklei, kai nuosavas kapitalas yra mažesnis, negu reikalaujama, įmonė gali būti skelbiama (arba pati skelbtis) esanti nemoki ir nebevykdyti savo sutartinių įsipareigojimų turistams.</w:t>
      </w:r>
      <w:r w:rsidR="00124E32">
        <w:rPr>
          <w:szCs w:val="24"/>
        </w:rPr>
        <w:t xml:space="preserve"> </w:t>
      </w:r>
      <w:r w:rsidR="00124E32">
        <w:t>Bendrovių pareigos, susijusios su įstatinio kapitalo formavimu ir nuosavo kapitalo dydžiu</w:t>
      </w:r>
      <w:r w:rsidR="009F4972">
        <w:t>,</w:t>
      </w:r>
      <w:r w:rsidR="00124E32">
        <w:t xml:space="preserve"> kyla ir iš Lietuvos Respublikos akcinių bendrovių įstatymo.</w:t>
      </w:r>
    </w:p>
    <w:p w14:paraId="4CFBE841" w14:textId="45690585" w:rsidR="00881731" w:rsidRPr="004651C8" w:rsidRDefault="002E042F" w:rsidP="004651C8">
      <w:pPr>
        <w:tabs>
          <w:tab w:val="left" w:pos="567"/>
          <w:tab w:val="left" w:pos="709"/>
        </w:tabs>
        <w:spacing w:line="320" w:lineRule="atLeast"/>
        <w:ind w:firstLine="567"/>
        <w:jc w:val="both"/>
      </w:pPr>
      <w:r w:rsidRPr="00763B69">
        <w:rPr>
          <w:szCs w:val="24"/>
        </w:rPr>
        <w:t xml:space="preserve">Turizmo įstatymo 9 straipsnio 1 dalis </w:t>
      </w:r>
      <w:r w:rsidR="00B13C2A" w:rsidRPr="00763B69">
        <w:rPr>
          <w:szCs w:val="24"/>
        </w:rPr>
        <w:t>nustato</w:t>
      </w:r>
      <w:r w:rsidRPr="00763B69">
        <w:rPr>
          <w:szCs w:val="24"/>
        </w:rPr>
        <w:t>,</w:t>
      </w:r>
      <w:r w:rsidR="00B13C2A" w:rsidRPr="00763B69">
        <w:rPr>
          <w:szCs w:val="24"/>
        </w:rPr>
        <w:t xml:space="preserve"> kad</w:t>
      </w:r>
      <w:r w:rsidRPr="00763B69">
        <w:rPr>
          <w:szCs w:val="24"/>
        </w:rPr>
        <w:t xml:space="preserve"> kelionių organizatoriaus pažymėjimą norintis gauti asmuo turi atitikti šio įstatymo 7 straipsnio 2 dalies 1, 2 ir </w:t>
      </w:r>
      <w:r w:rsidR="00DE2D24" w:rsidRPr="00763B69">
        <w:rPr>
          <w:szCs w:val="24"/>
        </w:rPr>
        <w:t>11</w:t>
      </w:r>
      <w:r w:rsidR="00DE2D24">
        <w:rPr>
          <w:szCs w:val="24"/>
        </w:rPr>
        <w:t> </w:t>
      </w:r>
      <w:r w:rsidRPr="00763B69">
        <w:rPr>
          <w:szCs w:val="24"/>
        </w:rPr>
        <w:t>punktuose ir šio įstatymo 8 straipsnio 1 dalyje nustatytus reikalavimus.</w:t>
      </w:r>
      <w:r w:rsidR="00B13C2A" w:rsidRPr="00763B69">
        <w:rPr>
          <w:szCs w:val="24"/>
        </w:rPr>
        <w:t xml:space="preserve"> Taip pat</w:t>
      </w:r>
      <w:r w:rsidRPr="00763B69">
        <w:rPr>
          <w:szCs w:val="24"/>
        </w:rPr>
        <w:t xml:space="preserve"> Turizmo įstatymo 11 straipsnio 1 dalyje </w:t>
      </w:r>
      <w:r w:rsidR="00B13C2A" w:rsidRPr="00763B69">
        <w:rPr>
          <w:szCs w:val="24"/>
        </w:rPr>
        <w:t xml:space="preserve">nustatyta, kad </w:t>
      </w:r>
      <w:r w:rsidRPr="00763B69">
        <w:rPr>
          <w:szCs w:val="24"/>
        </w:rPr>
        <w:t xml:space="preserve">paaiškėjus, </w:t>
      </w:r>
      <w:r w:rsidR="000B7AEE">
        <w:rPr>
          <w:szCs w:val="24"/>
        </w:rPr>
        <w:t>jog</w:t>
      </w:r>
      <w:r w:rsidR="000B7AEE" w:rsidRPr="00763B69">
        <w:rPr>
          <w:szCs w:val="24"/>
        </w:rPr>
        <w:t xml:space="preserve"> </w:t>
      </w:r>
      <w:r w:rsidRPr="00763B69">
        <w:rPr>
          <w:szCs w:val="24"/>
        </w:rPr>
        <w:t>kelionių organizatorius neatitinka šio įstatymo 7 straipsnio 2 dalies 11 punkte nustatytų reikalavimų, Vyriausybės įgaliota</w:t>
      </w:r>
      <w:r w:rsidR="00DC388D" w:rsidRPr="00763B69">
        <w:rPr>
          <w:szCs w:val="24"/>
        </w:rPr>
        <w:t xml:space="preserve"> institucija </w:t>
      </w:r>
      <w:r w:rsidR="00DC388D" w:rsidRPr="00763B69">
        <w:rPr>
          <w:rFonts w:eastAsia="Calibri"/>
          <w:szCs w:val="24"/>
        </w:rPr>
        <w:t>(</w:t>
      </w:r>
      <w:r w:rsidR="00B13C2A" w:rsidRPr="00763B69">
        <w:rPr>
          <w:rFonts w:eastAsia="Calibri"/>
          <w:szCs w:val="24"/>
        </w:rPr>
        <w:t xml:space="preserve">toliau – </w:t>
      </w:r>
      <w:r w:rsidR="00DC388D" w:rsidRPr="00763B69">
        <w:rPr>
          <w:rFonts w:eastAsia="Calibri"/>
          <w:szCs w:val="24"/>
        </w:rPr>
        <w:t>Valstybinė vartotojų teisių apsaugos tarnyba)</w:t>
      </w:r>
      <w:r w:rsidRPr="00763B69">
        <w:rPr>
          <w:szCs w:val="24"/>
        </w:rPr>
        <w:t xml:space="preserve"> raštu įspėja kelionių organizatorių apie kelionių organizatoriaus pažymėjimo galiojimo panaikinimą, jeigu kelionių organizatorius per 3 mėnesius nuo Vyriausybės įgaliotos institucijos įspėjimo gavimo dienos nepašalina šioje dalyje nurodyto trūkumo. Analogiški reikalavimai taikomi ir kelionių pardavimo agentu</w:t>
      </w:r>
      <w:r w:rsidR="00B13C2A" w:rsidRPr="00763B69">
        <w:rPr>
          <w:szCs w:val="24"/>
        </w:rPr>
        <w:t>i</w:t>
      </w:r>
      <w:r w:rsidRPr="00763B69">
        <w:rPr>
          <w:szCs w:val="24"/>
        </w:rPr>
        <w:t xml:space="preserve">. Taigi </w:t>
      </w:r>
      <w:r w:rsidR="00763B69" w:rsidRPr="00763B69">
        <w:rPr>
          <w:szCs w:val="24"/>
        </w:rPr>
        <w:t>p</w:t>
      </w:r>
      <w:r w:rsidRPr="00763B69">
        <w:rPr>
          <w:szCs w:val="24"/>
        </w:rPr>
        <w:t xml:space="preserve">agal </w:t>
      </w:r>
      <w:r w:rsidR="00F6292C" w:rsidRPr="00763B69">
        <w:rPr>
          <w:szCs w:val="24"/>
        </w:rPr>
        <w:t>P</w:t>
      </w:r>
      <w:r w:rsidRPr="00763B69">
        <w:rPr>
          <w:szCs w:val="24"/>
        </w:rPr>
        <w:t xml:space="preserve">rojekto 1 ir 3 straipsniais siūlomą reguliavimą reikalavimai, susiję su nustatyto nuosavo kapitalo dydžio užtikrinimu, visų pirma kelionių organizatoriui bei kelionių pardavimo agentui nebūtų </w:t>
      </w:r>
      <w:r w:rsidR="00F6292C" w:rsidRPr="00763B69">
        <w:rPr>
          <w:szCs w:val="24"/>
        </w:rPr>
        <w:t>taikomi</w:t>
      </w:r>
      <w:r w:rsidRPr="00763B69">
        <w:rPr>
          <w:szCs w:val="24"/>
        </w:rPr>
        <w:t xml:space="preserve"> </w:t>
      </w:r>
      <w:r w:rsidR="008C205E" w:rsidRPr="00763B69">
        <w:rPr>
          <w:szCs w:val="24"/>
        </w:rPr>
        <w:t xml:space="preserve">jau </w:t>
      </w:r>
      <w:r w:rsidR="00EF09AB">
        <w:rPr>
          <w:szCs w:val="24"/>
        </w:rPr>
        <w:t xml:space="preserve">išduodant </w:t>
      </w:r>
      <w:r w:rsidRPr="00763B69">
        <w:rPr>
          <w:szCs w:val="24"/>
        </w:rPr>
        <w:t xml:space="preserve">kelionių organizatoriaus </w:t>
      </w:r>
      <w:r w:rsidR="00EF09AB" w:rsidRPr="00763B69">
        <w:rPr>
          <w:szCs w:val="24"/>
        </w:rPr>
        <w:t>pažymėjim</w:t>
      </w:r>
      <w:r w:rsidR="00EF09AB">
        <w:rPr>
          <w:szCs w:val="24"/>
        </w:rPr>
        <w:t>ą</w:t>
      </w:r>
      <w:r w:rsidRPr="00763B69">
        <w:rPr>
          <w:szCs w:val="24"/>
        </w:rPr>
        <w:t xml:space="preserve"> bei kelionių pardavimo agento deklaracij</w:t>
      </w:r>
      <w:r w:rsidR="00EF09AB">
        <w:rPr>
          <w:szCs w:val="24"/>
        </w:rPr>
        <w:t>ą</w:t>
      </w:r>
      <w:r w:rsidR="00C124FA" w:rsidRPr="00763B69">
        <w:rPr>
          <w:szCs w:val="24"/>
        </w:rPr>
        <w:t xml:space="preserve">, taip pat </w:t>
      </w:r>
      <w:r w:rsidR="00C124FA" w:rsidRPr="00763B69">
        <w:rPr>
          <w:rFonts w:eastAsia="Calibri"/>
          <w:szCs w:val="24"/>
        </w:rPr>
        <w:t>Valstybinei vartotojų teisių apsaugos tarnybai</w:t>
      </w:r>
      <w:r w:rsidR="00C124FA" w:rsidRPr="00763B69">
        <w:rPr>
          <w:szCs w:val="24"/>
        </w:rPr>
        <w:t xml:space="preserve"> sprendžiant dėl kelionių organizatoriaus pažymėjimo, kelionių pardavimo agento teisės teikti kelionių pardavimo paslaugas panaikinimo. </w:t>
      </w:r>
      <w:r w:rsidR="000774B9">
        <w:rPr>
          <w:szCs w:val="24"/>
        </w:rPr>
        <w:t>A</w:t>
      </w:r>
      <w:r w:rsidR="000774B9" w:rsidRPr="00763B69">
        <w:rPr>
          <w:szCs w:val="24"/>
        </w:rPr>
        <w:t>tsisakius reikalavimo</w:t>
      </w:r>
      <w:r w:rsidR="000774B9" w:rsidRPr="00763B69">
        <w:rPr>
          <w:rFonts w:eastAsia="Calibri"/>
          <w:szCs w:val="24"/>
        </w:rPr>
        <w:t xml:space="preserve"> </w:t>
      </w:r>
      <w:r w:rsidR="000774B9">
        <w:rPr>
          <w:rFonts w:eastAsia="Calibri"/>
          <w:szCs w:val="24"/>
        </w:rPr>
        <w:t xml:space="preserve">dėl </w:t>
      </w:r>
      <w:r w:rsidR="000774B9" w:rsidRPr="00763B69">
        <w:rPr>
          <w:szCs w:val="24"/>
        </w:rPr>
        <w:t>nuosavo kapitalo dydžio</w:t>
      </w:r>
      <w:r w:rsidR="000774B9">
        <w:rPr>
          <w:szCs w:val="24"/>
        </w:rPr>
        <w:t>,</w:t>
      </w:r>
      <w:r w:rsidR="000774B9" w:rsidRPr="00763B69">
        <w:rPr>
          <w:szCs w:val="24"/>
        </w:rPr>
        <w:t xml:space="preserve"> kelionių organizatorių ir kelionių pardavimo agentų turizmo veiklos priežiūra taptų  neefektyvi</w:t>
      </w:r>
      <w:r w:rsidR="00EF0538">
        <w:rPr>
          <w:rFonts w:eastAsia="Calibri"/>
          <w:szCs w:val="24"/>
        </w:rPr>
        <w:t xml:space="preserve"> – </w:t>
      </w:r>
      <w:r w:rsidR="000774B9" w:rsidRPr="00763B69">
        <w:rPr>
          <w:rFonts w:eastAsia="Calibri"/>
          <w:szCs w:val="24"/>
        </w:rPr>
        <w:t>Valstybin</w:t>
      </w:r>
      <w:r w:rsidR="000774B9">
        <w:rPr>
          <w:rFonts w:eastAsia="Calibri"/>
          <w:szCs w:val="24"/>
        </w:rPr>
        <w:t>ė v</w:t>
      </w:r>
      <w:r w:rsidR="000774B9" w:rsidRPr="00472719">
        <w:rPr>
          <w:rFonts w:eastAsia="Calibri"/>
          <w:szCs w:val="24"/>
        </w:rPr>
        <w:t xml:space="preserve">artotojų teisių apsaugos tarnyba </w:t>
      </w:r>
      <w:r w:rsidR="000774B9">
        <w:rPr>
          <w:rFonts w:eastAsia="SimSun"/>
          <w:shd w:val="clear" w:color="auto" w:fill="FFFFFF"/>
        </w:rPr>
        <w:t xml:space="preserve">neturėtų pagrindo  </w:t>
      </w:r>
      <w:r w:rsidR="000774B9" w:rsidRPr="00BA245F">
        <w:rPr>
          <w:rFonts w:eastAsia="SimSun"/>
          <w:shd w:val="clear" w:color="auto" w:fill="FFFFFF"/>
        </w:rPr>
        <w:t>tikrinti</w:t>
      </w:r>
      <w:r w:rsidR="000774B9">
        <w:rPr>
          <w:rFonts w:eastAsia="SimSun"/>
          <w:shd w:val="clear" w:color="auto" w:fill="FFFFFF"/>
        </w:rPr>
        <w:t xml:space="preserve"> nuosavo kapitalo dydžio atitikimo, net jei jis k</w:t>
      </w:r>
      <w:r w:rsidR="002F2995">
        <w:rPr>
          <w:rFonts w:eastAsia="SimSun"/>
          <w:shd w:val="clear" w:color="auto" w:fill="FFFFFF"/>
        </w:rPr>
        <w:t>yla</w:t>
      </w:r>
      <w:r w:rsidR="000774B9">
        <w:rPr>
          <w:rFonts w:eastAsia="SimSun"/>
          <w:shd w:val="clear" w:color="auto" w:fill="FFFFFF"/>
        </w:rPr>
        <w:t xml:space="preserve"> iš Akcinių bendrovių ar kitų įstatymų, taigi </w:t>
      </w:r>
      <w:r w:rsidR="000774B9" w:rsidRPr="00472719">
        <w:rPr>
          <w:rFonts w:eastAsia="Calibri"/>
          <w:szCs w:val="24"/>
        </w:rPr>
        <w:t>nebeturė</w:t>
      </w:r>
      <w:r w:rsidR="000774B9">
        <w:rPr>
          <w:rFonts w:eastAsia="Calibri"/>
          <w:szCs w:val="24"/>
        </w:rPr>
        <w:t>tų</w:t>
      </w:r>
      <w:r w:rsidR="000774B9" w:rsidRPr="00472719">
        <w:rPr>
          <w:rFonts w:eastAsia="Calibri"/>
          <w:szCs w:val="24"/>
        </w:rPr>
        <w:t xml:space="preserve"> jokių priemonių šiai bendrovių nemokumo ir bankroto rizikai užkardyti bei turistų ir Lietuvos valstybės finansiniams interesams apsaugoti.</w:t>
      </w:r>
    </w:p>
    <w:p w14:paraId="7239A805" w14:textId="03B06211" w:rsidR="00C61000" w:rsidRPr="007C21D7" w:rsidRDefault="00DC0C62" w:rsidP="004651C8">
      <w:pPr>
        <w:tabs>
          <w:tab w:val="left" w:pos="709"/>
        </w:tabs>
        <w:spacing w:line="320" w:lineRule="atLeast"/>
        <w:ind w:firstLine="567"/>
        <w:jc w:val="both"/>
        <w:rPr>
          <w:rFonts w:eastAsia="Calibri"/>
          <w:szCs w:val="24"/>
        </w:rPr>
      </w:pPr>
      <w:bookmarkStart w:id="0" w:name="_Hlk60150918"/>
      <w:r w:rsidRPr="003F1F26">
        <w:rPr>
          <w:rFonts w:eastAsia="Calibri"/>
          <w:szCs w:val="24"/>
        </w:rPr>
        <w:t>2</w:t>
      </w:r>
      <w:r w:rsidR="004221E2" w:rsidRPr="003F1F26">
        <w:rPr>
          <w:color w:val="000000"/>
        </w:rPr>
        <w:t xml:space="preserve">. </w:t>
      </w:r>
      <w:r w:rsidR="00C61000">
        <w:rPr>
          <w:rFonts w:eastAsia="SimSun"/>
        </w:rPr>
        <w:t xml:space="preserve">Akcinių bendrovių pareigos, susijusios su įstatinio kapitalo formavimu ir nuosavo kapitalo dydžiu, nustatytos Lietuvos Respublikos akcinių bendrovių įstatyme. Akcinių bendrovių įstatymo 1 straipsnio 3 ir 4 dalyse įtvirtinta galimybė kituose įstatymuose nustatyti kitokį akcinėms bendrovėms taikomą reguliavimą tik </w:t>
      </w:r>
      <w:r w:rsidR="00C61000">
        <w:rPr>
          <w:rFonts w:eastAsia="SimSun"/>
          <w:shd w:val="clear" w:color="auto" w:fill="FFFFFF"/>
        </w:rPr>
        <w:t>finansų įstaigoms ir kolektyvinio investavimo subjektams, o kelionių organizavimo paslaugų teikėjų atveju tokios išlygos nėra. Todėl vien tik Turizmo įstatymo keitimas neturės ir negalėtų turėti įtakos iš Akcinių bendrovių įstatymo kylančių pareigų dėl nuosavo kapitalo dydžio atlikimui. Atsižvelgiant</w:t>
      </w:r>
      <w:r w:rsidR="00C61000" w:rsidRPr="0019277C">
        <w:rPr>
          <w:rFonts w:eastAsia="SimSun"/>
          <w:shd w:val="clear" w:color="auto" w:fill="FFFFFF"/>
        </w:rPr>
        <w:t xml:space="preserve"> į tai, </w:t>
      </w:r>
      <w:r w:rsidR="00C61000" w:rsidRPr="0019277C">
        <w:rPr>
          <w:rStyle w:val="Perirtashipersaitas"/>
          <w:rFonts w:eastAsia="SimSun"/>
          <w:color w:val="auto"/>
          <w:u w:val="none"/>
        </w:rPr>
        <w:t xml:space="preserve">Projekto priėmimas nepakankamas </w:t>
      </w:r>
      <w:r w:rsidR="00C61000" w:rsidRPr="0019277C">
        <w:rPr>
          <w:rFonts w:eastAsia="SimSun"/>
          <w:shd w:val="clear" w:color="auto" w:fill="FFFFFF"/>
        </w:rPr>
        <w:t>kelionių organiza</w:t>
      </w:r>
      <w:r w:rsidR="003476EA">
        <w:rPr>
          <w:rFonts w:eastAsia="SimSun"/>
          <w:shd w:val="clear" w:color="auto" w:fill="FFFFFF"/>
        </w:rPr>
        <w:t>torius ir kelionių pardavimo agentus</w:t>
      </w:r>
      <w:r w:rsidR="00C61000" w:rsidRPr="0019277C">
        <w:rPr>
          <w:rStyle w:val="Perirtashipersaitas"/>
          <w:rFonts w:eastAsia="SimSun"/>
          <w:color w:val="auto"/>
          <w:u w:val="none"/>
        </w:rPr>
        <w:t xml:space="preserve">, kurių </w:t>
      </w:r>
      <w:r w:rsidR="00424392">
        <w:rPr>
          <w:rStyle w:val="Perirtashipersaitas"/>
          <w:rFonts w:eastAsia="SimSun"/>
          <w:color w:val="auto"/>
          <w:u w:val="none"/>
        </w:rPr>
        <w:t xml:space="preserve">juridinio asmens teisinė </w:t>
      </w:r>
      <w:r w:rsidR="00C61000" w:rsidRPr="0019277C">
        <w:rPr>
          <w:rStyle w:val="Perirtashipersaitas"/>
          <w:rFonts w:eastAsia="SimSun"/>
          <w:color w:val="auto"/>
          <w:u w:val="none"/>
        </w:rPr>
        <w:t xml:space="preserve">forma </w:t>
      </w:r>
      <w:r w:rsidR="00C61000" w:rsidRPr="0019277C">
        <w:t>–</w:t>
      </w:r>
      <w:r w:rsidR="00C61000" w:rsidRPr="0019277C">
        <w:rPr>
          <w:rStyle w:val="Perirtashipersaitas"/>
          <w:rFonts w:eastAsia="SimSun"/>
          <w:color w:val="auto"/>
          <w:u w:val="none"/>
        </w:rPr>
        <w:t xml:space="preserve"> akcinės bendrovės, </w:t>
      </w:r>
      <w:r w:rsidR="00490D9A">
        <w:rPr>
          <w:rStyle w:val="Perirtashipersaitas"/>
          <w:rFonts w:eastAsia="SimSun"/>
          <w:color w:val="auto"/>
          <w:u w:val="none"/>
        </w:rPr>
        <w:t xml:space="preserve">atleisti </w:t>
      </w:r>
      <w:r w:rsidR="00C61000" w:rsidRPr="0019277C">
        <w:rPr>
          <w:rStyle w:val="Perirtashipersaitas"/>
          <w:rFonts w:eastAsia="SimSun"/>
          <w:color w:val="auto"/>
          <w:u w:val="none"/>
        </w:rPr>
        <w:t>nuo pareigos būti suformavusi</w:t>
      </w:r>
      <w:r w:rsidR="00C61000">
        <w:rPr>
          <w:rStyle w:val="Perirtashipersaitas"/>
          <w:rFonts w:eastAsia="SimSun"/>
          <w:color w:val="auto"/>
          <w:u w:val="none"/>
        </w:rPr>
        <w:t>e</w:t>
      </w:r>
      <w:r w:rsidR="00C61000" w:rsidRPr="0019277C">
        <w:rPr>
          <w:rStyle w:val="Perirtashipersaitas"/>
          <w:rFonts w:eastAsia="SimSun"/>
          <w:color w:val="auto"/>
          <w:u w:val="none"/>
        </w:rPr>
        <w:t>ms įstatinį kapitalą</w:t>
      </w:r>
      <w:r w:rsidR="003476EA">
        <w:rPr>
          <w:rStyle w:val="Perirtashipersaitas"/>
          <w:rFonts w:eastAsia="SimSun"/>
          <w:color w:val="auto"/>
          <w:u w:val="none"/>
        </w:rPr>
        <w:t>.</w:t>
      </w:r>
    </w:p>
    <w:p w14:paraId="28EFAAA6" w14:textId="5642D9CF" w:rsidR="00C61000" w:rsidRPr="006F3D71" w:rsidRDefault="00C61000" w:rsidP="00C61000">
      <w:pPr>
        <w:tabs>
          <w:tab w:val="left" w:pos="567"/>
          <w:tab w:val="left" w:pos="709"/>
        </w:tabs>
        <w:spacing w:line="320" w:lineRule="atLeast"/>
        <w:ind w:firstLine="567"/>
        <w:jc w:val="both"/>
        <w:rPr>
          <w:szCs w:val="24"/>
        </w:rPr>
      </w:pPr>
      <w:r w:rsidRPr="007C21D7">
        <w:rPr>
          <w:rFonts w:eastAsia="Calibri"/>
          <w:szCs w:val="24"/>
        </w:rPr>
        <w:t>Turizmo įstatymo pakeitimai, neturėdami įtakos akcinių bendrovių pareigoms</w:t>
      </w:r>
      <w:r>
        <w:rPr>
          <w:rFonts w:eastAsia="Calibri"/>
          <w:szCs w:val="24"/>
        </w:rPr>
        <w:t>,</w:t>
      </w:r>
      <w:r w:rsidRPr="007C21D7">
        <w:rPr>
          <w:rFonts w:eastAsia="Calibri"/>
          <w:szCs w:val="24"/>
        </w:rPr>
        <w:t xml:space="preserve"> susijusioms su nuosavo kapitalo dydžiu, numatytoms Akcinių bendrovių įstatyme, sudarytų geresnes sąlygas </w:t>
      </w:r>
      <w:r w:rsidR="00490D9A">
        <w:rPr>
          <w:rFonts w:eastAsia="Calibri"/>
          <w:szCs w:val="24"/>
        </w:rPr>
        <w:t xml:space="preserve">tik </w:t>
      </w:r>
      <w:r>
        <w:rPr>
          <w:rFonts w:eastAsia="Calibri"/>
          <w:szCs w:val="24"/>
        </w:rPr>
        <w:t xml:space="preserve">kitų </w:t>
      </w:r>
      <w:r w:rsidR="005261FF">
        <w:rPr>
          <w:rFonts w:eastAsia="Calibri"/>
          <w:szCs w:val="24"/>
        </w:rPr>
        <w:t>juridini</w:t>
      </w:r>
      <w:r w:rsidR="00424392">
        <w:rPr>
          <w:rFonts w:eastAsia="Calibri"/>
          <w:szCs w:val="24"/>
        </w:rPr>
        <w:t>o</w:t>
      </w:r>
      <w:r w:rsidR="005261FF">
        <w:rPr>
          <w:rFonts w:eastAsia="Calibri"/>
          <w:szCs w:val="24"/>
        </w:rPr>
        <w:t xml:space="preserve"> asmen</w:t>
      </w:r>
      <w:r w:rsidR="00424392">
        <w:rPr>
          <w:rFonts w:eastAsia="Calibri"/>
          <w:szCs w:val="24"/>
        </w:rPr>
        <w:t>s</w:t>
      </w:r>
      <w:r w:rsidR="005261FF">
        <w:rPr>
          <w:rFonts w:eastAsia="Calibri"/>
          <w:szCs w:val="24"/>
        </w:rPr>
        <w:t xml:space="preserve"> teisinių </w:t>
      </w:r>
      <w:r>
        <w:rPr>
          <w:rFonts w:eastAsia="Calibri"/>
          <w:szCs w:val="24"/>
        </w:rPr>
        <w:t xml:space="preserve">formų nei </w:t>
      </w:r>
      <w:r w:rsidRPr="007C21D7">
        <w:rPr>
          <w:rFonts w:eastAsia="Calibri"/>
          <w:szCs w:val="24"/>
        </w:rPr>
        <w:t>akcinės bendrovės</w:t>
      </w:r>
      <w:r>
        <w:rPr>
          <w:rFonts w:eastAsia="Calibri"/>
          <w:szCs w:val="24"/>
        </w:rPr>
        <w:t xml:space="preserve"> </w:t>
      </w:r>
      <w:r>
        <w:rPr>
          <w:rFonts w:eastAsia="SimSun"/>
          <w:shd w:val="clear" w:color="auto" w:fill="FFFFFF"/>
        </w:rPr>
        <w:t>kelionių organiza</w:t>
      </w:r>
      <w:r w:rsidR="003476EA">
        <w:rPr>
          <w:rFonts w:eastAsia="SimSun"/>
          <w:shd w:val="clear" w:color="auto" w:fill="FFFFFF"/>
        </w:rPr>
        <w:t>toriams ir kelionių pardavimo agentams</w:t>
      </w:r>
      <w:r w:rsidRPr="007C21D7">
        <w:rPr>
          <w:rFonts w:eastAsia="Calibri"/>
          <w:szCs w:val="24"/>
        </w:rPr>
        <w:t xml:space="preserve">, </w:t>
      </w:r>
      <w:r>
        <w:rPr>
          <w:rFonts w:eastAsia="Calibri"/>
          <w:szCs w:val="24"/>
        </w:rPr>
        <w:t>kas neatitiktų</w:t>
      </w:r>
      <w:r w:rsidRPr="007C21D7">
        <w:rPr>
          <w:rFonts w:eastAsia="Calibri"/>
          <w:szCs w:val="24"/>
        </w:rPr>
        <w:t xml:space="preserve"> lygiateisiškumo principo, kadangi ūkio subjektų dalis (akcinės bendrovės)</w:t>
      </w:r>
      <w:r w:rsidR="002E6121">
        <w:rPr>
          <w:rFonts w:eastAsia="Calibri"/>
          <w:szCs w:val="24"/>
        </w:rPr>
        <w:t>, patirianti identiškas neigiamas pasekmes,</w:t>
      </w:r>
      <w:r w:rsidRPr="007C21D7">
        <w:rPr>
          <w:rFonts w:eastAsia="Calibri"/>
          <w:szCs w:val="24"/>
        </w:rPr>
        <w:t xml:space="preserve"> turėtų veikti nepakitusiomis sąlygomis</w:t>
      </w:r>
      <w:r w:rsidR="00BD1813">
        <w:rPr>
          <w:rFonts w:eastAsia="Calibri"/>
          <w:szCs w:val="24"/>
        </w:rPr>
        <w:t xml:space="preserve"> dėl nuosavo kapitalo dydžio</w:t>
      </w:r>
      <w:r>
        <w:rPr>
          <w:rFonts w:eastAsia="Calibri"/>
          <w:szCs w:val="24"/>
        </w:rPr>
        <w:t xml:space="preserve">, </w:t>
      </w:r>
      <w:r w:rsidR="002E6121">
        <w:rPr>
          <w:rFonts w:eastAsia="Calibri"/>
          <w:szCs w:val="24"/>
        </w:rPr>
        <w:t xml:space="preserve">laikinai </w:t>
      </w:r>
      <w:r w:rsidR="003476EA">
        <w:rPr>
          <w:rFonts w:eastAsia="Calibri"/>
          <w:szCs w:val="24"/>
        </w:rPr>
        <w:t>lengvesnių veiklos sąlygų</w:t>
      </w:r>
      <w:r>
        <w:rPr>
          <w:rFonts w:eastAsia="Calibri"/>
          <w:szCs w:val="24"/>
        </w:rPr>
        <w:t xml:space="preserve"> </w:t>
      </w:r>
      <w:r w:rsidR="00490D9A">
        <w:rPr>
          <w:rFonts w:eastAsia="Calibri"/>
          <w:szCs w:val="24"/>
        </w:rPr>
        <w:t xml:space="preserve">netaikymo akcinėms bendrovėms </w:t>
      </w:r>
      <w:r>
        <w:rPr>
          <w:rFonts w:eastAsia="Calibri"/>
          <w:szCs w:val="24"/>
        </w:rPr>
        <w:t>nepagrindus</w:t>
      </w:r>
      <w:r w:rsidR="00490D9A">
        <w:rPr>
          <w:rFonts w:eastAsia="Calibri"/>
          <w:szCs w:val="24"/>
        </w:rPr>
        <w:t xml:space="preserve"> aiškinamajame rašte</w:t>
      </w:r>
      <w:r w:rsidRPr="007C21D7">
        <w:rPr>
          <w:rFonts w:eastAsia="Calibri"/>
          <w:szCs w:val="24"/>
        </w:rPr>
        <w:t>.</w:t>
      </w:r>
    </w:p>
    <w:bookmarkEnd w:id="0"/>
    <w:p w14:paraId="075D1F1B" w14:textId="3E4AE21F" w:rsidR="00FE4192" w:rsidRPr="00472719" w:rsidRDefault="00C61000" w:rsidP="00437680">
      <w:pPr>
        <w:tabs>
          <w:tab w:val="left" w:pos="567"/>
        </w:tabs>
        <w:spacing w:line="320" w:lineRule="atLeast"/>
        <w:ind w:firstLine="567"/>
        <w:jc w:val="both"/>
        <w:rPr>
          <w:color w:val="000000"/>
        </w:rPr>
      </w:pPr>
      <w:r>
        <w:rPr>
          <w:color w:val="000000"/>
          <w:shd w:val="clear" w:color="auto" w:fill="FFFFFF"/>
        </w:rPr>
        <w:t xml:space="preserve">3. </w:t>
      </w:r>
      <w:r w:rsidR="000C6663" w:rsidRPr="003F1F26">
        <w:rPr>
          <w:color w:val="000000"/>
          <w:shd w:val="clear" w:color="auto" w:fill="FFFFFF"/>
        </w:rPr>
        <w:t xml:space="preserve">Projekto </w:t>
      </w:r>
      <w:r w:rsidR="004221E2" w:rsidRPr="003F1F26">
        <w:rPr>
          <w:color w:val="000000"/>
        </w:rPr>
        <w:t xml:space="preserve">2 straipsniu siekiama panaikinti Turizmo </w:t>
      </w:r>
      <w:r w:rsidR="004221E2" w:rsidRPr="00472719">
        <w:rPr>
          <w:color w:val="000000"/>
        </w:rPr>
        <w:t xml:space="preserve">įstatymo 13 straipsnyje </w:t>
      </w:r>
      <w:r w:rsidR="00C9068F" w:rsidRPr="00472719">
        <w:rPr>
          <w:color w:val="000000"/>
        </w:rPr>
        <w:t>nustatytų</w:t>
      </w:r>
      <w:r w:rsidR="004221E2" w:rsidRPr="00472719">
        <w:rPr>
          <w:color w:val="000000"/>
        </w:rPr>
        <w:t xml:space="preserve"> vietinio turizmo kelionių organizatorių prievolių užtikrinim</w:t>
      </w:r>
      <w:r w:rsidR="00EA49B9" w:rsidRPr="00472719">
        <w:rPr>
          <w:color w:val="000000"/>
        </w:rPr>
        <w:t>ą</w:t>
      </w:r>
      <w:r w:rsidR="00C9068F" w:rsidRPr="00472719">
        <w:rPr>
          <w:color w:val="000000"/>
        </w:rPr>
        <w:t>, kurio suma</w:t>
      </w:r>
      <w:r w:rsidR="00EA49B9" w:rsidRPr="00472719">
        <w:rPr>
          <w:color w:val="000000"/>
        </w:rPr>
        <w:t xml:space="preserve"> ne mažesn</w:t>
      </w:r>
      <w:r w:rsidR="00C9068F" w:rsidRPr="00472719">
        <w:rPr>
          <w:color w:val="000000"/>
        </w:rPr>
        <w:t>ė</w:t>
      </w:r>
      <w:r w:rsidR="00EA49B9" w:rsidRPr="00472719">
        <w:rPr>
          <w:color w:val="000000"/>
        </w:rPr>
        <w:t xml:space="preserve"> kaip </w:t>
      </w:r>
      <w:r w:rsidR="00EA49B9" w:rsidRPr="00472719">
        <w:rPr>
          <w:color w:val="000000"/>
        </w:rPr>
        <w:lastRenderedPageBreak/>
        <w:t>3 000 Eur</w:t>
      </w:r>
      <w:r w:rsidR="004221E2" w:rsidRPr="00472719">
        <w:rPr>
          <w:color w:val="000000"/>
        </w:rPr>
        <w:t xml:space="preserve">, </w:t>
      </w:r>
      <w:r w:rsidR="00EA49B9" w:rsidRPr="00472719">
        <w:rPr>
          <w:color w:val="000000"/>
        </w:rPr>
        <w:t xml:space="preserve">taip pat </w:t>
      </w:r>
      <w:r w:rsidR="004221E2" w:rsidRPr="00472719">
        <w:rPr>
          <w:color w:val="000000"/>
        </w:rPr>
        <w:t xml:space="preserve">išvykstamojo turizmo </w:t>
      </w:r>
      <w:r w:rsidR="00DB0F1A" w:rsidRPr="00472719">
        <w:rPr>
          <w:color w:val="000000"/>
        </w:rPr>
        <w:t xml:space="preserve">kelionių </w:t>
      </w:r>
      <w:r w:rsidR="004221E2" w:rsidRPr="00472719">
        <w:rPr>
          <w:color w:val="000000"/>
        </w:rPr>
        <w:t xml:space="preserve">organizatoriams, neorganizuojantiems kelionių užsakomaisiais skrydžiais, nebenustatyti reikalavimo užtikrinti prievolių įvykdymą </w:t>
      </w:r>
      <w:r w:rsidR="00C9068F" w:rsidRPr="00472719">
        <w:rPr>
          <w:color w:val="000000"/>
        </w:rPr>
        <w:t xml:space="preserve"> už </w:t>
      </w:r>
      <w:r w:rsidR="004221E2" w:rsidRPr="00472719">
        <w:rPr>
          <w:color w:val="000000"/>
        </w:rPr>
        <w:t>50 000 Eur sum</w:t>
      </w:r>
      <w:r w:rsidR="00C9068F" w:rsidRPr="00472719">
        <w:rPr>
          <w:color w:val="000000"/>
        </w:rPr>
        <w:t>ą</w:t>
      </w:r>
      <w:r w:rsidR="004221E2" w:rsidRPr="00472719">
        <w:rPr>
          <w:color w:val="000000"/>
        </w:rPr>
        <w:t xml:space="preserve">, apsiribojant prievolių užtikrinimu </w:t>
      </w:r>
      <w:r w:rsidR="000C6663" w:rsidRPr="00472719">
        <w:rPr>
          <w:color w:val="000000"/>
          <w:shd w:val="clear" w:color="auto" w:fill="FFFFFF"/>
        </w:rPr>
        <w:t xml:space="preserve">Projekto </w:t>
      </w:r>
      <w:r w:rsidR="00ED5408" w:rsidRPr="00472719">
        <w:rPr>
          <w:color w:val="000000"/>
        </w:rPr>
        <w:t xml:space="preserve">2 </w:t>
      </w:r>
      <w:r w:rsidR="004221E2" w:rsidRPr="00472719">
        <w:rPr>
          <w:color w:val="000000"/>
        </w:rPr>
        <w:t xml:space="preserve">straipsnio 3 dalimi sumažintu 1 </w:t>
      </w:r>
      <w:r w:rsidR="00D62B03" w:rsidRPr="00472719">
        <w:rPr>
          <w:color w:val="000000"/>
        </w:rPr>
        <w:t> </w:t>
      </w:r>
      <w:r w:rsidR="004221E2" w:rsidRPr="00472719">
        <w:rPr>
          <w:color w:val="000000"/>
        </w:rPr>
        <w:t>procent</w:t>
      </w:r>
      <w:r w:rsidR="00C9068F" w:rsidRPr="00472719">
        <w:rPr>
          <w:color w:val="000000"/>
        </w:rPr>
        <w:t>o</w:t>
      </w:r>
      <w:r w:rsidR="004221E2" w:rsidRPr="00472719">
        <w:rPr>
          <w:color w:val="000000"/>
        </w:rPr>
        <w:t xml:space="preserve"> (nuo </w:t>
      </w:r>
      <w:r w:rsidR="0071364B" w:rsidRPr="00472719">
        <w:rPr>
          <w:color w:val="000000"/>
        </w:rPr>
        <w:t> </w:t>
      </w:r>
      <w:r w:rsidR="004221E2" w:rsidRPr="00472719">
        <w:rPr>
          <w:color w:val="000000"/>
        </w:rPr>
        <w:t xml:space="preserve">7 </w:t>
      </w:r>
      <w:r w:rsidR="0026094F" w:rsidRPr="00472719">
        <w:rPr>
          <w:color w:val="000000"/>
        </w:rPr>
        <w:t> </w:t>
      </w:r>
      <w:r w:rsidR="004221E2" w:rsidRPr="00472719">
        <w:rPr>
          <w:color w:val="000000"/>
        </w:rPr>
        <w:t>proc</w:t>
      </w:r>
      <w:r w:rsidR="00D62B03" w:rsidRPr="00472719">
        <w:rPr>
          <w:color w:val="000000"/>
        </w:rPr>
        <w:t>.</w:t>
      </w:r>
      <w:r w:rsidR="004221E2" w:rsidRPr="00472719">
        <w:rPr>
          <w:color w:val="000000"/>
        </w:rPr>
        <w:t xml:space="preserve"> iki 6 proc</w:t>
      </w:r>
      <w:r w:rsidR="00D62B03" w:rsidRPr="00472719">
        <w:rPr>
          <w:color w:val="000000"/>
        </w:rPr>
        <w:t>.</w:t>
      </w:r>
      <w:r w:rsidR="004221E2" w:rsidRPr="00472719">
        <w:rPr>
          <w:color w:val="000000"/>
        </w:rPr>
        <w:t xml:space="preserve">) rodikliu, skaičiuojant paeiliui einančių paskutinių praėjusių ir pasibaigusių keturių ketvirčių kelionių organizatoriaus pajamų </w:t>
      </w:r>
      <w:r w:rsidR="0034124F" w:rsidRPr="00472719">
        <w:rPr>
          <w:color w:val="000000"/>
        </w:rPr>
        <w:t>sum</w:t>
      </w:r>
      <w:r w:rsidR="0034124F">
        <w:rPr>
          <w:color w:val="000000"/>
        </w:rPr>
        <w:t>ą</w:t>
      </w:r>
      <w:r w:rsidR="0034124F" w:rsidRPr="00472719">
        <w:rPr>
          <w:color w:val="000000"/>
        </w:rPr>
        <w:t xml:space="preserve"> </w:t>
      </w:r>
      <w:r w:rsidR="004221E2" w:rsidRPr="00472719">
        <w:rPr>
          <w:color w:val="000000"/>
        </w:rPr>
        <w:t>už organizuotų turistinių kelionių pardavimą pagal visas kelionių organizatoriaus sudarytas organizuotos turistinės kelionės sutartis.</w:t>
      </w:r>
    </w:p>
    <w:p w14:paraId="7C20ABCC" w14:textId="5D8E264A" w:rsidR="00FE4192" w:rsidRPr="00472719" w:rsidRDefault="00764D35" w:rsidP="00437680">
      <w:pPr>
        <w:tabs>
          <w:tab w:val="left" w:pos="567"/>
          <w:tab w:val="left" w:pos="709"/>
        </w:tabs>
        <w:spacing w:line="320" w:lineRule="atLeast"/>
        <w:ind w:firstLine="567"/>
        <w:jc w:val="both"/>
        <w:rPr>
          <w:szCs w:val="24"/>
        </w:rPr>
      </w:pPr>
      <w:r w:rsidRPr="00472719">
        <w:rPr>
          <w:rFonts w:eastAsia="Calibri"/>
          <w:szCs w:val="24"/>
        </w:rPr>
        <w:t>Pirma, Direktyvos</w:t>
      </w:r>
      <w:r w:rsidR="00ED5408" w:rsidRPr="00472719">
        <w:rPr>
          <w:rFonts w:eastAsia="Calibri"/>
          <w:szCs w:val="24"/>
        </w:rPr>
        <w:t xml:space="preserve"> (ES)</w:t>
      </w:r>
      <w:r w:rsidRPr="00472719">
        <w:rPr>
          <w:rFonts w:eastAsia="Calibri"/>
          <w:szCs w:val="24"/>
        </w:rPr>
        <w:t xml:space="preserve"> Nr. 2015/2302 nuostatos nenumato galimybės kelionių organizatoriams, </w:t>
      </w:r>
      <w:r w:rsidR="00C9068F" w:rsidRPr="00472719">
        <w:rPr>
          <w:rFonts w:eastAsia="Calibri"/>
          <w:szCs w:val="24"/>
        </w:rPr>
        <w:t>užsiimantiems</w:t>
      </w:r>
      <w:r w:rsidRPr="00472719">
        <w:rPr>
          <w:rFonts w:eastAsia="Calibri"/>
          <w:szCs w:val="24"/>
        </w:rPr>
        <w:t xml:space="preserve"> tik vietin</w:t>
      </w:r>
      <w:r w:rsidR="00C9068F" w:rsidRPr="00472719">
        <w:rPr>
          <w:rFonts w:eastAsia="Calibri"/>
          <w:szCs w:val="24"/>
        </w:rPr>
        <w:t>iu</w:t>
      </w:r>
      <w:r w:rsidRPr="00472719">
        <w:rPr>
          <w:rFonts w:eastAsia="Calibri"/>
          <w:szCs w:val="24"/>
        </w:rPr>
        <w:t xml:space="preserve"> turizm</w:t>
      </w:r>
      <w:r w:rsidR="00C9068F" w:rsidRPr="00472719">
        <w:rPr>
          <w:rFonts w:eastAsia="Calibri"/>
          <w:szCs w:val="24"/>
        </w:rPr>
        <w:t>u</w:t>
      </w:r>
      <w:r w:rsidRPr="00472719">
        <w:rPr>
          <w:rFonts w:eastAsia="Calibri"/>
          <w:szCs w:val="24"/>
        </w:rPr>
        <w:t>, netaikyti reikalavimo turėti prievolės įvykdymo užtik</w:t>
      </w:r>
      <w:r w:rsidR="00BE0854" w:rsidRPr="00472719">
        <w:rPr>
          <w:rFonts w:eastAsia="Calibri"/>
          <w:szCs w:val="24"/>
        </w:rPr>
        <w:t>r</w:t>
      </w:r>
      <w:r w:rsidRPr="00472719">
        <w:rPr>
          <w:rFonts w:eastAsia="Calibri"/>
          <w:szCs w:val="24"/>
        </w:rPr>
        <w:t>inimą (garantiją). Priešingai</w:t>
      </w:r>
      <w:r w:rsidR="00460FF5">
        <w:rPr>
          <w:rFonts w:eastAsia="Calibri"/>
          <w:szCs w:val="24"/>
        </w:rPr>
        <w:t xml:space="preserve"> –</w:t>
      </w:r>
      <w:r w:rsidR="00460FF5" w:rsidRPr="00472719">
        <w:rPr>
          <w:rFonts w:eastAsia="Calibri"/>
          <w:szCs w:val="24"/>
        </w:rPr>
        <w:t xml:space="preserve"> </w:t>
      </w:r>
      <w:r w:rsidRPr="00472719">
        <w:rPr>
          <w:rFonts w:eastAsia="Calibri"/>
          <w:szCs w:val="24"/>
        </w:rPr>
        <w:t>Direktyvos</w:t>
      </w:r>
      <w:r w:rsidR="00ED5408" w:rsidRPr="00472719">
        <w:rPr>
          <w:rFonts w:eastAsia="Calibri"/>
          <w:szCs w:val="24"/>
        </w:rPr>
        <w:t xml:space="preserve"> (ES) </w:t>
      </w:r>
      <w:r w:rsidRPr="00472719">
        <w:rPr>
          <w:rFonts w:eastAsia="Calibri"/>
          <w:szCs w:val="24"/>
        </w:rPr>
        <w:t xml:space="preserve">Nr. 2015/2302 17 straipsnio 3 </w:t>
      </w:r>
      <w:r w:rsidR="0026094F" w:rsidRPr="00472719">
        <w:rPr>
          <w:rFonts w:eastAsia="Calibri"/>
          <w:szCs w:val="24"/>
        </w:rPr>
        <w:t> </w:t>
      </w:r>
      <w:r w:rsidRPr="00472719">
        <w:rPr>
          <w:rFonts w:eastAsia="Calibri"/>
          <w:szCs w:val="24"/>
        </w:rPr>
        <w:t xml:space="preserve">dalis įpareigoja prievolių įvykdymo užtikrinimą nemokumo atveju turėti visiems be išimties kelionių organizatoriams, net ir tiems, kurie vykdo veiklą konkrečios valstybės </w:t>
      </w:r>
      <w:r w:rsidR="00C9068F" w:rsidRPr="00472719">
        <w:rPr>
          <w:rFonts w:eastAsia="Calibri"/>
          <w:szCs w:val="24"/>
        </w:rPr>
        <w:t>teritorijoje</w:t>
      </w:r>
      <w:r w:rsidRPr="00472719">
        <w:rPr>
          <w:rFonts w:eastAsia="Calibri"/>
          <w:szCs w:val="24"/>
        </w:rPr>
        <w:t>. Tai</w:t>
      </w:r>
      <w:r w:rsidR="00520AE4" w:rsidRPr="00472719">
        <w:rPr>
          <w:rFonts w:eastAsia="Calibri"/>
          <w:szCs w:val="24"/>
        </w:rPr>
        <w:t>gi</w:t>
      </w:r>
      <w:r w:rsidRPr="00472719">
        <w:rPr>
          <w:rFonts w:eastAsia="Calibri"/>
          <w:szCs w:val="24"/>
        </w:rPr>
        <w:t xml:space="preserve">, siūlomas Turizmo įstatymo 13 straipsnio pakeitimas prieštarauja Direktyvos </w:t>
      </w:r>
      <w:r w:rsidR="00ED5408" w:rsidRPr="00472719">
        <w:rPr>
          <w:rFonts w:eastAsia="Calibri"/>
          <w:szCs w:val="24"/>
        </w:rPr>
        <w:t xml:space="preserve">(ES) </w:t>
      </w:r>
      <w:r w:rsidRPr="00472719">
        <w:rPr>
          <w:rFonts w:eastAsia="Calibri"/>
          <w:szCs w:val="24"/>
        </w:rPr>
        <w:t xml:space="preserve">Nr. </w:t>
      </w:r>
      <w:r w:rsidR="00BE0854" w:rsidRPr="00472719">
        <w:rPr>
          <w:rFonts w:eastAsia="Calibri"/>
          <w:szCs w:val="24"/>
        </w:rPr>
        <w:t> </w:t>
      </w:r>
      <w:r w:rsidRPr="00472719">
        <w:rPr>
          <w:rFonts w:eastAsia="Calibri"/>
          <w:szCs w:val="24"/>
        </w:rPr>
        <w:t>2015/2302 nuostatoms</w:t>
      </w:r>
      <w:r w:rsidR="00F80EE9">
        <w:t>.</w:t>
      </w:r>
      <w:r w:rsidRPr="00472719">
        <w:rPr>
          <w:rFonts w:eastAsia="Calibri"/>
          <w:szCs w:val="24"/>
        </w:rPr>
        <w:t xml:space="preserve"> </w:t>
      </w:r>
      <w:r w:rsidR="00746D52">
        <w:rPr>
          <w:rFonts w:eastAsia="Calibri"/>
          <w:szCs w:val="24"/>
        </w:rPr>
        <w:t xml:space="preserve">Pažymėtina, kad </w:t>
      </w:r>
      <w:r w:rsidR="00746D52">
        <w:rPr>
          <w:color w:val="000000"/>
          <w:shd w:val="clear" w:color="auto" w:fill="FFFFFF"/>
        </w:rPr>
        <w:t xml:space="preserve">pagal </w:t>
      </w:r>
      <w:r w:rsidR="004B3ED5" w:rsidRPr="00472719">
        <w:rPr>
          <w:color w:val="000000"/>
          <w:shd w:val="clear" w:color="auto" w:fill="FFFFFF"/>
        </w:rPr>
        <w:t xml:space="preserve"> </w:t>
      </w:r>
      <w:r w:rsidR="004B3ED5" w:rsidRPr="00472719">
        <w:rPr>
          <w:rFonts w:eastAsia="Calibri"/>
          <w:szCs w:val="24"/>
        </w:rPr>
        <w:t>Direktyvos (ES) Nr</w:t>
      </w:r>
      <w:r w:rsidR="00D02A86" w:rsidRPr="00472719">
        <w:rPr>
          <w:rFonts w:eastAsia="Calibri"/>
          <w:szCs w:val="24"/>
        </w:rPr>
        <w:t>.</w:t>
      </w:r>
      <w:r w:rsidR="00D02A86">
        <w:rPr>
          <w:rFonts w:eastAsia="Calibri"/>
          <w:szCs w:val="24"/>
        </w:rPr>
        <w:t> </w:t>
      </w:r>
      <w:r w:rsidR="004B3ED5" w:rsidRPr="00472719">
        <w:rPr>
          <w:rFonts w:eastAsia="Calibri"/>
          <w:szCs w:val="24"/>
        </w:rPr>
        <w:t>2015/2302</w:t>
      </w:r>
      <w:r w:rsidR="004B3ED5" w:rsidRPr="00472719">
        <w:rPr>
          <w:color w:val="000000"/>
          <w:shd w:val="clear" w:color="auto" w:fill="FFFFFF"/>
        </w:rPr>
        <w:t xml:space="preserve"> nuostat</w:t>
      </w:r>
      <w:r w:rsidR="00746D52">
        <w:rPr>
          <w:color w:val="000000"/>
          <w:shd w:val="clear" w:color="auto" w:fill="FFFFFF"/>
        </w:rPr>
        <w:t>as</w:t>
      </w:r>
      <w:r w:rsidR="004B3ED5" w:rsidRPr="00472719">
        <w:rPr>
          <w:color w:val="000000"/>
          <w:shd w:val="clear" w:color="auto" w:fill="FFFFFF"/>
        </w:rPr>
        <w:t xml:space="preserve"> </w:t>
      </w:r>
      <w:r w:rsidR="00746D52">
        <w:rPr>
          <w:color w:val="000000"/>
          <w:shd w:val="clear" w:color="auto" w:fill="FFFFFF"/>
        </w:rPr>
        <w:t>valstyb</w:t>
      </w:r>
      <w:r w:rsidR="007F10FB">
        <w:rPr>
          <w:color w:val="000000"/>
          <w:shd w:val="clear" w:color="auto" w:fill="FFFFFF"/>
        </w:rPr>
        <w:t>ei</w:t>
      </w:r>
      <w:r w:rsidR="00746D52">
        <w:rPr>
          <w:color w:val="000000"/>
          <w:shd w:val="clear" w:color="auto" w:fill="FFFFFF"/>
        </w:rPr>
        <w:t xml:space="preserve"> </w:t>
      </w:r>
      <w:r w:rsidR="00F80EE9">
        <w:rPr>
          <w:color w:val="000000"/>
          <w:shd w:val="clear" w:color="auto" w:fill="FFFFFF"/>
        </w:rPr>
        <w:t>ne</w:t>
      </w:r>
      <w:r w:rsidR="00746D52">
        <w:rPr>
          <w:color w:val="000000"/>
          <w:shd w:val="clear" w:color="auto" w:fill="FFFFFF"/>
        </w:rPr>
        <w:t>užtikrin</w:t>
      </w:r>
      <w:r w:rsidR="00F80EE9">
        <w:rPr>
          <w:color w:val="000000"/>
          <w:shd w:val="clear" w:color="auto" w:fill="FFFFFF"/>
        </w:rPr>
        <w:t>us, kad</w:t>
      </w:r>
      <w:r w:rsidR="00746D52">
        <w:rPr>
          <w:color w:val="000000"/>
          <w:shd w:val="clear" w:color="auto" w:fill="FFFFFF"/>
        </w:rPr>
        <w:t xml:space="preserve"> </w:t>
      </w:r>
      <w:r w:rsidR="00F80EE9" w:rsidRPr="007A0405">
        <w:rPr>
          <w:color w:val="000000"/>
          <w:shd w:val="clear" w:color="auto" w:fill="FFFFFF"/>
        </w:rPr>
        <w:t>kelionių organizatori</w:t>
      </w:r>
      <w:r w:rsidR="007F10FB">
        <w:rPr>
          <w:color w:val="000000"/>
          <w:shd w:val="clear" w:color="auto" w:fill="FFFFFF"/>
        </w:rPr>
        <w:t>us</w:t>
      </w:r>
      <w:r w:rsidR="00F80EE9" w:rsidRPr="007A0405">
        <w:rPr>
          <w:color w:val="000000"/>
          <w:shd w:val="clear" w:color="auto" w:fill="FFFFFF"/>
        </w:rPr>
        <w:t xml:space="preserve"> suteiktų efektyvią visų keliautojo arba jo vardu sumokėtų sumų grąžinimo garantiją,</w:t>
      </w:r>
      <w:r w:rsidR="00F80EE9">
        <w:rPr>
          <w:b/>
          <w:bCs/>
          <w:color w:val="000000"/>
          <w:shd w:val="clear" w:color="auto" w:fill="FFFFFF"/>
        </w:rPr>
        <w:t xml:space="preserve"> </w:t>
      </w:r>
      <w:r w:rsidR="004B3ED5" w:rsidRPr="00472719">
        <w:rPr>
          <w:color w:val="000000"/>
          <w:shd w:val="clear" w:color="auto" w:fill="FFFFFF"/>
        </w:rPr>
        <w:t xml:space="preserve">kelionių organizatoriui tapus nemokiam ir negalinčiam grąžinti visų sumokėtų sumų, </w:t>
      </w:r>
      <w:r w:rsidR="00EB5920">
        <w:rPr>
          <w:color w:val="000000"/>
          <w:shd w:val="clear" w:color="auto" w:fill="FFFFFF"/>
        </w:rPr>
        <w:t>keliautojui</w:t>
      </w:r>
      <w:r w:rsidR="004B3ED5" w:rsidRPr="00472719">
        <w:rPr>
          <w:color w:val="000000"/>
          <w:shd w:val="clear" w:color="auto" w:fill="FFFFFF"/>
        </w:rPr>
        <w:t xml:space="preserve"> visas sumokėtas sumas privalo atlyginti valstybė narė</w:t>
      </w:r>
      <w:r w:rsidR="004B3ED5">
        <w:rPr>
          <w:color w:val="000000"/>
          <w:shd w:val="clear" w:color="auto" w:fill="FFFFFF"/>
        </w:rPr>
        <w:t xml:space="preserve">. </w:t>
      </w:r>
      <w:r w:rsidR="004B3ED5">
        <w:t>Taigi jei</w:t>
      </w:r>
      <w:r w:rsidR="00F20A07">
        <w:t xml:space="preserve"> b</w:t>
      </w:r>
      <w:r w:rsidR="00EB5920">
        <w:t>us</w:t>
      </w:r>
      <w:r w:rsidR="00F20A07">
        <w:t xml:space="preserve"> </w:t>
      </w:r>
      <w:r w:rsidR="00F20A07">
        <w:rPr>
          <w:rFonts w:eastAsia="Calibri"/>
          <w:lang w:bidi="ar"/>
        </w:rPr>
        <w:t xml:space="preserve">sumažintos </w:t>
      </w:r>
      <w:r w:rsidR="00EB5920">
        <w:rPr>
          <w:rFonts w:eastAsia="Calibri"/>
          <w:lang w:bidi="ar"/>
        </w:rPr>
        <w:t>kelionių organizatorių</w:t>
      </w:r>
      <w:r w:rsidR="00F20A07">
        <w:rPr>
          <w:rFonts w:eastAsia="Calibri"/>
          <w:lang w:bidi="ar"/>
        </w:rPr>
        <w:t xml:space="preserve"> atsiskaitymo su </w:t>
      </w:r>
      <w:r w:rsidR="007F10FB">
        <w:rPr>
          <w:rFonts w:eastAsia="Calibri"/>
          <w:lang w:bidi="ar"/>
        </w:rPr>
        <w:t>turistais</w:t>
      </w:r>
      <w:r w:rsidR="00F20A07">
        <w:rPr>
          <w:rFonts w:eastAsia="Calibri"/>
          <w:lang w:bidi="ar"/>
        </w:rPr>
        <w:t xml:space="preserve"> garantijos, </w:t>
      </w:r>
      <w:r w:rsidR="00EB5920">
        <w:rPr>
          <w:rFonts w:eastAsia="Calibri"/>
          <w:lang w:bidi="ar"/>
        </w:rPr>
        <w:t>kelionių organizatori</w:t>
      </w:r>
      <w:r w:rsidR="000922DE">
        <w:rPr>
          <w:rFonts w:eastAsia="Calibri"/>
          <w:lang w:bidi="ar"/>
        </w:rPr>
        <w:t>ui</w:t>
      </w:r>
      <w:r w:rsidR="00F20A07">
        <w:rPr>
          <w:rFonts w:eastAsia="Calibri"/>
          <w:lang w:bidi="ar"/>
        </w:rPr>
        <w:t xml:space="preserve"> neatsiskaičius</w:t>
      </w:r>
      <w:r w:rsidR="00237116">
        <w:rPr>
          <w:rFonts w:eastAsia="Calibri"/>
          <w:lang w:bidi="ar"/>
        </w:rPr>
        <w:t>,</w:t>
      </w:r>
      <w:r w:rsidR="00F20A07">
        <w:rPr>
          <w:rFonts w:eastAsia="Calibri"/>
          <w:lang w:bidi="ar"/>
        </w:rPr>
        <w:t xml:space="preserve"> </w:t>
      </w:r>
      <w:r w:rsidR="00465020">
        <w:rPr>
          <w:rFonts w:eastAsia="Calibri"/>
          <w:lang w:bidi="ar"/>
        </w:rPr>
        <w:t xml:space="preserve">už </w:t>
      </w:r>
      <w:r w:rsidR="004D4023">
        <w:rPr>
          <w:rFonts w:eastAsia="Calibri"/>
          <w:lang w:bidi="ar"/>
        </w:rPr>
        <w:t>ne</w:t>
      </w:r>
      <w:r w:rsidR="00465020">
        <w:rPr>
          <w:rFonts w:eastAsia="Calibri"/>
          <w:lang w:bidi="ar"/>
        </w:rPr>
        <w:t xml:space="preserve">tinkamą </w:t>
      </w:r>
      <w:r w:rsidR="005D0840">
        <w:rPr>
          <w:rFonts w:eastAsia="Calibri"/>
          <w:lang w:bidi="ar"/>
        </w:rPr>
        <w:t xml:space="preserve">direktyvos </w:t>
      </w:r>
      <w:r w:rsidR="00465020">
        <w:rPr>
          <w:rFonts w:eastAsia="Calibri"/>
          <w:lang w:bidi="ar"/>
        </w:rPr>
        <w:t>įgyvendinimą</w:t>
      </w:r>
      <w:r w:rsidR="005D0840">
        <w:rPr>
          <w:rFonts w:eastAsia="Calibri"/>
          <w:lang w:bidi="ar"/>
        </w:rPr>
        <w:t xml:space="preserve"> </w:t>
      </w:r>
      <w:r w:rsidR="00F20A07">
        <w:rPr>
          <w:rFonts w:eastAsia="Calibri"/>
          <w:lang w:bidi="ar"/>
        </w:rPr>
        <w:t>atsiskaityti (atlyginti žalą) turės valstybė</w:t>
      </w:r>
      <w:r w:rsidR="004E4ACE">
        <w:t xml:space="preserve">. </w:t>
      </w:r>
      <w:bookmarkStart w:id="1" w:name="_Hlk56429634"/>
    </w:p>
    <w:bookmarkEnd w:id="1"/>
    <w:p w14:paraId="48FB61A3" w14:textId="6905AB23" w:rsidR="009015AE" w:rsidRPr="00472719" w:rsidRDefault="00764D35" w:rsidP="00437680">
      <w:pPr>
        <w:tabs>
          <w:tab w:val="left" w:pos="567"/>
          <w:tab w:val="left" w:pos="709"/>
        </w:tabs>
        <w:spacing w:line="320" w:lineRule="atLeast"/>
        <w:ind w:firstLine="567"/>
        <w:jc w:val="both"/>
        <w:rPr>
          <w:color w:val="000000"/>
          <w:shd w:val="clear" w:color="auto" w:fill="FFFFFF"/>
        </w:rPr>
      </w:pPr>
      <w:r w:rsidRPr="00472719">
        <w:rPr>
          <w:rFonts w:eastAsia="Calibri"/>
          <w:szCs w:val="24"/>
        </w:rPr>
        <w:tab/>
      </w:r>
      <w:r w:rsidR="009015AE" w:rsidRPr="00472719">
        <w:rPr>
          <w:rFonts w:eastAsia="Calibri"/>
          <w:szCs w:val="24"/>
        </w:rPr>
        <w:t xml:space="preserve">Antra, </w:t>
      </w:r>
      <w:r w:rsidR="00D908F0" w:rsidRPr="00472719">
        <w:rPr>
          <w:rFonts w:eastAsia="Calibri"/>
          <w:szCs w:val="24"/>
        </w:rPr>
        <w:t>v</w:t>
      </w:r>
      <w:r w:rsidR="009015AE" w:rsidRPr="00472719">
        <w:rPr>
          <w:rFonts w:eastAsia="Calibri"/>
          <w:szCs w:val="24"/>
        </w:rPr>
        <w:t>a</w:t>
      </w:r>
      <w:r w:rsidR="009015AE" w:rsidRPr="00472719">
        <w:rPr>
          <w:color w:val="000000"/>
          <w:shd w:val="clear" w:color="auto" w:fill="FFFFFF"/>
        </w:rPr>
        <w:t xml:space="preserve">dovaujantis </w:t>
      </w:r>
      <w:r w:rsidR="009015AE" w:rsidRPr="00472719">
        <w:rPr>
          <w:color w:val="000000"/>
          <w:szCs w:val="24"/>
          <w:shd w:val="clear" w:color="auto" w:fill="FFFFFF"/>
        </w:rPr>
        <w:t xml:space="preserve">Direktyvos (ES) Nr. 2015/2302 </w:t>
      </w:r>
      <w:r w:rsidR="009015AE" w:rsidRPr="00472719">
        <w:rPr>
          <w:color w:val="000000"/>
          <w:shd w:val="clear" w:color="auto" w:fill="FFFFFF"/>
        </w:rPr>
        <w:t>17 straipsni</w:t>
      </w:r>
      <w:r w:rsidR="00D908F0" w:rsidRPr="00472719">
        <w:rPr>
          <w:color w:val="000000"/>
          <w:shd w:val="clear" w:color="auto" w:fill="FFFFFF"/>
        </w:rPr>
        <w:t xml:space="preserve">o </w:t>
      </w:r>
      <w:r w:rsidR="00D908F0" w:rsidRPr="00992B4D">
        <w:rPr>
          <w:color w:val="000000"/>
          <w:shd w:val="clear" w:color="auto" w:fill="FFFFFF"/>
        </w:rPr>
        <w:t>1 dalimi</w:t>
      </w:r>
      <w:r w:rsidR="009015AE" w:rsidRPr="00472719">
        <w:rPr>
          <w:color w:val="000000"/>
          <w:shd w:val="clear" w:color="auto" w:fill="FFFFFF"/>
        </w:rPr>
        <w:t xml:space="preserve">, valstybės narės įpareigojamos užtikrinti, kad jų </w:t>
      </w:r>
      <w:r w:rsidR="004D4023" w:rsidRPr="00472719">
        <w:rPr>
          <w:color w:val="000000"/>
          <w:shd w:val="clear" w:color="auto" w:fill="FFFFFF"/>
        </w:rPr>
        <w:t>teritorijoje</w:t>
      </w:r>
      <w:r w:rsidR="004D4023">
        <w:rPr>
          <w:color w:val="000000"/>
          <w:shd w:val="clear" w:color="auto" w:fill="FFFFFF"/>
        </w:rPr>
        <w:t xml:space="preserve"> </w:t>
      </w:r>
      <w:r w:rsidR="009015AE" w:rsidRPr="00472719">
        <w:rPr>
          <w:color w:val="000000"/>
          <w:shd w:val="clear" w:color="auto" w:fill="FFFFFF"/>
        </w:rPr>
        <w:t>įsisteigę organizatoriai suteiktų visų keliautojo arba jo vardu sumokėtų sumų grąžinimo, jei atitinkamos paslaugos nesuteikiamos dėl organizatoriaus nemokumo, garantiją</w:t>
      </w:r>
      <w:r w:rsidR="004074BB" w:rsidRPr="00472719">
        <w:rPr>
          <w:color w:val="000000"/>
          <w:shd w:val="clear" w:color="auto" w:fill="FFFFFF"/>
        </w:rPr>
        <w:t>, o</w:t>
      </w:r>
      <w:r w:rsidR="009015AE" w:rsidRPr="00472719">
        <w:rPr>
          <w:color w:val="000000"/>
          <w:shd w:val="clear" w:color="auto" w:fill="FFFFFF"/>
        </w:rPr>
        <w:t xml:space="preserve"> jeigu į kelionės paslaugų paketo sutartį įtraukta keleivių vežimo paslauga, </w:t>
      </w:r>
      <w:r w:rsidR="005809B8">
        <w:rPr>
          <w:color w:val="000000"/>
          <w:shd w:val="clear" w:color="auto" w:fill="FFFFFF"/>
        </w:rPr>
        <w:t xml:space="preserve">– </w:t>
      </w:r>
      <w:r w:rsidR="009015AE" w:rsidRPr="00472719">
        <w:rPr>
          <w:color w:val="000000"/>
          <w:shd w:val="clear" w:color="auto" w:fill="FFFFFF"/>
        </w:rPr>
        <w:t>ir keliautojų repatrijavimo garantij</w:t>
      </w:r>
      <w:r w:rsidR="004074BB" w:rsidRPr="00472719">
        <w:rPr>
          <w:color w:val="000000"/>
          <w:shd w:val="clear" w:color="auto" w:fill="FFFFFF"/>
        </w:rPr>
        <w:t>ą</w:t>
      </w:r>
      <w:r w:rsidR="009015AE" w:rsidRPr="00472719">
        <w:rPr>
          <w:color w:val="000000"/>
          <w:shd w:val="clear" w:color="auto" w:fill="FFFFFF"/>
        </w:rPr>
        <w:t>. Dėl Projekto 2  straipsniu siūlomų pakeitimų kyla rizika, kad Lietuvos Respublika pažeis Direktyvos (ES) 2015/2302 17 straipsn</w:t>
      </w:r>
      <w:r w:rsidR="00F66AD6" w:rsidRPr="00472719">
        <w:rPr>
          <w:color w:val="000000"/>
          <w:shd w:val="clear" w:color="auto" w:fill="FFFFFF"/>
        </w:rPr>
        <w:t xml:space="preserve">io </w:t>
      </w:r>
      <w:r w:rsidR="00F66AD6" w:rsidRPr="00D857E7">
        <w:rPr>
          <w:color w:val="000000"/>
          <w:shd w:val="clear" w:color="auto" w:fill="FFFFFF"/>
        </w:rPr>
        <w:t>2 dalyje</w:t>
      </w:r>
      <w:r w:rsidR="009015AE" w:rsidRPr="00472719">
        <w:rPr>
          <w:color w:val="000000"/>
          <w:shd w:val="clear" w:color="auto" w:fill="FFFFFF"/>
        </w:rPr>
        <w:t xml:space="preserve"> įtvirtintą pareigą užtikrinti, kad Lietuvos Respublikoje įsisteigę kelionių organizatoriai suteiktų efektyvią visų keliautojo arba jo vardu sumokėtų sumų grąžinimo garantiją ir kad nebus apsaugoti keliautojų interesai kelionių organizatoriaus nemokumo atveju.</w:t>
      </w:r>
    </w:p>
    <w:p w14:paraId="6A49E9D7" w14:textId="57407A0E" w:rsidR="00FE4192" w:rsidRPr="00472719" w:rsidRDefault="009015AE" w:rsidP="00437680">
      <w:pPr>
        <w:tabs>
          <w:tab w:val="left" w:pos="567"/>
          <w:tab w:val="left" w:pos="709"/>
        </w:tabs>
        <w:spacing w:line="320" w:lineRule="atLeast"/>
        <w:ind w:firstLine="567"/>
        <w:jc w:val="both"/>
        <w:rPr>
          <w:color w:val="000000"/>
          <w:shd w:val="clear" w:color="auto" w:fill="FFFFFF"/>
        </w:rPr>
      </w:pPr>
      <w:r w:rsidRPr="00472719">
        <w:tab/>
        <w:t>Trečia</w:t>
      </w:r>
      <w:r w:rsidR="00764D35" w:rsidRPr="00472719">
        <w:t>, n</w:t>
      </w:r>
      <w:r w:rsidR="004221E2" w:rsidRPr="00472719">
        <w:t xml:space="preserve">uostata dėl 50 000 Eur prievolių įvykdymo užtikrinimo sumos išvykstamojo turizmo kelionių organizatoriui </w:t>
      </w:r>
      <w:r w:rsidR="00D62B03" w:rsidRPr="00472719">
        <w:t xml:space="preserve">Turizmo įstatyme </w:t>
      </w:r>
      <w:r w:rsidR="004221E2" w:rsidRPr="00472719">
        <w:t xml:space="preserve">įtvirtinta po to, kai </w:t>
      </w:r>
      <w:r w:rsidR="00520AE4" w:rsidRPr="00472719">
        <w:rPr>
          <w:color w:val="000000"/>
          <w:shd w:val="clear" w:color="auto" w:fill="FFFFFF"/>
        </w:rPr>
        <w:t xml:space="preserve">2015 m. Europos Komisija buvo pradėjusi oficialią pažeidimo procedūrą dėl Lietuvos Respublikos įsipareigojimų nevykdymo, remdamasi tuo, kad Lietuvos Respublikos turizmo įstatyme nustatytos kelionių organizatoriaus prievolių įvykdymo užtikrinimo sumos yra nepakankamos </w:t>
      </w:r>
      <w:r w:rsidR="002F5094" w:rsidRPr="00472719">
        <w:rPr>
          <w:color w:val="000000"/>
          <w:lang w:eastAsia="lt-LT"/>
        </w:rPr>
        <w:t xml:space="preserve">bei </w:t>
      </w:r>
      <w:r w:rsidR="004221E2" w:rsidRPr="00472719">
        <w:rPr>
          <w:color w:val="000000"/>
          <w:lang w:eastAsia="lt-LT"/>
        </w:rPr>
        <w:t>neužtikrin</w:t>
      </w:r>
      <w:r w:rsidR="002F5094" w:rsidRPr="00472719">
        <w:rPr>
          <w:color w:val="000000"/>
          <w:lang w:eastAsia="lt-LT"/>
        </w:rPr>
        <w:t>a</w:t>
      </w:r>
      <w:r w:rsidR="004221E2" w:rsidRPr="00472719">
        <w:rPr>
          <w:color w:val="000000"/>
          <w:lang w:eastAsia="lt-LT"/>
        </w:rPr>
        <w:t xml:space="preserve"> visiško turisto patirtų nuostolių atlyginimo kelionių organizatoriui tapus nemokiam pagal </w:t>
      </w:r>
      <w:r w:rsidR="005A6A71" w:rsidRPr="00472719">
        <w:rPr>
          <w:color w:val="000000"/>
          <w:lang w:eastAsia="lt-LT"/>
        </w:rPr>
        <w:t>1990</w:t>
      </w:r>
      <w:r w:rsidR="005A6A71" w:rsidRPr="00472719">
        <w:rPr>
          <w:color w:val="000000"/>
          <w:lang w:eastAsia="lt-LT"/>
        </w:rPr>
        <w:t> </w:t>
      </w:r>
      <w:r w:rsidR="005A6A71" w:rsidRPr="00472719">
        <w:rPr>
          <w:color w:val="000000"/>
          <w:lang w:eastAsia="lt-LT"/>
        </w:rPr>
        <w:t xml:space="preserve">m. birželio 13 d. </w:t>
      </w:r>
      <w:r w:rsidR="00D3555C" w:rsidRPr="00472719">
        <w:rPr>
          <w:color w:val="000000"/>
          <w:lang w:eastAsia="lt-LT"/>
        </w:rPr>
        <w:t xml:space="preserve">Tarybos </w:t>
      </w:r>
      <w:r w:rsidR="005A6A71" w:rsidRPr="00472719">
        <w:t>d</w:t>
      </w:r>
      <w:r w:rsidR="004221E2" w:rsidRPr="00472719">
        <w:t xml:space="preserve">irektyvą Nr. </w:t>
      </w:r>
      <w:r w:rsidR="00D3555C" w:rsidRPr="00472719">
        <w:t> </w:t>
      </w:r>
      <w:r w:rsidR="004221E2" w:rsidRPr="00472719">
        <w:t>90/314/EEB</w:t>
      </w:r>
      <w:r w:rsidR="00D3555C" w:rsidRPr="00472719">
        <w:t xml:space="preserve"> dėl kelionių, atostogų ir organizuotų išvykų paketų</w:t>
      </w:r>
      <w:r w:rsidR="004221E2" w:rsidRPr="00472719">
        <w:rPr>
          <w:color w:val="000000"/>
          <w:lang w:eastAsia="lt-LT"/>
        </w:rPr>
        <w:t>.</w:t>
      </w:r>
      <w:r w:rsidR="004221E2" w:rsidRPr="00472719">
        <w:t xml:space="preserve"> Dėl šios priežasties yra visiškai netikslinga vėl sukurti tokį teisinį reguliavimą, kuris prieštarautų Direktyv</w:t>
      </w:r>
      <w:r w:rsidR="00701C50" w:rsidRPr="00472719">
        <w:t>os</w:t>
      </w:r>
      <w:r w:rsidR="003945EA" w:rsidRPr="00472719">
        <w:t xml:space="preserve"> </w:t>
      </w:r>
      <w:r w:rsidR="003945EA" w:rsidRPr="00472719">
        <w:rPr>
          <w:rFonts w:eastAsia="Calibri"/>
          <w:szCs w:val="24"/>
        </w:rPr>
        <w:t xml:space="preserve">(ES) </w:t>
      </w:r>
      <w:r w:rsidR="004221E2" w:rsidRPr="00472719">
        <w:t xml:space="preserve">Nr. </w:t>
      </w:r>
      <w:r w:rsidR="00F67657" w:rsidRPr="00472719">
        <w:t> </w:t>
      </w:r>
      <w:r w:rsidR="004221E2" w:rsidRPr="00472719">
        <w:t>2015/2302</w:t>
      </w:r>
      <w:r w:rsidR="00F67120" w:rsidRPr="00472719">
        <w:t xml:space="preserve"> nuostatoms</w:t>
      </w:r>
      <w:r w:rsidR="002F5094" w:rsidRPr="00472719">
        <w:rPr>
          <w:color w:val="000000"/>
          <w:shd w:val="clear" w:color="auto" w:fill="FFFFFF"/>
        </w:rPr>
        <w:t>.</w:t>
      </w:r>
    </w:p>
    <w:p w14:paraId="09707914" w14:textId="0AB9444A" w:rsidR="00FE4192" w:rsidRPr="003F1F26" w:rsidRDefault="00764D35" w:rsidP="00437680">
      <w:pPr>
        <w:tabs>
          <w:tab w:val="left" w:pos="567"/>
          <w:tab w:val="left" w:pos="709"/>
        </w:tabs>
        <w:spacing w:line="320" w:lineRule="atLeast"/>
        <w:ind w:firstLine="567"/>
        <w:jc w:val="both"/>
        <w:rPr>
          <w:rFonts w:eastAsia="Calibri"/>
          <w:szCs w:val="24"/>
        </w:rPr>
      </w:pPr>
      <w:r w:rsidRPr="00472719">
        <w:rPr>
          <w:rFonts w:eastAsia="Calibri"/>
          <w:szCs w:val="24"/>
        </w:rPr>
        <w:tab/>
      </w:r>
      <w:r w:rsidR="009015AE" w:rsidRPr="00472719">
        <w:rPr>
          <w:rFonts w:eastAsia="Calibri"/>
          <w:szCs w:val="24"/>
        </w:rPr>
        <w:t>Ketvirta</w:t>
      </w:r>
      <w:r w:rsidRPr="00472719">
        <w:rPr>
          <w:rFonts w:eastAsia="Calibri"/>
          <w:szCs w:val="24"/>
        </w:rPr>
        <w:t xml:space="preserve">, nesutiktina su </w:t>
      </w:r>
      <w:r w:rsidR="000C6663" w:rsidRPr="00472719">
        <w:rPr>
          <w:color w:val="000000"/>
          <w:shd w:val="clear" w:color="auto" w:fill="FFFFFF"/>
        </w:rPr>
        <w:t xml:space="preserve">Projekto </w:t>
      </w:r>
      <w:r w:rsidRPr="00472719">
        <w:rPr>
          <w:rFonts w:eastAsia="Calibri"/>
          <w:szCs w:val="24"/>
        </w:rPr>
        <w:t>2 straipsnio pasiūlymu mažinti kelionių organizatoriaus prievolių užtikrinimo sumą nuo 7 iki 6 proc</w:t>
      </w:r>
      <w:r w:rsidR="004074BB" w:rsidRPr="00472719">
        <w:rPr>
          <w:rFonts w:eastAsia="Calibri"/>
          <w:szCs w:val="24"/>
        </w:rPr>
        <w:t>entų</w:t>
      </w:r>
      <w:r w:rsidRPr="00472719">
        <w:rPr>
          <w:rFonts w:eastAsia="Calibri"/>
          <w:szCs w:val="24"/>
        </w:rPr>
        <w:t xml:space="preserve">. Turizmo įstatyme įtvirtinta </w:t>
      </w:r>
      <w:r w:rsidR="00101AFE" w:rsidRPr="00472719">
        <w:rPr>
          <w:rFonts w:eastAsia="Calibri"/>
          <w:szCs w:val="24"/>
        </w:rPr>
        <w:t>7</w:t>
      </w:r>
      <w:r w:rsidR="00101AFE">
        <w:rPr>
          <w:rFonts w:eastAsia="Calibri"/>
          <w:szCs w:val="24"/>
        </w:rPr>
        <w:t> </w:t>
      </w:r>
      <w:r w:rsidRPr="00472719">
        <w:rPr>
          <w:rFonts w:eastAsia="Calibri"/>
          <w:szCs w:val="24"/>
        </w:rPr>
        <w:t>proc</w:t>
      </w:r>
      <w:r w:rsidR="004074BB" w:rsidRPr="00472719">
        <w:rPr>
          <w:rFonts w:eastAsia="Calibri"/>
          <w:szCs w:val="24"/>
        </w:rPr>
        <w:t>entų</w:t>
      </w:r>
      <w:r w:rsidRPr="00472719">
        <w:rPr>
          <w:rFonts w:eastAsia="Calibri"/>
          <w:szCs w:val="24"/>
        </w:rPr>
        <w:t xml:space="preserve"> prievolių užtikrinimo suma tik minimaliai užtikrina</w:t>
      </w:r>
      <w:r w:rsidRPr="003F1F26">
        <w:rPr>
          <w:rFonts w:eastAsia="Calibri"/>
          <w:szCs w:val="24"/>
        </w:rPr>
        <w:t xml:space="preserve"> turisto apsaugą kelionių organizatoriaus nemokumo atveju. </w:t>
      </w:r>
      <w:r w:rsidR="00701C50" w:rsidRPr="003F1F26">
        <w:rPr>
          <w:rFonts w:eastAsia="Calibri"/>
          <w:szCs w:val="24"/>
        </w:rPr>
        <w:t>D</w:t>
      </w:r>
      <w:r w:rsidRPr="003F1F26">
        <w:rPr>
          <w:rFonts w:eastAsia="Calibri"/>
          <w:szCs w:val="24"/>
        </w:rPr>
        <w:t xml:space="preserve">ar labiau sumažinus turistų finansinę apsaugą, vartotojų teisių apsaugos </w:t>
      </w:r>
      <w:r w:rsidR="00331E54">
        <w:rPr>
          <w:rFonts w:eastAsia="Calibri"/>
          <w:szCs w:val="24"/>
        </w:rPr>
        <w:t>lygis</w:t>
      </w:r>
      <w:r w:rsidR="00DB165E">
        <w:rPr>
          <w:rFonts w:eastAsia="Calibri"/>
          <w:szCs w:val="24"/>
        </w:rPr>
        <w:t xml:space="preserve"> </w:t>
      </w:r>
      <w:r w:rsidRPr="003F1F26">
        <w:rPr>
          <w:rFonts w:eastAsia="Calibri"/>
          <w:szCs w:val="24"/>
        </w:rPr>
        <w:t xml:space="preserve">gali tapti </w:t>
      </w:r>
      <w:r w:rsidR="00331E54" w:rsidRPr="003F1F26">
        <w:rPr>
          <w:rFonts w:eastAsia="Calibri"/>
          <w:szCs w:val="24"/>
        </w:rPr>
        <w:t>neefektyv</w:t>
      </w:r>
      <w:r w:rsidR="007F10FB">
        <w:rPr>
          <w:rFonts w:eastAsia="Calibri"/>
          <w:szCs w:val="24"/>
        </w:rPr>
        <w:t>u</w:t>
      </w:r>
      <w:r w:rsidR="005023FA">
        <w:rPr>
          <w:rFonts w:eastAsia="Calibri"/>
          <w:szCs w:val="24"/>
        </w:rPr>
        <w:t>s</w:t>
      </w:r>
      <w:r w:rsidRPr="003F1F26">
        <w:rPr>
          <w:rFonts w:eastAsia="Calibri"/>
          <w:szCs w:val="24"/>
        </w:rPr>
        <w:t xml:space="preserve">. </w:t>
      </w:r>
      <w:r w:rsidR="00B627B6" w:rsidRPr="003F1F26">
        <w:rPr>
          <w:rFonts w:eastAsia="Calibri"/>
          <w:szCs w:val="24"/>
        </w:rPr>
        <w:t xml:space="preserve">Pažymėtina, kad 2015 m. </w:t>
      </w:r>
      <w:r w:rsidR="00B627B6" w:rsidRPr="00472719">
        <w:rPr>
          <w:rFonts w:eastAsia="Calibri"/>
          <w:szCs w:val="24"/>
        </w:rPr>
        <w:t xml:space="preserve">pradėtos </w:t>
      </w:r>
      <w:r w:rsidR="00B627B6" w:rsidRPr="00472719">
        <w:rPr>
          <w:color w:val="000000"/>
          <w:lang w:eastAsia="lt-LT"/>
        </w:rPr>
        <w:t>Europos Sąjungos teisės pažeidimo procedūros prieš Lietuvos Respubliką metu</w:t>
      </w:r>
      <w:r w:rsidR="00B627B6" w:rsidRPr="00472719">
        <w:rPr>
          <w:rFonts w:eastAsia="Calibri"/>
          <w:szCs w:val="24"/>
        </w:rPr>
        <w:t xml:space="preserve"> Europos Komisija pastebėjo, kad net užsakomųjų skrydžių neorganizuojantys kelionių organizatoriai gali </w:t>
      </w:r>
      <w:r w:rsidR="003F752D">
        <w:rPr>
          <w:rFonts w:eastAsia="Calibri"/>
          <w:szCs w:val="24"/>
        </w:rPr>
        <w:t>rengti</w:t>
      </w:r>
      <w:r w:rsidR="003F752D" w:rsidRPr="00472719">
        <w:rPr>
          <w:rFonts w:eastAsia="Calibri"/>
          <w:szCs w:val="24"/>
        </w:rPr>
        <w:t xml:space="preserve"> </w:t>
      </w:r>
      <w:r w:rsidR="00B627B6" w:rsidRPr="00472719">
        <w:rPr>
          <w:rFonts w:eastAsia="Calibri"/>
          <w:szCs w:val="24"/>
        </w:rPr>
        <w:lastRenderedPageBreak/>
        <w:t xml:space="preserve">keliones į tolimas šalis, todėl buvo išsakyta abejonė, ar 7 </w:t>
      </w:r>
      <w:r w:rsidR="0026094F" w:rsidRPr="00472719">
        <w:rPr>
          <w:rFonts w:eastAsia="Calibri"/>
          <w:szCs w:val="24"/>
        </w:rPr>
        <w:t> </w:t>
      </w:r>
      <w:r w:rsidR="00B627B6" w:rsidRPr="00472719">
        <w:rPr>
          <w:rFonts w:eastAsia="Calibri"/>
          <w:szCs w:val="24"/>
        </w:rPr>
        <w:t>proc</w:t>
      </w:r>
      <w:r w:rsidR="004074BB" w:rsidRPr="00472719">
        <w:rPr>
          <w:rFonts w:eastAsia="Calibri"/>
          <w:szCs w:val="24"/>
        </w:rPr>
        <w:t>entų</w:t>
      </w:r>
      <w:r w:rsidR="00B627B6" w:rsidRPr="00472719">
        <w:rPr>
          <w:rFonts w:eastAsia="Calibri"/>
          <w:szCs w:val="24"/>
        </w:rPr>
        <w:t xml:space="preserve"> nuo pajamų sumos reikalavimas gali būti pakankamas visų sumokėtų sumų apsaugai užtikrinti</w:t>
      </w:r>
      <w:r w:rsidR="008D6729">
        <w:rPr>
          <w:rFonts w:eastAsia="Calibri"/>
          <w:szCs w:val="24"/>
        </w:rPr>
        <w:t>.</w:t>
      </w:r>
      <w:r w:rsidR="008D6729" w:rsidRPr="003F1F26">
        <w:rPr>
          <w:rFonts w:eastAsia="Calibri"/>
          <w:szCs w:val="24"/>
        </w:rPr>
        <w:t xml:space="preserve"> </w:t>
      </w:r>
      <w:r w:rsidR="008D6729">
        <w:rPr>
          <w:rFonts w:eastAsia="Calibri"/>
          <w:szCs w:val="24"/>
        </w:rPr>
        <w:t>T</w:t>
      </w:r>
      <w:r w:rsidR="00B627B6" w:rsidRPr="003F1F26">
        <w:rPr>
          <w:rFonts w:eastAsia="Calibri"/>
          <w:szCs w:val="24"/>
        </w:rPr>
        <w:t>aip pat buvo kvestionuotas vietinio turizmo kelionių organizatoriams taikomos užtikrinimo sumos pakankamumas.</w:t>
      </w:r>
    </w:p>
    <w:p w14:paraId="1A45C084" w14:textId="50709128" w:rsidR="007762CC" w:rsidRPr="003F1F26" w:rsidRDefault="00332344" w:rsidP="00F35FB3">
      <w:pPr>
        <w:tabs>
          <w:tab w:val="left" w:pos="709"/>
        </w:tabs>
        <w:spacing w:line="320" w:lineRule="atLeast"/>
        <w:jc w:val="both"/>
        <w:rPr>
          <w:rFonts w:eastAsia="Calibri"/>
          <w:szCs w:val="24"/>
        </w:rPr>
      </w:pPr>
      <w:r w:rsidRPr="003F1F26">
        <w:t xml:space="preserve">     </w:t>
      </w:r>
      <w:r w:rsidR="00FB4AF6" w:rsidRPr="003F1F26">
        <w:t xml:space="preserve">          </w:t>
      </w:r>
    </w:p>
    <w:p w14:paraId="5C36FFCC" w14:textId="66205D4D" w:rsidR="006A0B92" w:rsidRPr="003F1F26" w:rsidRDefault="00DD3B14" w:rsidP="00EC2503">
      <w:pPr>
        <w:tabs>
          <w:tab w:val="left" w:pos="709"/>
        </w:tabs>
        <w:spacing w:line="320" w:lineRule="atLeast"/>
        <w:ind w:firstLine="720"/>
        <w:jc w:val="both"/>
        <w:rPr>
          <w:color w:val="00000A"/>
        </w:rPr>
      </w:pPr>
      <w:r w:rsidRPr="003F1F26">
        <w:t xml:space="preserve">     </w:t>
      </w:r>
    </w:p>
    <w:p w14:paraId="51A60A6A" w14:textId="33BA3798" w:rsidR="002039B9" w:rsidRPr="003F1F26" w:rsidRDefault="002039B9" w:rsidP="000120F3">
      <w:pPr>
        <w:tabs>
          <w:tab w:val="left" w:pos="709"/>
        </w:tabs>
        <w:spacing w:line="320" w:lineRule="atLeast"/>
        <w:ind w:firstLine="720"/>
        <w:jc w:val="both"/>
        <w:rPr>
          <w:szCs w:val="24"/>
        </w:rPr>
      </w:pPr>
    </w:p>
    <w:p w14:paraId="7BC293B8" w14:textId="69EA77D2" w:rsidR="007762CC" w:rsidRPr="003F1F26" w:rsidRDefault="007762CC">
      <w:pPr>
        <w:tabs>
          <w:tab w:val="left" w:pos="0"/>
          <w:tab w:val="left" w:pos="1134"/>
        </w:tabs>
        <w:spacing w:line="320" w:lineRule="atLeast"/>
        <w:jc w:val="both"/>
        <w:rPr>
          <w:rFonts w:eastAsia="Calibri"/>
          <w:szCs w:val="24"/>
        </w:rPr>
      </w:pPr>
    </w:p>
    <w:p w14:paraId="72AA03F9" w14:textId="52D3B452" w:rsidR="007762CC" w:rsidRDefault="00DC0C62">
      <w:pPr>
        <w:spacing w:line="320" w:lineRule="atLeast"/>
        <w:jc w:val="both"/>
        <w:rPr>
          <w:szCs w:val="24"/>
          <w:lang w:eastAsia="lt-LT"/>
        </w:rPr>
      </w:pPr>
      <w:r>
        <w:rPr>
          <w:szCs w:val="24"/>
          <w:lang w:eastAsia="lt-LT"/>
        </w:rPr>
        <w:t>Ministras Pirmininkas</w:t>
      </w:r>
    </w:p>
    <w:p w14:paraId="394BFAD2" w14:textId="77777777" w:rsidR="007762CC" w:rsidRDefault="007762CC">
      <w:pPr>
        <w:spacing w:line="320" w:lineRule="atLeast"/>
        <w:jc w:val="both"/>
        <w:rPr>
          <w:szCs w:val="24"/>
          <w:lang w:eastAsia="lt-LT"/>
        </w:rPr>
      </w:pPr>
    </w:p>
    <w:p w14:paraId="32E21598" w14:textId="1D596104" w:rsidR="007762CC" w:rsidRDefault="00DD3B14">
      <w:pPr>
        <w:spacing w:line="320" w:lineRule="atLeast"/>
        <w:jc w:val="both"/>
        <w:rPr>
          <w:szCs w:val="24"/>
        </w:rPr>
      </w:pPr>
      <w:r>
        <w:rPr>
          <w:szCs w:val="24"/>
          <w:lang w:eastAsia="lt-LT"/>
        </w:rPr>
        <w:t>E</w:t>
      </w:r>
      <w:r w:rsidR="00CC35AB">
        <w:rPr>
          <w:szCs w:val="24"/>
          <w:lang w:eastAsia="lt-LT"/>
        </w:rPr>
        <w:t>konomik</w:t>
      </w:r>
      <w:r w:rsidR="002039B9">
        <w:rPr>
          <w:szCs w:val="24"/>
          <w:lang w:eastAsia="lt-LT"/>
        </w:rPr>
        <w:t>o</w:t>
      </w:r>
      <w:r w:rsidR="00CC35AB">
        <w:rPr>
          <w:szCs w:val="24"/>
          <w:lang w:eastAsia="lt-LT"/>
        </w:rPr>
        <w:t>s ir inovacijų</w:t>
      </w:r>
      <w:r w:rsidR="00DC0C62">
        <w:rPr>
          <w:szCs w:val="24"/>
          <w:lang w:eastAsia="lt-LT"/>
        </w:rPr>
        <w:t xml:space="preserve"> ministras</w:t>
      </w:r>
    </w:p>
    <w:sectPr w:rsidR="007762CC" w:rsidSect="0043768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A9364" w14:textId="77777777" w:rsidR="004545B5" w:rsidRDefault="004545B5">
      <w:r>
        <w:separator/>
      </w:r>
    </w:p>
  </w:endnote>
  <w:endnote w:type="continuationSeparator" w:id="0">
    <w:p w14:paraId="5C1A193E" w14:textId="77777777" w:rsidR="004545B5" w:rsidRDefault="0045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4489" w14:textId="77777777" w:rsidR="00630BAE" w:rsidRDefault="00630BAE">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1EA1B" w14:textId="77777777" w:rsidR="00630BAE" w:rsidRDefault="00630BAE">
    <w:pPr>
      <w:tabs>
        <w:tab w:val="center" w:pos="4819"/>
        <w:tab w:val="right" w:pos="9638"/>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86F9" w14:textId="77777777" w:rsidR="00630BAE" w:rsidRDefault="00630BAE">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45DFA" w14:textId="77777777" w:rsidR="004545B5" w:rsidRDefault="004545B5">
      <w:r>
        <w:separator/>
      </w:r>
    </w:p>
  </w:footnote>
  <w:footnote w:type="continuationSeparator" w:id="0">
    <w:p w14:paraId="71ADB03C" w14:textId="77777777" w:rsidR="004545B5" w:rsidRDefault="0045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79C90" w14:textId="77777777" w:rsidR="00630BAE" w:rsidRDefault="00630BA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14:paraId="395DFC2E" w14:textId="77777777" w:rsidR="00630BAE" w:rsidRDefault="00630BAE">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96C3B" w14:textId="77777777" w:rsidR="00630BAE" w:rsidRDefault="00630BAE">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666395">
      <w:rPr>
        <w:noProof/>
        <w:szCs w:val="24"/>
        <w:lang w:eastAsia="lt-LT"/>
      </w:rPr>
      <w:t>3</w:t>
    </w:r>
    <w:r>
      <w:rPr>
        <w:szCs w:val="24"/>
        <w:lang w:eastAsia="lt-LT"/>
      </w:rPr>
      <w:fldChar w:fldCharType="end"/>
    </w:r>
  </w:p>
  <w:p w14:paraId="3459E542" w14:textId="77777777" w:rsidR="00630BAE" w:rsidRDefault="00630BAE">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63F5" w14:textId="77777777" w:rsidR="00630BAE" w:rsidRDefault="00630BA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29855"/>
    <w:multiLevelType w:val="multilevel"/>
    <w:tmpl w:val="34329855"/>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2D"/>
    <w:rsid w:val="00007AB9"/>
    <w:rsid w:val="000120F3"/>
    <w:rsid w:val="00027401"/>
    <w:rsid w:val="00030251"/>
    <w:rsid w:val="00033204"/>
    <w:rsid w:val="0004638E"/>
    <w:rsid w:val="000477DC"/>
    <w:rsid w:val="00054045"/>
    <w:rsid w:val="00062A94"/>
    <w:rsid w:val="000774B9"/>
    <w:rsid w:val="000814E8"/>
    <w:rsid w:val="00082637"/>
    <w:rsid w:val="000922DE"/>
    <w:rsid w:val="000946C7"/>
    <w:rsid w:val="000A4AA9"/>
    <w:rsid w:val="000B7A97"/>
    <w:rsid w:val="000B7AEE"/>
    <w:rsid w:val="000C3C8C"/>
    <w:rsid w:val="000C6663"/>
    <w:rsid w:val="000E5E2B"/>
    <w:rsid w:val="000F0389"/>
    <w:rsid w:val="00101AFE"/>
    <w:rsid w:val="00104874"/>
    <w:rsid w:val="00110CB2"/>
    <w:rsid w:val="00113845"/>
    <w:rsid w:val="00114184"/>
    <w:rsid w:val="00123C1F"/>
    <w:rsid w:val="00124E32"/>
    <w:rsid w:val="00161BD8"/>
    <w:rsid w:val="00180EF0"/>
    <w:rsid w:val="001865DD"/>
    <w:rsid w:val="0019277C"/>
    <w:rsid w:val="001954A7"/>
    <w:rsid w:val="001961CF"/>
    <w:rsid w:val="001C3ADB"/>
    <w:rsid w:val="001D47B8"/>
    <w:rsid w:val="001E397E"/>
    <w:rsid w:val="001E79A3"/>
    <w:rsid w:val="0020034A"/>
    <w:rsid w:val="002039B9"/>
    <w:rsid w:val="00211C7F"/>
    <w:rsid w:val="00221E86"/>
    <w:rsid w:val="0023209B"/>
    <w:rsid w:val="00232AC1"/>
    <w:rsid w:val="00237116"/>
    <w:rsid w:val="00237C84"/>
    <w:rsid w:val="00242E6B"/>
    <w:rsid w:val="00252A74"/>
    <w:rsid w:val="0026094F"/>
    <w:rsid w:val="00284CB2"/>
    <w:rsid w:val="00291EEC"/>
    <w:rsid w:val="00296343"/>
    <w:rsid w:val="002A28AF"/>
    <w:rsid w:val="002C0220"/>
    <w:rsid w:val="002E042F"/>
    <w:rsid w:val="002E6121"/>
    <w:rsid w:val="002F2995"/>
    <w:rsid w:val="002F5094"/>
    <w:rsid w:val="002F5D45"/>
    <w:rsid w:val="002F62D6"/>
    <w:rsid w:val="00331E54"/>
    <w:rsid w:val="00332344"/>
    <w:rsid w:val="0034124F"/>
    <w:rsid w:val="003476EA"/>
    <w:rsid w:val="0035051A"/>
    <w:rsid w:val="0035372E"/>
    <w:rsid w:val="00367111"/>
    <w:rsid w:val="00387C28"/>
    <w:rsid w:val="003945EA"/>
    <w:rsid w:val="00395335"/>
    <w:rsid w:val="003C1114"/>
    <w:rsid w:val="003D5672"/>
    <w:rsid w:val="003E46C8"/>
    <w:rsid w:val="003F1F26"/>
    <w:rsid w:val="003F752D"/>
    <w:rsid w:val="004074BB"/>
    <w:rsid w:val="004221E2"/>
    <w:rsid w:val="00424392"/>
    <w:rsid w:val="00432D85"/>
    <w:rsid w:val="00437680"/>
    <w:rsid w:val="00443C0A"/>
    <w:rsid w:val="00445125"/>
    <w:rsid w:val="004545B5"/>
    <w:rsid w:val="00454685"/>
    <w:rsid w:val="00460FF5"/>
    <w:rsid w:val="00465020"/>
    <w:rsid w:val="004651C8"/>
    <w:rsid w:val="00472719"/>
    <w:rsid w:val="00490D9A"/>
    <w:rsid w:val="0049101A"/>
    <w:rsid w:val="004A013B"/>
    <w:rsid w:val="004B3ED5"/>
    <w:rsid w:val="004C33AE"/>
    <w:rsid w:val="004C4B3B"/>
    <w:rsid w:val="004D4023"/>
    <w:rsid w:val="004E4ACE"/>
    <w:rsid w:val="005023FA"/>
    <w:rsid w:val="005109D4"/>
    <w:rsid w:val="005145CD"/>
    <w:rsid w:val="00520AE4"/>
    <w:rsid w:val="005261FF"/>
    <w:rsid w:val="00540D5B"/>
    <w:rsid w:val="00551229"/>
    <w:rsid w:val="005615D1"/>
    <w:rsid w:val="00562795"/>
    <w:rsid w:val="00562D38"/>
    <w:rsid w:val="00567767"/>
    <w:rsid w:val="005767CA"/>
    <w:rsid w:val="005772B2"/>
    <w:rsid w:val="005809B8"/>
    <w:rsid w:val="00584165"/>
    <w:rsid w:val="00586CD6"/>
    <w:rsid w:val="005A6A71"/>
    <w:rsid w:val="005B36C5"/>
    <w:rsid w:val="005B6578"/>
    <w:rsid w:val="005D0840"/>
    <w:rsid w:val="00617A1C"/>
    <w:rsid w:val="00630BAE"/>
    <w:rsid w:val="00643978"/>
    <w:rsid w:val="00654BFD"/>
    <w:rsid w:val="0066475A"/>
    <w:rsid w:val="00664C79"/>
    <w:rsid w:val="00666395"/>
    <w:rsid w:val="00681F7B"/>
    <w:rsid w:val="00695D67"/>
    <w:rsid w:val="00696778"/>
    <w:rsid w:val="006A0B92"/>
    <w:rsid w:val="006C02CD"/>
    <w:rsid w:val="006D54AD"/>
    <w:rsid w:val="006D6E8F"/>
    <w:rsid w:val="006E7593"/>
    <w:rsid w:val="006F3D71"/>
    <w:rsid w:val="007017AD"/>
    <w:rsid w:val="00701C50"/>
    <w:rsid w:val="00701F25"/>
    <w:rsid w:val="00711805"/>
    <w:rsid w:val="0071364B"/>
    <w:rsid w:val="0071580F"/>
    <w:rsid w:val="007206ED"/>
    <w:rsid w:val="00730C35"/>
    <w:rsid w:val="00744344"/>
    <w:rsid w:val="00746D52"/>
    <w:rsid w:val="00752D58"/>
    <w:rsid w:val="00763B69"/>
    <w:rsid w:val="00764D35"/>
    <w:rsid w:val="007762CC"/>
    <w:rsid w:val="007A0405"/>
    <w:rsid w:val="007A1D7F"/>
    <w:rsid w:val="007A2BAF"/>
    <w:rsid w:val="007B1622"/>
    <w:rsid w:val="007B2090"/>
    <w:rsid w:val="007C21D7"/>
    <w:rsid w:val="007E499F"/>
    <w:rsid w:val="007E681A"/>
    <w:rsid w:val="007F10FB"/>
    <w:rsid w:val="00801FA5"/>
    <w:rsid w:val="00807852"/>
    <w:rsid w:val="00841368"/>
    <w:rsid w:val="00850CB8"/>
    <w:rsid w:val="00851122"/>
    <w:rsid w:val="00881731"/>
    <w:rsid w:val="0089666C"/>
    <w:rsid w:val="008A74BF"/>
    <w:rsid w:val="008B3BDF"/>
    <w:rsid w:val="008B7E60"/>
    <w:rsid w:val="008C205E"/>
    <w:rsid w:val="008C5123"/>
    <w:rsid w:val="008D6729"/>
    <w:rsid w:val="008D7682"/>
    <w:rsid w:val="008E4130"/>
    <w:rsid w:val="008F18E1"/>
    <w:rsid w:val="008F1E57"/>
    <w:rsid w:val="009015AE"/>
    <w:rsid w:val="00912629"/>
    <w:rsid w:val="00931E35"/>
    <w:rsid w:val="0093414F"/>
    <w:rsid w:val="009575A3"/>
    <w:rsid w:val="0099154A"/>
    <w:rsid w:val="00992B4D"/>
    <w:rsid w:val="009954DB"/>
    <w:rsid w:val="009B5910"/>
    <w:rsid w:val="009C6412"/>
    <w:rsid w:val="009D4492"/>
    <w:rsid w:val="009E277D"/>
    <w:rsid w:val="009F4972"/>
    <w:rsid w:val="00A0653C"/>
    <w:rsid w:val="00A625FE"/>
    <w:rsid w:val="00A6774D"/>
    <w:rsid w:val="00A756C4"/>
    <w:rsid w:val="00AA66D1"/>
    <w:rsid w:val="00AD43AD"/>
    <w:rsid w:val="00AE7EE0"/>
    <w:rsid w:val="00AF588E"/>
    <w:rsid w:val="00AF6CF0"/>
    <w:rsid w:val="00B006F3"/>
    <w:rsid w:val="00B13C2A"/>
    <w:rsid w:val="00B26314"/>
    <w:rsid w:val="00B31FAE"/>
    <w:rsid w:val="00B3323F"/>
    <w:rsid w:val="00B406DC"/>
    <w:rsid w:val="00B420F5"/>
    <w:rsid w:val="00B5548D"/>
    <w:rsid w:val="00B627B6"/>
    <w:rsid w:val="00B62CAB"/>
    <w:rsid w:val="00B76941"/>
    <w:rsid w:val="00BA245F"/>
    <w:rsid w:val="00BA5B4C"/>
    <w:rsid w:val="00BB7B4B"/>
    <w:rsid w:val="00BD1813"/>
    <w:rsid w:val="00BE0854"/>
    <w:rsid w:val="00BE2616"/>
    <w:rsid w:val="00BE6546"/>
    <w:rsid w:val="00C00560"/>
    <w:rsid w:val="00C06BDB"/>
    <w:rsid w:val="00C112BC"/>
    <w:rsid w:val="00C124FA"/>
    <w:rsid w:val="00C20E8E"/>
    <w:rsid w:val="00C25544"/>
    <w:rsid w:val="00C353EA"/>
    <w:rsid w:val="00C43DCD"/>
    <w:rsid w:val="00C61000"/>
    <w:rsid w:val="00C77E60"/>
    <w:rsid w:val="00C9068F"/>
    <w:rsid w:val="00CC35AB"/>
    <w:rsid w:val="00CD0DD2"/>
    <w:rsid w:val="00CD7281"/>
    <w:rsid w:val="00CF07B2"/>
    <w:rsid w:val="00CF6887"/>
    <w:rsid w:val="00D02A86"/>
    <w:rsid w:val="00D11961"/>
    <w:rsid w:val="00D23EBE"/>
    <w:rsid w:val="00D25A00"/>
    <w:rsid w:val="00D3555C"/>
    <w:rsid w:val="00D357D3"/>
    <w:rsid w:val="00D5480A"/>
    <w:rsid w:val="00D62B03"/>
    <w:rsid w:val="00D636BC"/>
    <w:rsid w:val="00D857E7"/>
    <w:rsid w:val="00D908F0"/>
    <w:rsid w:val="00D92873"/>
    <w:rsid w:val="00DB0F1A"/>
    <w:rsid w:val="00DB165E"/>
    <w:rsid w:val="00DC0C62"/>
    <w:rsid w:val="00DC388D"/>
    <w:rsid w:val="00DC4E35"/>
    <w:rsid w:val="00DC50B6"/>
    <w:rsid w:val="00DD3B14"/>
    <w:rsid w:val="00DE2D24"/>
    <w:rsid w:val="00DE5218"/>
    <w:rsid w:val="00E116D9"/>
    <w:rsid w:val="00E158FD"/>
    <w:rsid w:val="00E17D06"/>
    <w:rsid w:val="00E256C2"/>
    <w:rsid w:val="00E438E3"/>
    <w:rsid w:val="00E623E1"/>
    <w:rsid w:val="00E73D3A"/>
    <w:rsid w:val="00E763FD"/>
    <w:rsid w:val="00EA49B9"/>
    <w:rsid w:val="00EB5920"/>
    <w:rsid w:val="00EC2503"/>
    <w:rsid w:val="00ED06EC"/>
    <w:rsid w:val="00ED5408"/>
    <w:rsid w:val="00EE7352"/>
    <w:rsid w:val="00EF0538"/>
    <w:rsid w:val="00EF09AB"/>
    <w:rsid w:val="00F152A4"/>
    <w:rsid w:val="00F16A2F"/>
    <w:rsid w:val="00F20A07"/>
    <w:rsid w:val="00F35FB3"/>
    <w:rsid w:val="00F36113"/>
    <w:rsid w:val="00F55DFC"/>
    <w:rsid w:val="00F6292C"/>
    <w:rsid w:val="00F66AD6"/>
    <w:rsid w:val="00F67120"/>
    <w:rsid w:val="00F67657"/>
    <w:rsid w:val="00F71488"/>
    <w:rsid w:val="00F7769B"/>
    <w:rsid w:val="00F80EE9"/>
    <w:rsid w:val="00F82405"/>
    <w:rsid w:val="00F86FA9"/>
    <w:rsid w:val="00FA23E0"/>
    <w:rsid w:val="00FA3EB7"/>
    <w:rsid w:val="00FB4AF6"/>
    <w:rsid w:val="00FB682D"/>
    <w:rsid w:val="00FB73E3"/>
    <w:rsid w:val="00FC111E"/>
    <w:rsid w:val="00FC53A3"/>
    <w:rsid w:val="00FD7D9C"/>
    <w:rsid w:val="00FE0675"/>
    <w:rsid w:val="00FE13DD"/>
    <w:rsid w:val="00FE4192"/>
    <w:rsid w:val="00FE569B"/>
    <w:rsid w:val="00FE6565"/>
    <w:rsid w:val="00FE7601"/>
    <w:rsid w:val="00FF39CF"/>
    <w:rsid w:val="00FF5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15BF"/>
  <w15:docId w15:val="{34CBE51A-1ECE-4599-AA97-05812B7C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353EA"/>
    <w:pPr>
      <w:ind w:left="720"/>
      <w:contextualSpacing/>
    </w:pPr>
  </w:style>
  <w:style w:type="character" w:styleId="Puslapioinaosnuoroda">
    <w:name w:val="footnote reference"/>
    <w:basedOn w:val="Numatytasispastraiposriftas"/>
    <w:uiPriority w:val="99"/>
    <w:semiHidden/>
    <w:unhideWhenUsed/>
    <w:rsid w:val="00252A74"/>
  </w:style>
  <w:style w:type="paragraph" w:styleId="Debesliotekstas">
    <w:name w:val="Balloon Text"/>
    <w:basedOn w:val="prastasis"/>
    <w:link w:val="DebesliotekstasDiagrama"/>
    <w:rsid w:val="007B2090"/>
    <w:rPr>
      <w:rFonts w:ascii="Segoe UI" w:hAnsi="Segoe UI" w:cs="Segoe UI"/>
      <w:sz w:val="18"/>
      <w:szCs w:val="18"/>
    </w:rPr>
  </w:style>
  <w:style w:type="character" w:customStyle="1" w:styleId="DebesliotekstasDiagrama">
    <w:name w:val="Debesėlio tekstas Diagrama"/>
    <w:basedOn w:val="Numatytasispastraiposriftas"/>
    <w:link w:val="Debesliotekstas"/>
    <w:rsid w:val="007B2090"/>
    <w:rPr>
      <w:rFonts w:ascii="Segoe UI" w:hAnsi="Segoe UI" w:cs="Segoe UI"/>
      <w:sz w:val="18"/>
      <w:szCs w:val="18"/>
    </w:rPr>
  </w:style>
  <w:style w:type="character" w:styleId="Komentaronuoroda">
    <w:name w:val="annotation reference"/>
    <w:basedOn w:val="Numatytasispastraiposriftas"/>
    <w:semiHidden/>
    <w:unhideWhenUsed/>
    <w:rsid w:val="00FE569B"/>
    <w:rPr>
      <w:sz w:val="16"/>
      <w:szCs w:val="16"/>
    </w:rPr>
  </w:style>
  <w:style w:type="paragraph" w:styleId="Komentarotekstas">
    <w:name w:val="annotation text"/>
    <w:basedOn w:val="prastasis"/>
    <w:link w:val="KomentarotekstasDiagrama"/>
    <w:semiHidden/>
    <w:unhideWhenUsed/>
    <w:rsid w:val="00FE569B"/>
    <w:rPr>
      <w:sz w:val="20"/>
    </w:rPr>
  </w:style>
  <w:style w:type="character" w:customStyle="1" w:styleId="KomentarotekstasDiagrama">
    <w:name w:val="Komentaro tekstas Diagrama"/>
    <w:basedOn w:val="Numatytasispastraiposriftas"/>
    <w:link w:val="Komentarotekstas"/>
    <w:semiHidden/>
    <w:rsid w:val="00FE569B"/>
    <w:rPr>
      <w:sz w:val="20"/>
    </w:rPr>
  </w:style>
  <w:style w:type="paragraph" w:styleId="Komentarotema">
    <w:name w:val="annotation subject"/>
    <w:basedOn w:val="Komentarotekstas"/>
    <w:next w:val="Komentarotekstas"/>
    <w:link w:val="KomentarotemaDiagrama"/>
    <w:semiHidden/>
    <w:unhideWhenUsed/>
    <w:rsid w:val="00FE569B"/>
    <w:rPr>
      <w:b/>
      <w:bCs/>
    </w:rPr>
  </w:style>
  <w:style w:type="character" w:customStyle="1" w:styleId="KomentarotemaDiagrama">
    <w:name w:val="Komentaro tema Diagrama"/>
    <w:basedOn w:val="KomentarotekstasDiagrama"/>
    <w:link w:val="Komentarotema"/>
    <w:semiHidden/>
    <w:rsid w:val="00FE569B"/>
    <w:rPr>
      <w:b/>
      <w:bCs/>
      <w:sz w:val="20"/>
    </w:rPr>
  </w:style>
  <w:style w:type="character" w:styleId="Hipersaitas">
    <w:name w:val="Hyperlink"/>
    <w:basedOn w:val="Numatytasispastraiposriftas"/>
    <w:unhideWhenUsed/>
    <w:rsid w:val="005B6578"/>
    <w:rPr>
      <w:color w:val="0563C1" w:themeColor="hyperlink"/>
      <w:u w:val="single"/>
    </w:rPr>
  </w:style>
  <w:style w:type="paragraph" w:styleId="Pataisymai">
    <w:name w:val="Revision"/>
    <w:hidden/>
    <w:semiHidden/>
    <w:rsid w:val="00211C7F"/>
  </w:style>
  <w:style w:type="character" w:styleId="Perirtashipersaitas">
    <w:name w:val="FollowedHyperlink"/>
    <w:basedOn w:val="Numatytasispastraiposriftas"/>
    <w:semiHidden/>
    <w:unhideWhenUsed/>
    <w:qFormat/>
    <w:rsid w:val="00161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16908">
      <w:bodyDiv w:val="1"/>
      <w:marLeft w:val="0"/>
      <w:marRight w:val="0"/>
      <w:marTop w:val="0"/>
      <w:marBottom w:val="0"/>
      <w:divBdr>
        <w:top w:val="none" w:sz="0" w:space="0" w:color="auto"/>
        <w:left w:val="none" w:sz="0" w:space="0" w:color="auto"/>
        <w:bottom w:val="none" w:sz="0" w:space="0" w:color="auto"/>
        <w:right w:val="none" w:sz="0" w:space="0" w:color="auto"/>
      </w:divBdr>
    </w:div>
    <w:div w:id="596138059">
      <w:bodyDiv w:val="1"/>
      <w:marLeft w:val="0"/>
      <w:marRight w:val="0"/>
      <w:marTop w:val="0"/>
      <w:marBottom w:val="0"/>
      <w:divBdr>
        <w:top w:val="none" w:sz="0" w:space="0" w:color="auto"/>
        <w:left w:val="none" w:sz="0" w:space="0" w:color="auto"/>
        <w:bottom w:val="none" w:sz="0" w:space="0" w:color="auto"/>
        <w:right w:val="none" w:sz="0" w:space="0" w:color="auto"/>
      </w:divBdr>
    </w:div>
    <w:div w:id="703945826">
      <w:bodyDiv w:val="1"/>
      <w:marLeft w:val="0"/>
      <w:marRight w:val="0"/>
      <w:marTop w:val="0"/>
      <w:marBottom w:val="0"/>
      <w:divBdr>
        <w:top w:val="none" w:sz="0" w:space="0" w:color="auto"/>
        <w:left w:val="none" w:sz="0" w:space="0" w:color="auto"/>
        <w:bottom w:val="none" w:sz="0" w:space="0" w:color="auto"/>
        <w:right w:val="none" w:sz="0" w:space="0" w:color="auto"/>
      </w:divBdr>
    </w:div>
    <w:div w:id="803352255">
      <w:bodyDiv w:val="1"/>
      <w:marLeft w:val="0"/>
      <w:marRight w:val="0"/>
      <w:marTop w:val="0"/>
      <w:marBottom w:val="0"/>
      <w:divBdr>
        <w:top w:val="none" w:sz="0" w:space="0" w:color="auto"/>
        <w:left w:val="none" w:sz="0" w:space="0" w:color="auto"/>
        <w:bottom w:val="none" w:sz="0" w:space="0" w:color="auto"/>
        <w:right w:val="none" w:sz="0" w:space="0" w:color="auto"/>
      </w:divBdr>
    </w:div>
    <w:div w:id="877207126">
      <w:bodyDiv w:val="1"/>
      <w:marLeft w:val="0"/>
      <w:marRight w:val="0"/>
      <w:marTop w:val="0"/>
      <w:marBottom w:val="0"/>
      <w:divBdr>
        <w:top w:val="none" w:sz="0" w:space="0" w:color="auto"/>
        <w:left w:val="none" w:sz="0" w:space="0" w:color="auto"/>
        <w:bottom w:val="none" w:sz="0" w:space="0" w:color="auto"/>
        <w:right w:val="none" w:sz="0" w:space="0" w:color="auto"/>
      </w:divBdr>
    </w:div>
    <w:div w:id="950237576">
      <w:bodyDiv w:val="1"/>
      <w:marLeft w:val="0"/>
      <w:marRight w:val="0"/>
      <w:marTop w:val="0"/>
      <w:marBottom w:val="0"/>
      <w:divBdr>
        <w:top w:val="none" w:sz="0" w:space="0" w:color="auto"/>
        <w:left w:val="none" w:sz="0" w:space="0" w:color="auto"/>
        <w:bottom w:val="none" w:sz="0" w:space="0" w:color="auto"/>
        <w:right w:val="none" w:sz="0" w:space="0" w:color="auto"/>
      </w:divBdr>
    </w:div>
    <w:div w:id="1130200142">
      <w:bodyDiv w:val="1"/>
      <w:marLeft w:val="0"/>
      <w:marRight w:val="0"/>
      <w:marTop w:val="0"/>
      <w:marBottom w:val="0"/>
      <w:divBdr>
        <w:top w:val="none" w:sz="0" w:space="0" w:color="auto"/>
        <w:left w:val="none" w:sz="0" w:space="0" w:color="auto"/>
        <w:bottom w:val="none" w:sz="0" w:space="0" w:color="auto"/>
        <w:right w:val="none" w:sz="0" w:space="0" w:color="auto"/>
      </w:divBdr>
    </w:div>
    <w:div w:id="1207987032">
      <w:bodyDiv w:val="1"/>
      <w:marLeft w:val="0"/>
      <w:marRight w:val="0"/>
      <w:marTop w:val="0"/>
      <w:marBottom w:val="0"/>
      <w:divBdr>
        <w:top w:val="none" w:sz="0" w:space="0" w:color="auto"/>
        <w:left w:val="none" w:sz="0" w:space="0" w:color="auto"/>
        <w:bottom w:val="none" w:sz="0" w:space="0" w:color="auto"/>
        <w:right w:val="none" w:sz="0" w:space="0" w:color="auto"/>
      </w:divBdr>
    </w:div>
    <w:div w:id="1225531557">
      <w:bodyDiv w:val="1"/>
      <w:marLeft w:val="0"/>
      <w:marRight w:val="0"/>
      <w:marTop w:val="0"/>
      <w:marBottom w:val="0"/>
      <w:divBdr>
        <w:top w:val="none" w:sz="0" w:space="0" w:color="auto"/>
        <w:left w:val="none" w:sz="0" w:space="0" w:color="auto"/>
        <w:bottom w:val="none" w:sz="0" w:space="0" w:color="auto"/>
        <w:right w:val="none" w:sz="0" w:space="0" w:color="auto"/>
      </w:divBdr>
    </w:div>
    <w:div w:id="1246302053">
      <w:bodyDiv w:val="1"/>
      <w:marLeft w:val="0"/>
      <w:marRight w:val="0"/>
      <w:marTop w:val="0"/>
      <w:marBottom w:val="0"/>
      <w:divBdr>
        <w:top w:val="none" w:sz="0" w:space="0" w:color="auto"/>
        <w:left w:val="none" w:sz="0" w:space="0" w:color="auto"/>
        <w:bottom w:val="none" w:sz="0" w:space="0" w:color="auto"/>
        <w:right w:val="none" w:sz="0" w:space="0" w:color="auto"/>
      </w:divBdr>
    </w:div>
    <w:div w:id="1270745856">
      <w:bodyDiv w:val="1"/>
      <w:marLeft w:val="0"/>
      <w:marRight w:val="0"/>
      <w:marTop w:val="0"/>
      <w:marBottom w:val="0"/>
      <w:divBdr>
        <w:top w:val="none" w:sz="0" w:space="0" w:color="auto"/>
        <w:left w:val="none" w:sz="0" w:space="0" w:color="auto"/>
        <w:bottom w:val="none" w:sz="0" w:space="0" w:color="auto"/>
        <w:right w:val="none" w:sz="0" w:space="0" w:color="auto"/>
      </w:divBdr>
    </w:div>
    <w:div w:id="1634484434">
      <w:bodyDiv w:val="1"/>
      <w:marLeft w:val="0"/>
      <w:marRight w:val="0"/>
      <w:marTop w:val="0"/>
      <w:marBottom w:val="0"/>
      <w:divBdr>
        <w:top w:val="none" w:sz="0" w:space="0" w:color="auto"/>
        <w:left w:val="none" w:sz="0" w:space="0" w:color="auto"/>
        <w:bottom w:val="none" w:sz="0" w:space="0" w:color="auto"/>
        <w:right w:val="none" w:sz="0" w:space="0" w:color="auto"/>
      </w:divBdr>
    </w:div>
    <w:div w:id="1694183750">
      <w:bodyDiv w:val="1"/>
      <w:marLeft w:val="0"/>
      <w:marRight w:val="0"/>
      <w:marTop w:val="0"/>
      <w:marBottom w:val="0"/>
      <w:divBdr>
        <w:top w:val="none" w:sz="0" w:space="0" w:color="auto"/>
        <w:left w:val="none" w:sz="0" w:space="0" w:color="auto"/>
        <w:bottom w:val="none" w:sz="0" w:space="0" w:color="auto"/>
        <w:right w:val="none" w:sz="0" w:space="0" w:color="auto"/>
      </w:divBdr>
      <w:divsChild>
        <w:div w:id="2080322835">
          <w:marLeft w:val="0"/>
          <w:marRight w:val="0"/>
          <w:marTop w:val="0"/>
          <w:marBottom w:val="0"/>
          <w:divBdr>
            <w:top w:val="none" w:sz="0" w:space="0" w:color="auto"/>
            <w:left w:val="none" w:sz="0" w:space="0" w:color="auto"/>
            <w:bottom w:val="none" w:sz="0" w:space="0" w:color="auto"/>
            <w:right w:val="none" w:sz="0" w:space="0" w:color="auto"/>
          </w:divBdr>
        </w:div>
      </w:divsChild>
    </w:div>
    <w:div w:id="1997566411">
      <w:bodyDiv w:val="1"/>
      <w:marLeft w:val="0"/>
      <w:marRight w:val="0"/>
      <w:marTop w:val="0"/>
      <w:marBottom w:val="0"/>
      <w:divBdr>
        <w:top w:val="none" w:sz="0" w:space="0" w:color="auto"/>
        <w:left w:val="none" w:sz="0" w:space="0" w:color="auto"/>
        <w:bottom w:val="none" w:sz="0" w:space="0" w:color="auto"/>
        <w:right w:val="none" w:sz="0" w:space="0" w:color="auto"/>
      </w:divBdr>
    </w:div>
    <w:div w:id="2056155942">
      <w:bodyDiv w:val="1"/>
      <w:marLeft w:val="0"/>
      <w:marRight w:val="0"/>
      <w:marTop w:val="0"/>
      <w:marBottom w:val="0"/>
      <w:divBdr>
        <w:top w:val="none" w:sz="0" w:space="0" w:color="auto"/>
        <w:left w:val="none" w:sz="0" w:space="0" w:color="auto"/>
        <w:bottom w:val="none" w:sz="0" w:space="0" w:color="auto"/>
        <w:right w:val="none" w:sz="0" w:space="0" w:color="auto"/>
      </w:divBdr>
    </w:div>
    <w:div w:id="213289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53558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38883-1F56-4591-91FE-8EF456A4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7208</Words>
  <Characters>4109</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Edita Karaliūtė</cp:lastModifiedBy>
  <cp:revision>2</cp:revision>
  <cp:lastPrinted>2020-12-21T10:24:00Z</cp:lastPrinted>
  <dcterms:created xsi:type="dcterms:W3CDTF">2020-12-29T15:06:00Z</dcterms:created>
  <dcterms:modified xsi:type="dcterms:W3CDTF">2020-12-29T15:06:00Z</dcterms:modified>
</cp:coreProperties>
</file>