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D305" w14:textId="77777777" w:rsidR="001A101C" w:rsidRDefault="001A101C">
      <w:pPr>
        <w:tabs>
          <w:tab w:val="center" w:pos="4819"/>
          <w:tab w:val="right" w:pos="9638"/>
        </w:tabs>
        <w:jc w:val="both"/>
        <w:rPr>
          <w:rFonts w:ascii="Arial" w:hAnsi="Arial"/>
          <w:sz w:val="20"/>
        </w:rPr>
      </w:pPr>
    </w:p>
    <w:p w14:paraId="5CF93E55" w14:textId="63FE09EE" w:rsidR="001A101C" w:rsidRDefault="00E010E2" w:rsidP="00AC41FE">
      <w:pPr>
        <w:ind w:left="1134" w:right="1102"/>
        <w:jc w:val="center"/>
        <w:rPr>
          <w:b/>
          <w:szCs w:val="24"/>
        </w:rPr>
      </w:pPr>
      <w:r>
        <w:rPr>
          <w:b/>
          <w:szCs w:val="24"/>
        </w:rPr>
        <w:t xml:space="preserve">2017 M. SPALIO 25 D. EUROPOS PARLAMENTO IR TARYBOS REGLAMENTO (ES) 2017/1938 DĖL DUJŲ TIEKIMO SAUGUMO UŽTIKRINIMO PRIEMONIŲ, KURIUO PANAIKINAMAS REGLAMENTAS (ES) </w:t>
      </w:r>
      <w:r>
        <w:rPr>
          <w:b/>
          <w:szCs w:val="24"/>
        </w:rPr>
        <w:br/>
        <w:t xml:space="preserve">NR. 994/2010, IR LIETUVOS RESPUBLIKOS </w:t>
      </w:r>
      <w:r w:rsidR="00AC41FE">
        <w:rPr>
          <w:b/>
          <w:szCs w:val="24"/>
        </w:rPr>
        <w:t xml:space="preserve">VYRIAUSYBĖS </w:t>
      </w:r>
      <w:r w:rsidR="00411A8C">
        <w:rPr>
          <w:b/>
          <w:szCs w:val="24"/>
        </w:rPr>
        <w:t xml:space="preserve">NUTARIMO </w:t>
      </w:r>
      <w:r w:rsidR="00AC41FE">
        <w:rPr>
          <w:b/>
          <w:szCs w:val="24"/>
        </w:rPr>
        <w:t>„</w:t>
      </w:r>
      <w:r w:rsidR="00AC41FE" w:rsidRPr="008E7650">
        <w:rPr>
          <w:b/>
          <w:bCs/>
          <w:caps/>
          <w:color w:val="000000"/>
          <w:szCs w:val="24"/>
          <w:lang w:eastAsia="lt-LT"/>
        </w:rPr>
        <w:t xml:space="preserve">DĖL LIETUVOS RESPUBLIKOS VYRIAUSYBĖS 2008 M. vasario 26 D. NUTARIMO NR. 163 „DĖL GAMTINIŲ DUJŲ TIEKIMO patikimumo </w:t>
      </w:r>
      <w:r w:rsidR="003C5CDE">
        <w:rPr>
          <w:b/>
          <w:bCs/>
          <w:caps/>
          <w:color w:val="000000"/>
          <w:szCs w:val="24"/>
          <w:lang w:eastAsia="lt-LT"/>
        </w:rPr>
        <w:t xml:space="preserve">užtikrinimo </w:t>
      </w:r>
      <w:r w:rsidR="00AC41FE" w:rsidRPr="008E7650">
        <w:rPr>
          <w:b/>
          <w:bCs/>
          <w:caps/>
          <w:color w:val="000000"/>
          <w:szCs w:val="24"/>
          <w:lang w:eastAsia="lt-LT"/>
        </w:rPr>
        <w:t>priemonių APRAŠO PATVIRTINIMO“ PAKEITIMO</w:t>
      </w:r>
      <w:r w:rsidR="00AC41FE">
        <w:rPr>
          <w:b/>
          <w:bCs/>
          <w:caps/>
          <w:color w:val="000000"/>
          <w:szCs w:val="24"/>
          <w:lang w:eastAsia="lt-LT"/>
        </w:rPr>
        <w:t xml:space="preserve">“ </w:t>
      </w:r>
      <w:r>
        <w:rPr>
          <w:b/>
          <w:szCs w:val="24"/>
        </w:rPr>
        <w:t xml:space="preserve">PROJEKTO </w:t>
      </w:r>
    </w:p>
    <w:p w14:paraId="60D922B6" w14:textId="17FCC857" w:rsidR="001A101C" w:rsidRDefault="00E010E2">
      <w:pPr>
        <w:ind w:left="1134" w:right="1102"/>
        <w:jc w:val="center"/>
        <w:rPr>
          <w:b/>
          <w:szCs w:val="24"/>
        </w:rPr>
      </w:pPr>
      <w:r>
        <w:rPr>
          <w:b/>
          <w:szCs w:val="24"/>
        </w:rPr>
        <w:t>ATITIKTIES LENTELĖ</w:t>
      </w:r>
    </w:p>
    <w:p w14:paraId="0515862C" w14:textId="77777777" w:rsidR="001A101C" w:rsidRDefault="001A101C"/>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953"/>
        <w:gridCol w:w="2694"/>
      </w:tblGrid>
      <w:tr w:rsidR="001A101C" w14:paraId="0A706293" w14:textId="77777777">
        <w:trPr>
          <w:trHeight w:val="1416"/>
        </w:trPr>
        <w:tc>
          <w:tcPr>
            <w:tcW w:w="2094" w:type="pct"/>
            <w:tcBorders>
              <w:bottom w:val="single" w:sz="4" w:space="0" w:color="auto"/>
            </w:tcBorders>
            <w:shd w:val="clear" w:color="auto" w:fill="auto"/>
            <w:vAlign w:val="center"/>
          </w:tcPr>
          <w:p w14:paraId="25C90899" w14:textId="77777777" w:rsidR="001A101C" w:rsidRDefault="00E010E2">
            <w:pPr>
              <w:jc w:val="center"/>
              <w:rPr>
                <w:b/>
                <w:sz w:val="20"/>
                <w:szCs w:val="24"/>
                <w:lang w:eastAsia="lt-LT"/>
              </w:rPr>
            </w:pPr>
            <w:r>
              <w:rPr>
                <w:b/>
                <w:szCs w:val="24"/>
                <w:lang w:eastAsia="lt-LT"/>
              </w:rPr>
              <w:t xml:space="preserve">2017 m. spalio 25 d. Europos Parlamento ir Tarybos reglamentas </w:t>
            </w:r>
            <w:hyperlink r:id="rId9" w:tgtFrame="_blank" w:history="1">
              <w:r>
                <w:rPr>
                  <w:b/>
                  <w:color w:val="0563C1" w:themeColor="hyperlink"/>
                  <w:szCs w:val="24"/>
                  <w:u w:val="single"/>
                  <w:lang w:eastAsia="lt-LT"/>
                </w:rPr>
                <w:t>(ES) 2017/1938</w:t>
              </w:r>
            </w:hyperlink>
            <w:r>
              <w:rPr>
                <w:b/>
                <w:szCs w:val="24"/>
                <w:lang w:eastAsia="lt-LT"/>
              </w:rPr>
              <w:t xml:space="preserve"> dėl dujų tiekimo saugumo užtikrinimo priemonių, kuriuo panaikinamas Reglamentas </w:t>
            </w:r>
            <w:hyperlink r:id="rId10" w:tgtFrame="_blank" w:history="1">
              <w:r>
                <w:rPr>
                  <w:b/>
                  <w:color w:val="0563C1" w:themeColor="hyperlink"/>
                  <w:szCs w:val="24"/>
                  <w:u w:val="single"/>
                  <w:lang w:eastAsia="lt-LT"/>
                </w:rPr>
                <w:t>(ES) Nr. 994/2010</w:t>
              </w:r>
            </w:hyperlink>
          </w:p>
        </w:tc>
        <w:tc>
          <w:tcPr>
            <w:tcW w:w="2000" w:type="pct"/>
            <w:tcBorders>
              <w:bottom w:val="single" w:sz="4" w:space="0" w:color="auto"/>
            </w:tcBorders>
            <w:shd w:val="clear" w:color="auto" w:fill="auto"/>
            <w:vAlign w:val="center"/>
          </w:tcPr>
          <w:p w14:paraId="2C5B9B6B" w14:textId="77777777" w:rsidR="001A101C" w:rsidRDefault="001A101C">
            <w:pPr>
              <w:rPr>
                <w:sz w:val="8"/>
                <w:szCs w:val="8"/>
              </w:rPr>
            </w:pPr>
          </w:p>
          <w:p w14:paraId="5166166F" w14:textId="1F9F03A9" w:rsidR="001A101C" w:rsidRDefault="00E010E2">
            <w:pPr>
              <w:jc w:val="center"/>
              <w:rPr>
                <w:b/>
                <w:szCs w:val="24"/>
                <w:lang w:eastAsia="lt-LT"/>
              </w:rPr>
            </w:pPr>
            <w:r>
              <w:rPr>
                <w:b/>
                <w:szCs w:val="24"/>
                <w:lang w:eastAsia="lt-LT"/>
              </w:rPr>
              <w:t xml:space="preserve">Lietuvos Respublikos </w:t>
            </w:r>
            <w:r w:rsidR="0053489E">
              <w:rPr>
                <w:b/>
                <w:szCs w:val="24"/>
                <w:lang w:eastAsia="lt-LT"/>
              </w:rPr>
              <w:t xml:space="preserve">Vyriausybės </w:t>
            </w:r>
            <w:r w:rsidR="0053489E">
              <w:rPr>
                <w:b/>
                <w:szCs w:val="24"/>
              </w:rPr>
              <w:t>nutarimo „Dė</w:t>
            </w:r>
            <w:r w:rsidR="0053489E" w:rsidRPr="008E7650">
              <w:rPr>
                <w:b/>
                <w:bCs/>
                <w:color w:val="000000"/>
                <w:szCs w:val="24"/>
                <w:lang w:eastAsia="lt-LT"/>
              </w:rPr>
              <w:t xml:space="preserve">l </w:t>
            </w:r>
            <w:r w:rsidR="0053489E">
              <w:rPr>
                <w:b/>
                <w:bCs/>
                <w:color w:val="000000"/>
                <w:szCs w:val="24"/>
                <w:lang w:eastAsia="lt-LT"/>
              </w:rPr>
              <w:t>L</w:t>
            </w:r>
            <w:r w:rsidR="0053489E" w:rsidRPr="008E7650">
              <w:rPr>
                <w:b/>
                <w:bCs/>
                <w:color w:val="000000"/>
                <w:szCs w:val="24"/>
                <w:lang w:eastAsia="lt-LT"/>
              </w:rPr>
              <w:t xml:space="preserve">ietuvos </w:t>
            </w:r>
            <w:r w:rsidR="0053489E">
              <w:rPr>
                <w:b/>
                <w:bCs/>
                <w:color w:val="000000"/>
                <w:szCs w:val="24"/>
                <w:lang w:eastAsia="lt-LT"/>
              </w:rPr>
              <w:t>R</w:t>
            </w:r>
            <w:r w:rsidR="0053489E" w:rsidRPr="008E7650">
              <w:rPr>
                <w:b/>
                <w:bCs/>
                <w:color w:val="000000"/>
                <w:szCs w:val="24"/>
                <w:lang w:eastAsia="lt-LT"/>
              </w:rPr>
              <w:t xml:space="preserve">espublikos </w:t>
            </w:r>
            <w:r w:rsidR="0053489E">
              <w:rPr>
                <w:b/>
                <w:bCs/>
                <w:color w:val="000000"/>
                <w:szCs w:val="24"/>
                <w:lang w:eastAsia="lt-LT"/>
              </w:rPr>
              <w:t>V</w:t>
            </w:r>
            <w:r w:rsidR="0053489E" w:rsidRPr="008E7650">
              <w:rPr>
                <w:b/>
                <w:bCs/>
                <w:color w:val="000000"/>
                <w:szCs w:val="24"/>
                <w:lang w:eastAsia="lt-LT"/>
              </w:rPr>
              <w:t>yriausybės 2008 m. vasario 26</w:t>
            </w:r>
            <w:r w:rsidR="0053489E">
              <w:rPr>
                <w:b/>
                <w:bCs/>
                <w:color w:val="000000"/>
                <w:szCs w:val="24"/>
                <w:lang w:eastAsia="lt-LT"/>
              </w:rPr>
              <w:t> </w:t>
            </w:r>
            <w:r w:rsidR="0053489E" w:rsidRPr="008E7650">
              <w:rPr>
                <w:b/>
                <w:bCs/>
                <w:color w:val="000000"/>
                <w:szCs w:val="24"/>
                <w:lang w:eastAsia="lt-LT"/>
              </w:rPr>
              <w:t xml:space="preserve">d. nutarimo </w:t>
            </w:r>
            <w:r w:rsidR="0053489E">
              <w:rPr>
                <w:b/>
                <w:bCs/>
                <w:color w:val="000000"/>
                <w:szCs w:val="24"/>
                <w:lang w:eastAsia="lt-LT"/>
              </w:rPr>
              <w:t>N</w:t>
            </w:r>
            <w:r w:rsidR="0053489E" w:rsidRPr="008E7650">
              <w:rPr>
                <w:b/>
                <w:bCs/>
                <w:color w:val="000000"/>
                <w:szCs w:val="24"/>
                <w:lang w:eastAsia="lt-LT"/>
              </w:rPr>
              <w:t>r. 163 „</w:t>
            </w:r>
            <w:r w:rsidR="0053489E">
              <w:rPr>
                <w:b/>
                <w:bCs/>
                <w:color w:val="000000"/>
                <w:szCs w:val="24"/>
                <w:lang w:eastAsia="lt-LT"/>
              </w:rPr>
              <w:t>D</w:t>
            </w:r>
            <w:r w:rsidR="0053489E" w:rsidRPr="008E7650">
              <w:rPr>
                <w:b/>
                <w:bCs/>
                <w:color w:val="000000"/>
                <w:szCs w:val="24"/>
                <w:lang w:eastAsia="lt-LT"/>
              </w:rPr>
              <w:t xml:space="preserve">ėl </w:t>
            </w:r>
            <w:r w:rsidR="0053489E">
              <w:rPr>
                <w:b/>
                <w:bCs/>
                <w:color w:val="000000"/>
                <w:szCs w:val="24"/>
                <w:lang w:eastAsia="lt-LT"/>
              </w:rPr>
              <w:t>G</w:t>
            </w:r>
            <w:r w:rsidR="0053489E" w:rsidRPr="008E7650">
              <w:rPr>
                <w:b/>
                <w:bCs/>
                <w:color w:val="000000"/>
                <w:szCs w:val="24"/>
                <w:lang w:eastAsia="lt-LT"/>
              </w:rPr>
              <w:t xml:space="preserve">amtinių dujų tiekimo patikimumo </w:t>
            </w:r>
            <w:r w:rsidR="00834C64">
              <w:rPr>
                <w:b/>
                <w:bCs/>
                <w:color w:val="000000"/>
                <w:szCs w:val="24"/>
                <w:lang w:eastAsia="lt-LT"/>
              </w:rPr>
              <w:t xml:space="preserve">užtikrinimo </w:t>
            </w:r>
            <w:r w:rsidR="0053489E" w:rsidRPr="008E7650">
              <w:rPr>
                <w:b/>
                <w:bCs/>
                <w:color w:val="000000"/>
                <w:szCs w:val="24"/>
                <w:lang w:eastAsia="lt-LT"/>
              </w:rPr>
              <w:t>priemonių aprašo patvirtinimo“ pakeitimo</w:t>
            </w:r>
            <w:r w:rsidR="0053489E">
              <w:rPr>
                <w:b/>
                <w:bCs/>
                <w:color w:val="000000"/>
                <w:szCs w:val="24"/>
                <w:lang w:eastAsia="lt-LT"/>
              </w:rPr>
              <w:t xml:space="preserve">“ </w:t>
            </w:r>
            <w:r>
              <w:rPr>
                <w:b/>
                <w:szCs w:val="24"/>
                <w:lang w:eastAsia="lt-LT"/>
              </w:rPr>
              <w:t xml:space="preserve">projektas </w:t>
            </w:r>
          </w:p>
        </w:tc>
        <w:tc>
          <w:tcPr>
            <w:tcW w:w="905" w:type="pct"/>
            <w:tcBorders>
              <w:bottom w:val="single" w:sz="4" w:space="0" w:color="auto"/>
            </w:tcBorders>
            <w:shd w:val="clear" w:color="auto" w:fill="auto"/>
            <w:vAlign w:val="center"/>
          </w:tcPr>
          <w:p w14:paraId="547793DD" w14:textId="77777777" w:rsidR="001A101C" w:rsidRDefault="00E010E2">
            <w:pPr>
              <w:jc w:val="center"/>
              <w:rPr>
                <w:b/>
                <w:szCs w:val="24"/>
                <w:lang w:eastAsia="lt-LT"/>
              </w:rPr>
            </w:pPr>
            <w:r>
              <w:rPr>
                <w:b/>
                <w:szCs w:val="24"/>
                <w:lang w:eastAsia="lt-LT"/>
              </w:rPr>
              <w:t>Reglamento perkėlimo ir įgyvendinimo lygis</w:t>
            </w:r>
          </w:p>
        </w:tc>
      </w:tr>
      <w:tr w:rsidR="001A101C" w14:paraId="3C8827A9" w14:textId="77777777">
        <w:tc>
          <w:tcPr>
            <w:tcW w:w="2094" w:type="pct"/>
            <w:tcBorders>
              <w:top w:val="single" w:sz="4" w:space="0" w:color="auto"/>
              <w:bottom w:val="single" w:sz="4" w:space="0" w:color="auto"/>
            </w:tcBorders>
          </w:tcPr>
          <w:p w14:paraId="14825A5A" w14:textId="77777777" w:rsidR="001A101C" w:rsidRDefault="00E010E2">
            <w:pPr>
              <w:jc w:val="both"/>
              <w:rPr>
                <w:i/>
                <w:szCs w:val="24"/>
                <w:lang w:eastAsia="lt-LT"/>
              </w:rPr>
            </w:pPr>
            <w:r>
              <w:rPr>
                <w:i/>
                <w:szCs w:val="24"/>
                <w:lang w:eastAsia="lt-LT"/>
              </w:rPr>
              <w:t>2 straipsnis</w:t>
            </w:r>
          </w:p>
          <w:p w14:paraId="67D0E3F8" w14:textId="77777777" w:rsidR="001A101C" w:rsidRDefault="00E010E2">
            <w:pPr>
              <w:jc w:val="both"/>
              <w:rPr>
                <w:szCs w:val="24"/>
                <w:lang w:eastAsia="lt-LT"/>
              </w:rPr>
            </w:pPr>
            <w:r>
              <w:rPr>
                <w:b/>
                <w:szCs w:val="24"/>
                <w:lang w:eastAsia="lt-LT"/>
              </w:rPr>
              <w:t>Terminų apibrėžtys</w:t>
            </w:r>
          </w:p>
          <w:p w14:paraId="53C6808D" w14:textId="77777777" w:rsidR="001A101C" w:rsidRDefault="00E010E2">
            <w:pPr>
              <w:jc w:val="both"/>
              <w:rPr>
                <w:szCs w:val="24"/>
                <w:lang w:eastAsia="lt-LT"/>
              </w:rPr>
            </w:pPr>
            <w:r>
              <w:rPr>
                <w:szCs w:val="24"/>
                <w:lang w:eastAsia="lt-LT"/>
              </w:rPr>
              <w:t>5. saugomas vartotojas – namų ūkio vartotojas, kuris yra prijungtas prie dujų skirstymo tinklo; atitinkamai valstybei narei nusprendus, saugomu vartotoju taip pat gali būti laikomas, jei a ir b punktuose nurodytų įmonių ar paslaugų bendras suvartojamas dujų kiekis nesudaro daugiau kaip 20 % bendro metinio galutinio dujų suvartojimo toje valstybėje narėje, vienas ar daugiau iš šių subjektų:</w:t>
            </w:r>
          </w:p>
          <w:p w14:paraId="013E8ACD" w14:textId="77777777" w:rsidR="001A101C" w:rsidRDefault="00E010E2">
            <w:pPr>
              <w:jc w:val="both"/>
              <w:rPr>
                <w:szCs w:val="24"/>
                <w:lang w:eastAsia="lt-LT"/>
              </w:rPr>
            </w:pPr>
            <w:r>
              <w:rPr>
                <w:szCs w:val="24"/>
                <w:lang w:eastAsia="lt-LT"/>
              </w:rPr>
              <w:t xml:space="preserve">a) mažoji arba vidutinė įmonė, su sąlyga, kad ji prijungta prie dujų skirstymo tinklo, </w:t>
            </w:r>
          </w:p>
          <w:p w14:paraId="575F8B53" w14:textId="77777777" w:rsidR="001A101C" w:rsidRDefault="00E010E2">
            <w:pPr>
              <w:jc w:val="both"/>
              <w:rPr>
                <w:szCs w:val="24"/>
                <w:lang w:eastAsia="lt-LT"/>
              </w:rPr>
            </w:pPr>
            <w:r>
              <w:rPr>
                <w:szCs w:val="24"/>
                <w:lang w:eastAsia="lt-LT"/>
              </w:rPr>
              <w:t xml:space="preserve">b) pagrindinių socialinių paslaugų teikėjas, su sąlyga, kad jis prijungtas prie dujų skirstymo ar perdavimo tinklo, </w:t>
            </w:r>
          </w:p>
          <w:p w14:paraId="0770D97B" w14:textId="77777777" w:rsidR="001A101C" w:rsidRDefault="00E010E2">
            <w:pPr>
              <w:jc w:val="both"/>
              <w:rPr>
                <w:szCs w:val="24"/>
                <w:lang w:eastAsia="lt-LT"/>
              </w:rPr>
            </w:pPr>
            <w:r>
              <w:rPr>
                <w:szCs w:val="24"/>
                <w:lang w:eastAsia="lt-LT"/>
              </w:rPr>
              <w:t xml:space="preserve">c) centralizuoto šilumos tiekimo įrenginys tiek, kiek iš jo tiekiama šiluma namų ūkio vartotojams, mažosioms arba vidutinėms įmonėms, arba pagrindinių socialinių paslaugų teikėjams, jei tokiame įrenginyje negalima pereiti prie kitų rūšių, nei dujos, kuro; </w:t>
            </w:r>
          </w:p>
          <w:p w14:paraId="0F53F8F6" w14:textId="77777777" w:rsidR="001A101C" w:rsidRDefault="00E010E2">
            <w:pPr>
              <w:jc w:val="both"/>
              <w:rPr>
                <w:szCs w:val="24"/>
                <w:lang w:eastAsia="lt-LT"/>
              </w:rPr>
            </w:pPr>
            <w:r>
              <w:rPr>
                <w:szCs w:val="24"/>
                <w:lang w:eastAsia="lt-LT"/>
              </w:rPr>
              <w:t xml:space="preserve">6. solidariai saugomas vartotojas – namų ūkio vartotojas, kuris yra prijungtas prie dujų skirstymo tinklo ir kuris, papildomai, gali apimti vieną arba abu šiuos elementus: </w:t>
            </w:r>
          </w:p>
          <w:p w14:paraId="2382AE77" w14:textId="77777777" w:rsidR="001A101C" w:rsidRDefault="00E010E2">
            <w:pPr>
              <w:jc w:val="both"/>
              <w:rPr>
                <w:szCs w:val="24"/>
                <w:lang w:eastAsia="lt-LT"/>
              </w:rPr>
            </w:pPr>
            <w:r>
              <w:rPr>
                <w:szCs w:val="24"/>
                <w:lang w:eastAsia="lt-LT"/>
              </w:rPr>
              <w:lastRenderedPageBreak/>
              <w:t xml:space="preserve">a) jis yra centralizuoto šilumos tiekimo įrenginys, jei atitinkamoje valstybėje narėje jis laikomas saugomu vartotoju, ir tik su sąlyga, kad įrenginys tiekia šilumą namų ūkio vartotojams arba pagrindinių socialinių paslaugų teikėjams, kurie nėra švietimo ir viešojo administravimo paslaugų teikėjai; </w:t>
            </w:r>
          </w:p>
          <w:p w14:paraId="676BCE70" w14:textId="77777777" w:rsidR="001A101C" w:rsidRDefault="00E010E2">
            <w:pPr>
              <w:jc w:val="both"/>
              <w:rPr>
                <w:szCs w:val="24"/>
                <w:lang w:eastAsia="lt-LT"/>
              </w:rPr>
            </w:pPr>
            <w:r>
              <w:rPr>
                <w:szCs w:val="24"/>
                <w:lang w:eastAsia="lt-LT"/>
              </w:rPr>
              <w:t>b) jis yra pagrindinių socialinių paslaugų teikėjas, jei atitinkamoje valstybėje narėje jis laikomas saugomu vartotoju, kaip nurodyta 5 punkto b papunktyje ir 7 punkte, išskyrus švietimo ir viešojo administravimo paslaugų teikėjus;</w:t>
            </w:r>
          </w:p>
        </w:tc>
        <w:tc>
          <w:tcPr>
            <w:tcW w:w="2000" w:type="pct"/>
            <w:tcBorders>
              <w:top w:val="single" w:sz="4" w:space="0" w:color="auto"/>
              <w:bottom w:val="single" w:sz="4" w:space="0" w:color="auto"/>
            </w:tcBorders>
          </w:tcPr>
          <w:p w14:paraId="2DDB9C45" w14:textId="77777777" w:rsidR="001A101C" w:rsidRDefault="001A101C">
            <w:pPr>
              <w:tabs>
                <w:tab w:val="left" w:pos="993"/>
              </w:tabs>
              <w:ind w:firstLine="284"/>
              <w:jc w:val="both"/>
              <w:rPr>
                <w:bCs/>
                <w:szCs w:val="24"/>
              </w:rPr>
            </w:pPr>
          </w:p>
          <w:p w14:paraId="58D8A150" w14:textId="77777777" w:rsidR="003C7AA4" w:rsidRDefault="00E010E2">
            <w:pPr>
              <w:tabs>
                <w:tab w:val="left" w:pos="993"/>
              </w:tabs>
              <w:ind w:firstLine="284"/>
              <w:jc w:val="both"/>
              <w:rPr>
                <w:b/>
                <w:bCs/>
                <w:szCs w:val="24"/>
                <w:lang w:eastAsia="lt-LT"/>
              </w:rPr>
            </w:pPr>
            <w:r>
              <w:rPr>
                <w:b/>
                <w:bCs/>
                <w:szCs w:val="24"/>
                <w:lang w:eastAsia="lt-LT"/>
              </w:rPr>
              <w:t>1</w:t>
            </w:r>
            <w:r w:rsidR="00E54E54">
              <w:rPr>
                <w:b/>
                <w:bCs/>
                <w:szCs w:val="24"/>
                <w:lang w:eastAsia="lt-LT"/>
              </w:rPr>
              <w:t>.2</w:t>
            </w:r>
            <w:r w:rsidR="00BB0B8F">
              <w:rPr>
                <w:b/>
                <w:bCs/>
                <w:szCs w:val="24"/>
                <w:lang w:eastAsia="lt-LT"/>
              </w:rPr>
              <w:t xml:space="preserve"> papunktis</w:t>
            </w:r>
          </w:p>
          <w:p w14:paraId="2D591184" w14:textId="77777777" w:rsidR="00E34D15" w:rsidRDefault="00E34D15" w:rsidP="00E34D15">
            <w:pPr>
              <w:pStyle w:val="ListParagraph"/>
              <w:ind w:left="0" w:firstLine="284"/>
              <w:jc w:val="both"/>
              <w:rPr>
                <w:szCs w:val="24"/>
              </w:rPr>
            </w:pPr>
          </w:p>
          <w:p w14:paraId="674F5C4C" w14:textId="02951AA3" w:rsidR="00E34D15" w:rsidRPr="00AB0C99" w:rsidRDefault="00E34D15" w:rsidP="00E34D15">
            <w:pPr>
              <w:pStyle w:val="ListParagraph"/>
              <w:ind w:left="0" w:firstLine="284"/>
              <w:jc w:val="both"/>
              <w:rPr>
                <w:szCs w:val="24"/>
                <w:lang w:eastAsia="lt-LT"/>
              </w:rPr>
            </w:pPr>
            <w:r>
              <w:rPr>
                <w:szCs w:val="24"/>
              </w:rPr>
              <w:t xml:space="preserve">1.2. </w:t>
            </w:r>
            <w:r w:rsidRPr="00AB0C99">
              <w:rPr>
                <w:szCs w:val="24"/>
                <w:lang w:eastAsia="lt-LT"/>
              </w:rPr>
              <w:t xml:space="preserve">Pakeisti nurodytu nutarimu patvirtintą </w:t>
            </w:r>
            <w:r w:rsidRPr="008E7650">
              <w:rPr>
                <w:color w:val="000000"/>
                <w:szCs w:val="24"/>
                <w:lang w:eastAsia="lt-LT"/>
              </w:rPr>
              <w:t xml:space="preserve">Gamtinių dujų tiekimo patikimumo </w:t>
            </w:r>
            <w:r w:rsidR="00832567">
              <w:rPr>
                <w:color w:val="000000"/>
                <w:szCs w:val="24"/>
                <w:lang w:eastAsia="lt-LT"/>
              </w:rPr>
              <w:t xml:space="preserve">užtikrinimo </w:t>
            </w:r>
            <w:r w:rsidRPr="008E7650">
              <w:rPr>
                <w:color w:val="000000"/>
                <w:szCs w:val="24"/>
                <w:lang w:eastAsia="lt-LT"/>
              </w:rPr>
              <w:t xml:space="preserve">priemonių </w:t>
            </w:r>
            <w:r w:rsidRPr="00AB0C99">
              <w:rPr>
                <w:bCs/>
                <w:szCs w:val="24"/>
              </w:rPr>
              <w:t>aprašą</w:t>
            </w:r>
            <w:r w:rsidRPr="00AB0C99">
              <w:rPr>
                <w:szCs w:val="24"/>
                <w:lang w:eastAsia="lt-LT"/>
              </w:rPr>
              <w:t>:</w:t>
            </w:r>
            <w:r w:rsidR="0070386C">
              <w:rPr>
                <w:szCs w:val="24"/>
                <w:lang w:eastAsia="lt-LT"/>
              </w:rPr>
              <w:t xml:space="preserve"> </w:t>
            </w:r>
          </w:p>
          <w:p w14:paraId="6A94BE93" w14:textId="020B006F" w:rsidR="00E34D15" w:rsidRPr="00AB0C99" w:rsidRDefault="00E34D15" w:rsidP="00E34D15">
            <w:pPr>
              <w:tabs>
                <w:tab w:val="left" w:pos="1418"/>
              </w:tabs>
              <w:ind w:firstLine="284"/>
              <w:jc w:val="both"/>
              <w:rPr>
                <w:szCs w:val="24"/>
                <w:lang w:eastAsia="lt-LT"/>
              </w:rPr>
            </w:pPr>
            <w:r>
              <w:rPr>
                <w:szCs w:val="24"/>
                <w:lang w:eastAsia="lt-LT"/>
              </w:rPr>
              <w:t xml:space="preserve">1.2.1. </w:t>
            </w:r>
            <w:r w:rsidRPr="00AB0C99">
              <w:rPr>
                <w:szCs w:val="24"/>
                <w:lang w:eastAsia="lt-LT"/>
              </w:rPr>
              <w:t>Pakeisti 1 punktą ir jį išdėstyti taip:</w:t>
            </w:r>
            <w:r w:rsidR="004C4463">
              <w:rPr>
                <w:szCs w:val="24"/>
                <w:lang w:eastAsia="lt-LT"/>
              </w:rPr>
              <w:t xml:space="preserve"> </w:t>
            </w:r>
          </w:p>
          <w:p w14:paraId="67600DFA" w14:textId="0A83EFB8" w:rsidR="00E34D15" w:rsidRDefault="00E34D15" w:rsidP="00E34D15">
            <w:pPr>
              <w:widowControl w:val="0"/>
              <w:tabs>
                <w:tab w:val="right" w:pos="9071"/>
              </w:tabs>
              <w:ind w:firstLine="284"/>
              <w:jc w:val="both"/>
              <w:rPr>
                <w:rFonts w:eastAsia="Calibri"/>
                <w:color w:val="000000"/>
                <w:szCs w:val="24"/>
              </w:rPr>
            </w:pPr>
            <w:r>
              <w:rPr>
                <w:color w:val="000000"/>
                <w:szCs w:val="24"/>
                <w:lang w:eastAsia="lt-LT"/>
              </w:rPr>
              <w:t>„</w:t>
            </w:r>
            <w:r w:rsidR="00CF6EC2">
              <w:rPr>
                <w:color w:val="000000"/>
                <w:szCs w:val="24"/>
                <w:lang w:eastAsia="lt-LT"/>
              </w:rPr>
              <w:t xml:space="preserve">1. </w:t>
            </w:r>
            <w:r w:rsidR="00CF6EC2">
              <w:t xml:space="preserve">Gamtinių dujų tiekimo patikimumo užtikrinimo priemonių aprašas (toliau – Aprašas) skirtas gamtinių dujų (toliau – dujos) tiekimo patikimumui užtikrinti. Aprašas nustato </w:t>
            </w:r>
            <w:r w:rsidR="00CF6EC2" w:rsidRPr="009F53FD">
              <w:t>pažeidžiamiems</w:t>
            </w:r>
            <w:r w:rsidR="00CF6EC2">
              <w:t xml:space="preserve"> </w:t>
            </w:r>
            <w:r w:rsidR="00BC3D63">
              <w:t>gamtini</w:t>
            </w:r>
            <w:r w:rsidR="000D655D">
              <w:t xml:space="preserve">ų </w:t>
            </w:r>
            <w:r w:rsidR="00CF6EC2">
              <w:t xml:space="preserve">dujų vartotojams reikalingo dujų atsargų kaupimo, panaudojimo </w:t>
            </w:r>
            <w:r w:rsidR="00CF6EC2" w:rsidRPr="00361A10">
              <w:t>ir kitas dujų tiekimo patikimumo užtikrinimo priemones ir jų taikymo</w:t>
            </w:r>
            <w:r w:rsidR="00CF6EC2">
              <w:t xml:space="preserve"> tvarką, pažeidžiamų dujų vartotojų ir solidariai saugomų pažeidžiamų </w:t>
            </w:r>
            <w:r w:rsidR="000C3040">
              <w:t xml:space="preserve">gamtinių </w:t>
            </w:r>
            <w:r w:rsidR="00CF6EC2">
              <w:t>dujų vartotojų ir jų grupių sąrašus, dujų tiekimo dujų vartotojams (toliau – vartotojas) prioritetinę tvarką, minimalius dujų tiekimo patikimumo reikalavimus.“</w:t>
            </w:r>
            <w:r w:rsidR="0070172C">
              <w:t xml:space="preserve"> </w:t>
            </w:r>
          </w:p>
          <w:p w14:paraId="6B052455" w14:textId="77777777" w:rsidR="00E34D15" w:rsidRPr="00AB0C99" w:rsidRDefault="00E34D15" w:rsidP="00E34D15">
            <w:pPr>
              <w:tabs>
                <w:tab w:val="left" w:pos="1418"/>
              </w:tabs>
              <w:ind w:firstLine="284"/>
              <w:jc w:val="both"/>
              <w:rPr>
                <w:szCs w:val="24"/>
                <w:lang w:eastAsia="lt-LT"/>
              </w:rPr>
            </w:pPr>
            <w:r>
              <w:rPr>
                <w:szCs w:val="24"/>
                <w:lang w:eastAsia="lt-LT"/>
              </w:rPr>
              <w:t xml:space="preserve">1.2.2. </w:t>
            </w:r>
            <w:r w:rsidRPr="00AB0C99">
              <w:rPr>
                <w:szCs w:val="24"/>
                <w:lang w:eastAsia="lt-LT"/>
              </w:rPr>
              <w:t xml:space="preserve">Pakeisti </w:t>
            </w:r>
            <w:r>
              <w:rPr>
                <w:szCs w:val="24"/>
                <w:lang w:eastAsia="lt-LT"/>
              </w:rPr>
              <w:t>3.6</w:t>
            </w:r>
            <w:r w:rsidRPr="00AB0C99">
              <w:rPr>
                <w:szCs w:val="24"/>
                <w:lang w:eastAsia="lt-LT"/>
              </w:rPr>
              <w:t xml:space="preserve"> </w:t>
            </w:r>
            <w:r>
              <w:rPr>
                <w:szCs w:val="24"/>
                <w:lang w:eastAsia="lt-LT"/>
              </w:rPr>
              <w:t>pa</w:t>
            </w:r>
            <w:r w:rsidRPr="00AB0C99">
              <w:rPr>
                <w:szCs w:val="24"/>
                <w:lang w:eastAsia="lt-LT"/>
              </w:rPr>
              <w:t>punkt</w:t>
            </w:r>
            <w:r>
              <w:rPr>
                <w:szCs w:val="24"/>
                <w:lang w:eastAsia="lt-LT"/>
              </w:rPr>
              <w:t>į</w:t>
            </w:r>
            <w:r w:rsidRPr="00AB0C99">
              <w:rPr>
                <w:szCs w:val="24"/>
                <w:lang w:eastAsia="lt-LT"/>
              </w:rPr>
              <w:t xml:space="preserve"> ir jį išdėstyti taip:</w:t>
            </w:r>
          </w:p>
          <w:p w14:paraId="341150ED" w14:textId="3D38B29D" w:rsidR="001A101C" w:rsidRDefault="00E34D15" w:rsidP="00E34D15">
            <w:pPr>
              <w:tabs>
                <w:tab w:val="left" w:pos="567"/>
              </w:tabs>
              <w:ind w:firstLine="284"/>
              <w:jc w:val="both"/>
              <w:rPr>
                <w:bCs/>
                <w:szCs w:val="24"/>
                <w:lang w:eastAsia="lt-LT"/>
              </w:rPr>
            </w:pPr>
            <w:r>
              <w:t xml:space="preserve">„3.6. </w:t>
            </w:r>
            <w:r w:rsidRPr="000212EB">
              <w:rPr>
                <w:b/>
              </w:rPr>
              <w:t>Pažeidžiamas gamtinių dujų vartotojas</w:t>
            </w:r>
            <w:r>
              <w:t xml:space="preserve"> (toliau – pažeidžiamas vartotojas) – buitinis gamtinių dujų vartotojas, kaip apibrėžta Lietuvos Respublikos gamtinių dujų </w:t>
            </w:r>
            <w:r>
              <w:lastRenderedPageBreak/>
              <w:t xml:space="preserve">įstatyme, ir nebuitinis gamtinių dujų vartotojas, teikiantis pagrindines socialines paslaugas, kaip nustatyta </w:t>
            </w:r>
            <w:r>
              <w:rPr>
                <w:szCs w:val="24"/>
              </w:rPr>
              <w:t>2017 m. spalio 25 d. Europos Parlamento ir Tarybos reglamento (ES) 2017/1938 dėl dujų tiekimo saugumo užtikrinimo priemonių, kuriuo panaikinamas Reglamentas (ES) Nr. 994/2010 2 straipsnio 5 dalies b punkte</w:t>
            </w:r>
            <w:r>
              <w:t>.“</w:t>
            </w:r>
          </w:p>
          <w:p w14:paraId="563BA353" w14:textId="102D7C9A" w:rsidR="00EE6B9C" w:rsidRDefault="00E010E2" w:rsidP="00CC1EC2">
            <w:pPr>
              <w:ind w:firstLine="284"/>
              <w:jc w:val="both"/>
              <w:rPr>
                <w:b/>
                <w:szCs w:val="24"/>
                <w:lang w:eastAsia="lt-LT"/>
              </w:rPr>
            </w:pPr>
            <w:r>
              <w:rPr>
                <w:szCs w:val="24"/>
                <w:lang w:eastAsia="lt-LT"/>
              </w:rPr>
              <w:t>&lt;...&gt;</w:t>
            </w:r>
          </w:p>
        </w:tc>
        <w:tc>
          <w:tcPr>
            <w:tcW w:w="905" w:type="pct"/>
            <w:tcBorders>
              <w:top w:val="single" w:sz="4" w:space="0" w:color="auto"/>
              <w:bottom w:val="single" w:sz="4" w:space="0" w:color="auto"/>
            </w:tcBorders>
          </w:tcPr>
          <w:p w14:paraId="57C4E486" w14:textId="77777777" w:rsidR="006F6213" w:rsidRDefault="006F6213">
            <w:pPr>
              <w:jc w:val="both"/>
              <w:rPr>
                <w:b/>
                <w:szCs w:val="24"/>
                <w:lang w:eastAsia="lt-LT"/>
              </w:rPr>
            </w:pPr>
          </w:p>
          <w:p w14:paraId="3A732435" w14:textId="48DFD842" w:rsidR="006F6213" w:rsidRDefault="006F6213">
            <w:pPr>
              <w:jc w:val="both"/>
              <w:rPr>
                <w:b/>
                <w:szCs w:val="24"/>
                <w:lang w:eastAsia="lt-LT"/>
              </w:rPr>
            </w:pPr>
          </w:p>
          <w:p w14:paraId="4E78483F" w14:textId="777884C8" w:rsidR="00B611A0" w:rsidRDefault="00B611A0">
            <w:pPr>
              <w:jc w:val="both"/>
              <w:rPr>
                <w:b/>
                <w:szCs w:val="24"/>
                <w:lang w:eastAsia="lt-LT"/>
              </w:rPr>
            </w:pPr>
          </w:p>
          <w:p w14:paraId="658ADC13" w14:textId="1B29A2A4" w:rsidR="00B611A0" w:rsidRDefault="00B611A0">
            <w:pPr>
              <w:jc w:val="both"/>
              <w:rPr>
                <w:b/>
                <w:szCs w:val="24"/>
                <w:lang w:eastAsia="lt-LT"/>
              </w:rPr>
            </w:pPr>
          </w:p>
          <w:p w14:paraId="275129F9" w14:textId="6FC3F85E" w:rsidR="00B611A0" w:rsidRDefault="00B611A0">
            <w:pPr>
              <w:jc w:val="both"/>
              <w:rPr>
                <w:b/>
                <w:szCs w:val="24"/>
                <w:lang w:eastAsia="lt-LT"/>
              </w:rPr>
            </w:pPr>
          </w:p>
          <w:p w14:paraId="4C1C0FDB" w14:textId="77777777" w:rsidR="00B611A0" w:rsidRDefault="00B611A0">
            <w:pPr>
              <w:jc w:val="both"/>
              <w:rPr>
                <w:b/>
                <w:szCs w:val="24"/>
                <w:lang w:eastAsia="lt-LT"/>
              </w:rPr>
            </w:pPr>
          </w:p>
          <w:p w14:paraId="46B6302E" w14:textId="77777777" w:rsidR="006F6213" w:rsidRDefault="006F6213">
            <w:pPr>
              <w:jc w:val="both"/>
              <w:rPr>
                <w:b/>
                <w:szCs w:val="24"/>
                <w:lang w:eastAsia="lt-LT"/>
              </w:rPr>
            </w:pPr>
          </w:p>
          <w:p w14:paraId="25F4D47B" w14:textId="1B10D1DB" w:rsidR="001A101C" w:rsidRDefault="006F6213" w:rsidP="006F6213">
            <w:pPr>
              <w:jc w:val="both"/>
              <w:rPr>
                <w:szCs w:val="24"/>
                <w:lang w:eastAsia="lt-LT"/>
              </w:rPr>
            </w:pPr>
            <w:r>
              <w:rPr>
                <w:b/>
                <w:szCs w:val="24"/>
                <w:lang w:eastAsia="lt-LT"/>
              </w:rPr>
              <w:t>Visiškas.</w:t>
            </w:r>
          </w:p>
        </w:tc>
      </w:tr>
      <w:tr w:rsidR="001A101C" w14:paraId="72F3B6D9" w14:textId="77777777">
        <w:tc>
          <w:tcPr>
            <w:tcW w:w="2094" w:type="pct"/>
            <w:tcBorders>
              <w:top w:val="single" w:sz="4" w:space="0" w:color="auto"/>
              <w:bottom w:val="single" w:sz="4" w:space="0" w:color="auto"/>
            </w:tcBorders>
          </w:tcPr>
          <w:p w14:paraId="4E6641FB" w14:textId="77777777" w:rsidR="001A101C" w:rsidRDefault="00E010E2">
            <w:pPr>
              <w:ind w:firstLine="284"/>
              <w:jc w:val="both"/>
              <w:rPr>
                <w:i/>
                <w:szCs w:val="24"/>
                <w:lang w:eastAsia="lt-LT"/>
              </w:rPr>
            </w:pPr>
            <w:r>
              <w:rPr>
                <w:i/>
                <w:szCs w:val="24"/>
                <w:lang w:eastAsia="lt-LT"/>
              </w:rPr>
              <w:t>6 straipsnis</w:t>
            </w:r>
          </w:p>
          <w:p w14:paraId="43FE0DE1" w14:textId="77777777" w:rsidR="001A101C" w:rsidRDefault="00E010E2">
            <w:pPr>
              <w:ind w:firstLine="284"/>
              <w:jc w:val="both"/>
              <w:rPr>
                <w:b/>
                <w:szCs w:val="24"/>
                <w:lang w:eastAsia="lt-LT"/>
              </w:rPr>
            </w:pPr>
            <w:r>
              <w:rPr>
                <w:b/>
                <w:szCs w:val="24"/>
                <w:lang w:eastAsia="lt-LT"/>
              </w:rPr>
              <w:t>Dujų tiekimo standartas</w:t>
            </w:r>
          </w:p>
          <w:p w14:paraId="04674676" w14:textId="77777777" w:rsidR="001A101C" w:rsidRDefault="00E010E2">
            <w:pPr>
              <w:ind w:firstLine="284"/>
              <w:jc w:val="both"/>
              <w:rPr>
                <w:szCs w:val="24"/>
                <w:lang w:eastAsia="lt-LT"/>
              </w:rPr>
            </w:pPr>
            <w:r>
              <w:rPr>
                <w:szCs w:val="24"/>
                <w:lang w:eastAsia="lt-LT"/>
              </w:rPr>
              <w:t xml:space="preserve">1. Kompetentinga institucija reikalauja, kad jos nustatytos gamtinių dujų įmonės imtųsi priemonių, kuriomis būtų užtikrintas dujų tiekimas valstybės narės saugomiems vartotojams kiekvienu iš šių atvejų: </w:t>
            </w:r>
          </w:p>
          <w:p w14:paraId="0906C88E" w14:textId="77777777" w:rsidR="001A101C" w:rsidRDefault="00E010E2">
            <w:pPr>
              <w:ind w:firstLine="284"/>
              <w:jc w:val="both"/>
              <w:rPr>
                <w:szCs w:val="24"/>
                <w:lang w:eastAsia="lt-LT"/>
              </w:rPr>
            </w:pPr>
            <w:r>
              <w:rPr>
                <w:szCs w:val="24"/>
                <w:lang w:eastAsia="lt-LT"/>
              </w:rPr>
              <w:t>a) esant ekstremaliai temperatūrai 7 dienų piko laikotarpiu, kuris pagal statistinę tikimybę pasitaiko kartą per 20 metų;</w:t>
            </w:r>
          </w:p>
          <w:p w14:paraId="64489F17" w14:textId="77777777" w:rsidR="001A101C" w:rsidRDefault="00E010E2">
            <w:pPr>
              <w:ind w:firstLine="284"/>
              <w:jc w:val="both"/>
              <w:rPr>
                <w:szCs w:val="24"/>
                <w:lang w:eastAsia="lt-LT"/>
              </w:rPr>
            </w:pPr>
            <w:r>
              <w:rPr>
                <w:szCs w:val="24"/>
                <w:lang w:eastAsia="lt-LT"/>
              </w:rPr>
              <w:t xml:space="preserve">b) 30 dienų išskirtinai didelio dujų poreikio laikotarpiu, kuris pagal statistinę tikimybę pasitaiko kartą per 20 metų; </w:t>
            </w:r>
          </w:p>
          <w:p w14:paraId="510C1557" w14:textId="77777777" w:rsidR="001A101C" w:rsidRDefault="00E010E2">
            <w:pPr>
              <w:ind w:firstLine="284"/>
              <w:jc w:val="both"/>
              <w:rPr>
                <w:szCs w:val="24"/>
                <w:lang w:eastAsia="lt-LT"/>
              </w:rPr>
            </w:pPr>
            <w:r>
              <w:rPr>
                <w:szCs w:val="24"/>
                <w:lang w:eastAsia="lt-LT"/>
              </w:rPr>
              <w:t>c) 30 dienų laikotarpiu vidutinėmis žiemos sąlygomis sutrikus vienos didžiausios dujų infrastruktūros veikimui. &lt;...&gt;</w:t>
            </w:r>
          </w:p>
        </w:tc>
        <w:tc>
          <w:tcPr>
            <w:tcW w:w="2000" w:type="pct"/>
            <w:tcBorders>
              <w:top w:val="single" w:sz="4" w:space="0" w:color="auto"/>
              <w:bottom w:val="single" w:sz="4" w:space="0" w:color="auto"/>
            </w:tcBorders>
          </w:tcPr>
          <w:p w14:paraId="13E03A9F" w14:textId="77777777" w:rsidR="00CA788A" w:rsidRDefault="00CA788A">
            <w:pPr>
              <w:ind w:firstLine="284"/>
              <w:jc w:val="both"/>
              <w:rPr>
                <w:b/>
                <w:bCs/>
                <w:color w:val="000000"/>
                <w:szCs w:val="24"/>
                <w:lang w:eastAsia="lt-LT"/>
              </w:rPr>
            </w:pPr>
          </w:p>
          <w:p w14:paraId="05F9C082" w14:textId="22A44B0F" w:rsidR="007F2DE3" w:rsidRDefault="007F2DE3">
            <w:pPr>
              <w:ind w:firstLine="284"/>
              <w:jc w:val="both"/>
              <w:rPr>
                <w:b/>
                <w:bCs/>
                <w:color w:val="000000"/>
                <w:szCs w:val="24"/>
                <w:lang w:eastAsia="lt-LT"/>
              </w:rPr>
            </w:pPr>
            <w:r>
              <w:rPr>
                <w:b/>
                <w:bCs/>
                <w:color w:val="000000"/>
                <w:szCs w:val="24"/>
                <w:lang w:eastAsia="lt-LT"/>
              </w:rPr>
              <w:t>1.2.4 papunktis</w:t>
            </w:r>
          </w:p>
          <w:p w14:paraId="61501E8D" w14:textId="77777777" w:rsidR="00D04C7C" w:rsidRDefault="00D04C7C" w:rsidP="00684B48">
            <w:pPr>
              <w:ind w:firstLine="284"/>
              <w:jc w:val="both"/>
              <w:rPr>
                <w:rFonts w:eastAsia="Calibri"/>
                <w:szCs w:val="24"/>
              </w:rPr>
            </w:pPr>
          </w:p>
          <w:p w14:paraId="71C0ED4D" w14:textId="77777777" w:rsidR="00684B48" w:rsidRDefault="00684B48" w:rsidP="00684B48">
            <w:pPr>
              <w:keepNext/>
              <w:keepLines/>
              <w:widowControl w:val="0"/>
              <w:tabs>
                <w:tab w:val="right" w:pos="9071"/>
              </w:tabs>
              <w:ind w:firstLine="284"/>
              <w:jc w:val="both"/>
              <w:rPr>
                <w:color w:val="000000"/>
                <w:lang w:eastAsia="lt-LT"/>
              </w:rPr>
            </w:pPr>
            <w:r w:rsidRPr="367D6B2F">
              <w:rPr>
                <w:lang w:eastAsia="lt-LT"/>
              </w:rPr>
              <w:t>1.2.4. Pakeisti III skyriaus pavadinimą ir jį išdėstyti taip:</w:t>
            </w:r>
          </w:p>
          <w:p w14:paraId="115C9731" w14:textId="77777777" w:rsidR="00684B48" w:rsidRPr="00A70B18" w:rsidRDefault="00684B48" w:rsidP="00684B48">
            <w:pPr>
              <w:keepNext/>
              <w:keepLines/>
              <w:widowControl w:val="0"/>
              <w:tabs>
                <w:tab w:val="right" w:pos="9071"/>
              </w:tabs>
              <w:jc w:val="center"/>
              <w:rPr>
                <w:caps/>
                <w:color w:val="000000"/>
                <w:szCs w:val="24"/>
              </w:rPr>
            </w:pPr>
            <w:r w:rsidRPr="009D7A44">
              <w:rPr>
                <w:caps/>
                <w:color w:val="000000"/>
                <w:szCs w:val="24"/>
              </w:rPr>
              <w:t>„</w:t>
            </w:r>
            <w:r w:rsidRPr="003A0C29">
              <w:rPr>
                <w:b/>
                <w:bCs/>
                <w:caps/>
                <w:color w:val="000000"/>
                <w:szCs w:val="24"/>
              </w:rPr>
              <w:t>III SKYRIUS</w:t>
            </w:r>
          </w:p>
          <w:p w14:paraId="2820DBCA" w14:textId="6E9ECF58" w:rsidR="00684B48" w:rsidRDefault="006D0225" w:rsidP="00684B48">
            <w:pPr>
              <w:widowControl w:val="0"/>
              <w:tabs>
                <w:tab w:val="right" w:pos="9071"/>
              </w:tabs>
              <w:suppressAutoHyphens/>
              <w:jc w:val="center"/>
            </w:pPr>
            <w:r w:rsidRPr="008C6AE7">
              <w:rPr>
                <w:b/>
              </w:rPr>
              <w:t xml:space="preserve">DUJŲ </w:t>
            </w:r>
            <w:r>
              <w:rPr>
                <w:b/>
              </w:rPr>
              <w:t xml:space="preserve">TIEKIMO PATIKIMUMO UŽTIKRINIMO PRIEMONĖS PAŽEIDŽIAMIEMS </w:t>
            </w:r>
            <w:r w:rsidRPr="008C6AE7">
              <w:rPr>
                <w:b/>
              </w:rPr>
              <w:t>VARTOTOJAMS</w:t>
            </w:r>
            <w:r>
              <w:rPr>
                <w:b/>
              </w:rPr>
              <w:t xml:space="preserve"> IR JŲ TAIKYMO </w:t>
            </w:r>
            <w:r w:rsidRPr="008C6AE7">
              <w:rPr>
                <w:b/>
              </w:rPr>
              <w:t>TVARKA</w:t>
            </w:r>
            <w:r w:rsidR="00684B48">
              <w:rPr>
                <w:bCs/>
              </w:rPr>
              <w:t>“</w:t>
            </w:r>
            <w:r>
              <w:rPr>
                <w:bCs/>
              </w:rPr>
              <w:t>.</w:t>
            </w:r>
          </w:p>
          <w:p w14:paraId="63917C76" w14:textId="77777777" w:rsidR="00FB5B90" w:rsidRPr="00CA788A" w:rsidRDefault="00FB5B90" w:rsidP="00FB5B90">
            <w:pPr>
              <w:ind w:firstLine="284"/>
              <w:jc w:val="both"/>
              <w:rPr>
                <w:color w:val="000000"/>
                <w:szCs w:val="24"/>
                <w:lang w:eastAsia="lt-LT"/>
              </w:rPr>
            </w:pPr>
          </w:p>
          <w:p w14:paraId="7F7DB40C" w14:textId="582020A7" w:rsidR="00FB5B90" w:rsidRDefault="00FB5B90" w:rsidP="00FB5B90">
            <w:pPr>
              <w:ind w:firstLine="284"/>
              <w:jc w:val="both"/>
              <w:rPr>
                <w:b/>
                <w:bCs/>
                <w:color w:val="000000"/>
                <w:szCs w:val="24"/>
                <w:lang w:eastAsia="lt-LT"/>
              </w:rPr>
            </w:pPr>
            <w:r>
              <w:rPr>
                <w:b/>
                <w:bCs/>
                <w:color w:val="000000"/>
                <w:szCs w:val="24"/>
                <w:lang w:eastAsia="lt-LT"/>
              </w:rPr>
              <w:t>1.2.5 papunktis</w:t>
            </w:r>
          </w:p>
          <w:p w14:paraId="78B24687" w14:textId="77777777" w:rsidR="00FB5B90" w:rsidRDefault="00FB5B90" w:rsidP="00684B48">
            <w:pPr>
              <w:tabs>
                <w:tab w:val="left" w:pos="1418"/>
              </w:tabs>
              <w:ind w:firstLine="284"/>
              <w:jc w:val="both"/>
              <w:rPr>
                <w:szCs w:val="24"/>
                <w:lang w:eastAsia="lt-LT"/>
              </w:rPr>
            </w:pPr>
          </w:p>
          <w:p w14:paraId="0F9C9593" w14:textId="7EAE1D98" w:rsidR="00684B48" w:rsidRPr="00AB0C99" w:rsidRDefault="00684B48" w:rsidP="00684B48">
            <w:pPr>
              <w:tabs>
                <w:tab w:val="left" w:pos="1418"/>
              </w:tabs>
              <w:ind w:firstLine="284"/>
              <w:jc w:val="both"/>
              <w:rPr>
                <w:szCs w:val="24"/>
                <w:lang w:eastAsia="lt-LT"/>
              </w:rPr>
            </w:pPr>
            <w:r>
              <w:rPr>
                <w:szCs w:val="24"/>
                <w:lang w:eastAsia="lt-LT"/>
              </w:rPr>
              <w:t xml:space="preserve">1.2.5. </w:t>
            </w:r>
            <w:r w:rsidRPr="00AB0C99">
              <w:rPr>
                <w:szCs w:val="24"/>
                <w:lang w:eastAsia="lt-LT"/>
              </w:rPr>
              <w:t>Pakeisti 1</w:t>
            </w:r>
            <w:r>
              <w:rPr>
                <w:szCs w:val="24"/>
                <w:lang w:eastAsia="lt-LT"/>
              </w:rPr>
              <w:t>2</w:t>
            </w:r>
            <w:r w:rsidRPr="00AB0C99">
              <w:rPr>
                <w:szCs w:val="24"/>
                <w:lang w:eastAsia="lt-LT"/>
              </w:rPr>
              <w:t xml:space="preserve"> punktą ir jį išdėstyti taip:</w:t>
            </w:r>
          </w:p>
          <w:p w14:paraId="0522DCEE" w14:textId="2761C56B" w:rsidR="00684B48" w:rsidRDefault="00684B48" w:rsidP="00684B48">
            <w:pPr>
              <w:ind w:firstLine="284"/>
              <w:jc w:val="both"/>
              <w:rPr>
                <w:bCs/>
              </w:rPr>
            </w:pPr>
            <w:r>
              <w:rPr>
                <w:color w:val="000000"/>
                <w:szCs w:val="24"/>
                <w:lang w:eastAsia="lt-LT"/>
              </w:rPr>
              <w:t>„</w:t>
            </w:r>
            <w:r>
              <w:rPr>
                <w:rFonts w:eastAsia="Calibri"/>
                <w:color w:val="000000"/>
                <w:szCs w:val="24"/>
              </w:rPr>
              <w:t xml:space="preserve">12. </w:t>
            </w:r>
            <w:r w:rsidR="00B311C0">
              <w:rPr>
                <w:bCs/>
              </w:rPr>
              <w:t xml:space="preserve">Tiekimo įmonės yra atsakingos už nenutrūkstamą dujų tiekimą </w:t>
            </w:r>
            <w:r w:rsidR="00B311C0" w:rsidRPr="00886287">
              <w:rPr>
                <w:bCs/>
              </w:rPr>
              <w:t>pažeidžiamiems</w:t>
            </w:r>
            <w:r w:rsidR="00B311C0">
              <w:rPr>
                <w:bCs/>
              </w:rPr>
              <w:t xml:space="preserve"> vartotojams. Tiekimo įmonės </w:t>
            </w:r>
            <w:r w:rsidR="00B311C0" w:rsidRPr="00886287">
              <w:rPr>
                <w:bCs/>
              </w:rPr>
              <w:t>pažeidžiamiems</w:t>
            </w:r>
            <w:r w:rsidR="00B311C0">
              <w:rPr>
                <w:bCs/>
              </w:rPr>
              <w:t xml:space="preserve"> vartotojams, kuriems jos tiekia dujas, </w:t>
            </w:r>
            <w:r w:rsidR="00B311C0" w:rsidRPr="00751392">
              <w:rPr>
                <w:bCs/>
              </w:rPr>
              <w:t>privalo</w:t>
            </w:r>
            <w:r w:rsidR="00B311C0" w:rsidRPr="005B0056">
              <w:rPr>
                <w:bCs/>
                <w:strike/>
              </w:rPr>
              <w:t xml:space="preserve"> </w:t>
            </w:r>
            <w:r w:rsidR="00B311C0" w:rsidRPr="00886287">
              <w:t>taikyti toliau nurodytas priemones, kurios kartu užtikrintų tokius dujų tiekimo kiekius,</w:t>
            </w:r>
            <w:r w:rsidR="00B311C0">
              <w:t xml:space="preserve"> kurių užtektų </w:t>
            </w:r>
            <w:r w:rsidR="00B311C0" w:rsidRPr="00886287">
              <w:rPr>
                <w:bCs/>
              </w:rPr>
              <w:t>pažeidžiamų</w:t>
            </w:r>
            <w:r w:rsidR="00B311C0">
              <w:rPr>
                <w:bCs/>
              </w:rPr>
              <w:t xml:space="preserve"> </w:t>
            </w:r>
            <w:r w:rsidR="00B311C0">
              <w:t>vartotojų dujų poreikiui tenkinti Reglamento (ES) 2017/1938 6 straipsnio 1 dalyje nustatytais atvejais. Atsižvelgiant į tai</w:t>
            </w:r>
            <w:r w:rsidR="00B311C0" w:rsidRPr="00886287">
              <w:t xml:space="preserve">, kasmet, ne vėliau kaip iki rugsėjo 1 d., tiekimo įmonės privalo įgyvendinti </w:t>
            </w:r>
            <w:r w:rsidR="00EF08EF">
              <w:t xml:space="preserve">ir nuolat taikyti </w:t>
            </w:r>
            <w:r w:rsidR="00B311C0" w:rsidRPr="00886287">
              <w:t>bent dvi nurodytas priemones</w:t>
            </w:r>
            <w:r w:rsidRPr="00D80BC5">
              <w:t>:</w:t>
            </w:r>
          </w:p>
          <w:p w14:paraId="2582569A" w14:textId="77777777" w:rsidR="00684B48" w:rsidRPr="0048610F" w:rsidRDefault="00684B48" w:rsidP="00684B48">
            <w:pPr>
              <w:widowControl w:val="0"/>
              <w:tabs>
                <w:tab w:val="left" w:pos="993"/>
                <w:tab w:val="right" w:pos="9071"/>
              </w:tabs>
              <w:suppressAutoHyphens/>
              <w:ind w:firstLine="284"/>
              <w:jc w:val="both"/>
              <w:rPr>
                <w:rFonts w:eastAsia="Calibri"/>
                <w:color w:val="000000"/>
                <w:szCs w:val="24"/>
              </w:rPr>
            </w:pPr>
            <w:r w:rsidRPr="0048610F">
              <w:t>12.1. sukaupti ir laikyti dujų atsargų kiekį;</w:t>
            </w:r>
          </w:p>
          <w:p w14:paraId="14411802" w14:textId="66C296D0" w:rsidR="00684B48" w:rsidRPr="0048610F" w:rsidRDefault="00684B48" w:rsidP="00684B48">
            <w:pPr>
              <w:widowControl w:val="0"/>
              <w:tabs>
                <w:tab w:val="right" w:pos="9071"/>
              </w:tabs>
              <w:ind w:firstLine="284"/>
              <w:jc w:val="both"/>
            </w:pPr>
            <w:r w:rsidRPr="0048610F">
              <w:t xml:space="preserve">12.2. </w:t>
            </w:r>
            <w:r w:rsidR="00E22D47" w:rsidRPr="008D564E">
              <w:t xml:space="preserve">turėti sutartį dėl dujų, kurios įsigyjamos </w:t>
            </w:r>
            <w:r w:rsidR="00E22D47" w:rsidRPr="008D564E">
              <w:lastRenderedPageBreak/>
              <w:t>diversifikuojant dujų tiekimo šaltinius pagal dujų kilmės šalis, tiekimo per suskystintų gamtinių dujų terminalą</w:t>
            </w:r>
            <w:r w:rsidRPr="0048610F">
              <w:t>;</w:t>
            </w:r>
          </w:p>
          <w:p w14:paraId="2042B1D6" w14:textId="77777777" w:rsidR="00684B48" w:rsidRPr="0048610F" w:rsidRDefault="00684B48" w:rsidP="00684B48">
            <w:pPr>
              <w:widowControl w:val="0"/>
              <w:tabs>
                <w:tab w:val="right" w:pos="9071"/>
              </w:tabs>
              <w:ind w:firstLine="284"/>
              <w:jc w:val="both"/>
              <w:rPr>
                <w:color w:val="000000"/>
                <w:szCs w:val="24"/>
                <w:lang w:eastAsia="lt-LT"/>
              </w:rPr>
            </w:pPr>
            <w:r w:rsidRPr="0048610F">
              <w:t>12.3. turėti sutartį dėl dujų tiekimo vamzdynais į Lietuvą;</w:t>
            </w:r>
          </w:p>
          <w:p w14:paraId="39AD1F8E" w14:textId="77777777" w:rsidR="00684B48" w:rsidRPr="0048610F" w:rsidRDefault="00684B48" w:rsidP="00684B48">
            <w:pPr>
              <w:widowControl w:val="0"/>
              <w:tabs>
                <w:tab w:val="right" w:pos="9071"/>
              </w:tabs>
              <w:ind w:firstLine="284"/>
              <w:jc w:val="both"/>
            </w:pPr>
            <w:r w:rsidRPr="0048610F">
              <w:rPr>
                <w:color w:val="000000"/>
                <w:szCs w:val="24"/>
                <w:lang w:eastAsia="lt-LT"/>
              </w:rPr>
              <w:t xml:space="preserve">12.4. </w:t>
            </w:r>
            <w:r w:rsidRPr="0048610F">
              <w:t>turėti sutartį dėl nenutrūkstamo dujų tiekimo su kita dujų atsargas kaupiančia ir saugančia dujų įmone;</w:t>
            </w:r>
          </w:p>
          <w:p w14:paraId="41A068FF" w14:textId="71215670" w:rsidR="00684B48" w:rsidRDefault="00196586" w:rsidP="00684B48">
            <w:pPr>
              <w:widowControl w:val="0"/>
              <w:tabs>
                <w:tab w:val="right" w:pos="9071"/>
              </w:tabs>
              <w:ind w:firstLine="284"/>
              <w:jc w:val="both"/>
            </w:pPr>
            <w:r w:rsidRPr="00196586">
              <w:t xml:space="preserve">12.5. </w:t>
            </w:r>
            <w:r w:rsidRPr="00196586">
              <w:rPr>
                <w:szCs w:val="24"/>
              </w:rPr>
              <w:t xml:space="preserve">dujų pirkimo‒pardavimo sutartyse </w:t>
            </w:r>
            <w:r w:rsidR="003E591C">
              <w:rPr>
                <w:szCs w:val="24"/>
              </w:rPr>
              <w:t xml:space="preserve">įtvirtinti </w:t>
            </w:r>
            <w:r w:rsidRPr="00196586">
              <w:t xml:space="preserve">privalomą pertraukiamųjų pajėgumų, kaip jie apibrėžti </w:t>
            </w:r>
            <w:r w:rsidRPr="00196586">
              <w:rPr>
                <w:szCs w:val="24"/>
              </w:rPr>
              <w:t xml:space="preserve">Reglamento (ES) 2017/1938 2 straipsnio 20 dalyje, </w:t>
            </w:r>
            <w:r w:rsidRPr="00196586">
              <w:t>panaudojimą</w:t>
            </w:r>
            <w:r w:rsidR="00684B48" w:rsidRPr="0048610F">
              <w:t>.</w:t>
            </w:r>
            <w:r w:rsidR="00684B48" w:rsidRPr="00487D2E">
              <w:t>“</w:t>
            </w:r>
          </w:p>
          <w:p w14:paraId="171616DA" w14:textId="45776331" w:rsidR="00FB5B90" w:rsidRDefault="00FB5B90" w:rsidP="00684B48">
            <w:pPr>
              <w:widowControl w:val="0"/>
              <w:tabs>
                <w:tab w:val="right" w:pos="9071"/>
              </w:tabs>
              <w:ind w:firstLine="284"/>
              <w:jc w:val="both"/>
            </w:pPr>
          </w:p>
          <w:p w14:paraId="029BAC9B" w14:textId="1896ACFA" w:rsidR="00FB5B90" w:rsidRDefault="00FB5B90" w:rsidP="00FB5B90">
            <w:pPr>
              <w:ind w:firstLine="284"/>
              <w:jc w:val="both"/>
              <w:rPr>
                <w:b/>
                <w:bCs/>
                <w:color w:val="000000"/>
                <w:szCs w:val="24"/>
                <w:lang w:eastAsia="lt-LT"/>
              </w:rPr>
            </w:pPr>
            <w:r>
              <w:rPr>
                <w:b/>
                <w:bCs/>
                <w:color w:val="000000"/>
                <w:szCs w:val="24"/>
                <w:lang w:eastAsia="lt-LT"/>
              </w:rPr>
              <w:t>1.2.6 papunktis</w:t>
            </w:r>
          </w:p>
          <w:p w14:paraId="102518E8" w14:textId="77777777" w:rsidR="00FB5B90" w:rsidRPr="00FB5B90" w:rsidRDefault="00FB5B90" w:rsidP="00684B48">
            <w:pPr>
              <w:widowControl w:val="0"/>
              <w:tabs>
                <w:tab w:val="right" w:pos="9071"/>
              </w:tabs>
              <w:ind w:firstLine="284"/>
              <w:jc w:val="both"/>
            </w:pPr>
          </w:p>
          <w:p w14:paraId="41E8D361" w14:textId="77777777" w:rsidR="00684B48" w:rsidRPr="00AB0C99" w:rsidRDefault="00684B48" w:rsidP="00684B48">
            <w:pPr>
              <w:tabs>
                <w:tab w:val="left" w:pos="1418"/>
              </w:tabs>
              <w:ind w:firstLine="284"/>
              <w:jc w:val="both"/>
              <w:rPr>
                <w:szCs w:val="24"/>
                <w:lang w:eastAsia="lt-LT"/>
              </w:rPr>
            </w:pPr>
            <w:r>
              <w:rPr>
                <w:szCs w:val="24"/>
                <w:lang w:eastAsia="lt-LT"/>
              </w:rPr>
              <w:t xml:space="preserve">1.2.6. </w:t>
            </w:r>
            <w:r w:rsidRPr="00AB0C99">
              <w:rPr>
                <w:szCs w:val="24"/>
                <w:lang w:eastAsia="lt-LT"/>
              </w:rPr>
              <w:t>Pakeisti 1</w:t>
            </w:r>
            <w:r>
              <w:rPr>
                <w:szCs w:val="24"/>
                <w:lang w:eastAsia="lt-LT"/>
              </w:rPr>
              <w:t>6</w:t>
            </w:r>
            <w:r w:rsidRPr="00AB0C99">
              <w:rPr>
                <w:szCs w:val="24"/>
                <w:lang w:eastAsia="lt-LT"/>
              </w:rPr>
              <w:t xml:space="preserve"> punktą ir jį išdėstyti taip:</w:t>
            </w:r>
            <w:r>
              <w:rPr>
                <w:szCs w:val="24"/>
                <w:lang w:eastAsia="lt-LT"/>
              </w:rPr>
              <w:t xml:space="preserve"> </w:t>
            </w:r>
          </w:p>
          <w:p w14:paraId="36668F67" w14:textId="70DF4F79" w:rsidR="00D10082" w:rsidRDefault="00684B48" w:rsidP="00FB5B90">
            <w:pPr>
              <w:widowControl w:val="0"/>
              <w:tabs>
                <w:tab w:val="right" w:pos="9071"/>
              </w:tabs>
              <w:ind w:firstLine="284"/>
              <w:jc w:val="both"/>
              <w:rPr>
                <w:szCs w:val="24"/>
              </w:rPr>
            </w:pPr>
            <w:r>
              <w:rPr>
                <w:color w:val="000000"/>
                <w:szCs w:val="24"/>
                <w:lang w:eastAsia="lt-LT"/>
              </w:rPr>
              <w:t>„</w:t>
            </w:r>
            <w:r>
              <w:t xml:space="preserve">16. </w:t>
            </w:r>
            <w:r>
              <w:rPr>
                <w:bCs/>
              </w:rPr>
              <w:t xml:space="preserve">Dujų tiekimo nutraukimo atveju vamzdyne esančios dujų atsargos, atsižvelgiant į technines dujų sistemos galimybes, naudojamos tik </w:t>
            </w:r>
            <w:r w:rsidRPr="00C26362">
              <w:rPr>
                <w:bCs/>
              </w:rPr>
              <w:t>pažeidžiamų</w:t>
            </w:r>
            <w:r>
              <w:rPr>
                <w:bCs/>
              </w:rPr>
              <w:t xml:space="preserve"> vartotojų poreikiams.“</w:t>
            </w:r>
          </w:p>
          <w:p w14:paraId="53850A09" w14:textId="339A02B4" w:rsidR="00D10082" w:rsidRDefault="00D10082" w:rsidP="00D10082">
            <w:pPr>
              <w:ind w:firstLine="284"/>
              <w:jc w:val="both"/>
              <w:rPr>
                <w:szCs w:val="24"/>
              </w:rPr>
            </w:pPr>
          </w:p>
        </w:tc>
        <w:tc>
          <w:tcPr>
            <w:tcW w:w="905" w:type="pct"/>
            <w:tcBorders>
              <w:top w:val="single" w:sz="4" w:space="0" w:color="auto"/>
              <w:bottom w:val="single" w:sz="4" w:space="0" w:color="auto"/>
            </w:tcBorders>
          </w:tcPr>
          <w:p w14:paraId="2C7132A0" w14:textId="77777777" w:rsidR="00D10082" w:rsidRDefault="00D10082">
            <w:pPr>
              <w:ind w:firstLine="284"/>
              <w:jc w:val="both"/>
              <w:rPr>
                <w:b/>
                <w:szCs w:val="24"/>
                <w:lang w:eastAsia="lt-LT"/>
              </w:rPr>
            </w:pPr>
          </w:p>
          <w:p w14:paraId="337F508A" w14:textId="77777777" w:rsidR="00D10082" w:rsidRDefault="00D10082">
            <w:pPr>
              <w:ind w:firstLine="284"/>
              <w:jc w:val="both"/>
              <w:rPr>
                <w:b/>
                <w:szCs w:val="24"/>
                <w:lang w:eastAsia="lt-LT"/>
              </w:rPr>
            </w:pPr>
          </w:p>
          <w:p w14:paraId="092FFE15" w14:textId="5D241BC3" w:rsidR="00D10082" w:rsidRDefault="00D10082">
            <w:pPr>
              <w:ind w:firstLine="284"/>
              <w:jc w:val="both"/>
              <w:rPr>
                <w:b/>
                <w:szCs w:val="24"/>
                <w:lang w:eastAsia="lt-LT"/>
              </w:rPr>
            </w:pPr>
          </w:p>
          <w:p w14:paraId="4D49E14E" w14:textId="26554288" w:rsidR="00B611A0" w:rsidRDefault="00B611A0">
            <w:pPr>
              <w:ind w:firstLine="284"/>
              <w:jc w:val="both"/>
              <w:rPr>
                <w:b/>
                <w:szCs w:val="24"/>
                <w:lang w:eastAsia="lt-LT"/>
              </w:rPr>
            </w:pPr>
          </w:p>
          <w:p w14:paraId="2FE6230A" w14:textId="2ADB02FD" w:rsidR="00B611A0" w:rsidRDefault="00B611A0">
            <w:pPr>
              <w:ind w:firstLine="284"/>
              <w:jc w:val="both"/>
              <w:rPr>
                <w:b/>
                <w:szCs w:val="24"/>
                <w:lang w:eastAsia="lt-LT"/>
              </w:rPr>
            </w:pPr>
          </w:p>
          <w:p w14:paraId="2F0E5AE9" w14:textId="54C25C8F" w:rsidR="00B611A0" w:rsidRDefault="00B611A0">
            <w:pPr>
              <w:ind w:firstLine="284"/>
              <w:jc w:val="both"/>
              <w:rPr>
                <w:b/>
                <w:szCs w:val="24"/>
                <w:lang w:eastAsia="lt-LT"/>
              </w:rPr>
            </w:pPr>
          </w:p>
          <w:p w14:paraId="3F65B177" w14:textId="3B560210" w:rsidR="00B611A0" w:rsidRDefault="00B611A0">
            <w:pPr>
              <w:ind w:firstLine="284"/>
              <w:jc w:val="both"/>
              <w:rPr>
                <w:b/>
                <w:szCs w:val="24"/>
                <w:lang w:eastAsia="lt-LT"/>
              </w:rPr>
            </w:pPr>
          </w:p>
          <w:p w14:paraId="6D9A05DD" w14:textId="77777777" w:rsidR="00B611A0" w:rsidRDefault="00B611A0">
            <w:pPr>
              <w:ind w:firstLine="284"/>
              <w:jc w:val="both"/>
              <w:rPr>
                <w:b/>
                <w:szCs w:val="24"/>
                <w:lang w:eastAsia="lt-LT"/>
              </w:rPr>
            </w:pPr>
          </w:p>
          <w:p w14:paraId="31DEE79E" w14:textId="445F8CA3" w:rsidR="001A101C" w:rsidRDefault="001A101C">
            <w:pPr>
              <w:ind w:firstLine="284"/>
              <w:jc w:val="both"/>
              <w:rPr>
                <w:b/>
                <w:szCs w:val="24"/>
                <w:lang w:eastAsia="lt-LT"/>
              </w:rPr>
            </w:pPr>
          </w:p>
          <w:p w14:paraId="4F6864E6" w14:textId="20A30FA6" w:rsidR="001A101C" w:rsidRPr="00D10082" w:rsidRDefault="00E010E2">
            <w:pPr>
              <w:ind w:firstLine="284"/>
              <w:jc w:val="both"/>
              <w:rPr>
                <w:b/>
                <w:bCs/>
                <w:szCs w:val="24"/>
                <w:lang w:eastAsia="lt-LT"/>
              </w:rPr>
            </w:pPr>
            <w:r w:rsidRPr="00D10082">
              <w:rPr>
                <w:b/>
                <w:bCs/>
                <w:szCs w:val="24"/>
                <w:lang w:eastAsia="lt-LT"/>
              </w:rPr>
              <w:t>Visiškas</w:t>
            </w:r>
            <w:r w:rsidR="00D10082">
              <w:rPr>
                <w:b/>
                <w:bCs/>
                <w:szCs w:val="24"/>
                <w:lang w:eastAsia="lt-LT"/>
              </w:rPr>
              <w:t>.</w:t>
            </w:r>
            <w:r w:rsidRPr="00D10082">
              <w:rPr>
                <w:b/>
                <w:bCs/>
                <w:szCs w:val="24"/>
                <w:lang w:eastAsia="lt-LT"/>
              </w:rPr>
              <w:t xml:space="preserve"> </w:t>
            </w:r>
          </w:p>
        </w:tc>
      </w:tr>
    </w:tbl>
    <w:p w14:paraId="0ABAA73C" w14:textId="77777777" w:rsidR="001A101C" w:rsidRDefault="001A101C">
      <w:pPr>
        <w:ind w:firstLine="284"/>
        <w:jc w:val="both"/>
        <w:rPr>
          <w:szCs w:val="24"/>
        </w:rPr>
      </w:pPr>
    </w:p>
    <w:p w14:paraId="35AE5AC6" w14:textId="77777777" w:rsidR="001A101C" w:rsidRDefault="00E010E2">
      <w:pPr>
        <w:ind w:firstLine="284"/>
        <w:jc w:val="center"/>
        <w:rPr>
          <w:szCs w:val="24"/>
        </w:rPr>
      </w:pPr>
      <w:r>
        <w:rPr>
          <w:szCs w:val="24"/>
        </w:rPr>
        <w:t>______________________________</w:t>
      </w:r>
    </w:p>
    <w:sectPr w:rsidR="001A101C">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1134" w:left="1418" w:header="0"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2465" w14:textId="77777777" w:rsidR="00B4703C" w:rsidRDefault="00B4703C">
      <w:pPr>
        <w:jc w:val="both"/>
        <w:rPr>
          <w:rFonts w:ascii="Arial" w:hAnsi="Arial"/>
          <w:sz w:val="20"/>
        </w:rPr>
      </w:pPr>
      <w:r>
        <w:rPr>
          <w:rFonts w:ascii="Arial" w:hAnsi="Arial"/>
          <w:sz w:val="20"/>
        </w:rPr>
        <w:separator/>
      </w:r>
    </w:p>
  </w:endnote>
  <w:endnote w:type="continuationSeparator" w:id="0">
    <w:p w14:paraId="769850E6" w14:textId="77777777" w:rsidR="00B4703C" w:rsidRDefault="00B4703C">
      <w:pPr>
        <w:jc w:val="both"/>
        <w:rPr>
          <w:rFonts w:ascii="Arial" w:hAnsi="Arial"/>
          <w:sz w:val="20"/>
        </w:rPr>
      </w:pPr>
      <w:r>
        <w:rPr>
          <w:rFonts w:ascii="Arial" w:hAnsi="Arial"/>
          <w:sz w:val="20"/>
        </w:rPr>
        <w:continuationSeparator/>
      </w:r>
    </w:p>
  </w:endnote>
  <w:endnote w:type="continuationNotice" w:id="1">
    <w:p w14:paraId="43BF5D01" w14:textId="77777777" w:rsidR="00B4703C" w:rsidRDefault="00B47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ED13" w14:textId="77777777" w:rsidR="001A101C" w:rsidRDefault="001A101C">
    <w:pPr>
      <w:tabs>
        <w:tab w:val="center" w:pos="4819"/>
        <w:tab w:val="right" w:pos="9638"/>
      </w:tabs>
      <w:jc w:val="both"/>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C750" w14:textId="77777777" w:rsidR="001A101C" w:rsidRDefault="001A101C">
    <w:pPr>
      <w:tabs>
        <w:tab w:val="center" w:pos="4819"/>
        <w:tab w:val="right" w:pos="9638"/>
      </w:tabs>
      <w:jc w:val="both"/>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929B" w14:textId="77777777" w:rsidR="001A101C" w:rsidRDefault="001A101C">
    <w:pPr>
      <w:tabs>
        <w:tab w:val="center" w:pos="4819"/>
        <w:tab w:val="right" w:pos="9638"/>
      </w:tabs>
      <w:jc w:val="both"/>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7B24" w14:textId="77777777" w:rsidR="00B4703C" w:rsidRDefault="00B4703C">
      <w:pPr>
        <w:jc w:val="both"/>
        <w:rPr>
          <w:rFonts w:ascii="Arial" w:hAnsi="Arial"/>
          <w:sz w:val="20"/>
        </w:rPr>
      </w:pPr>
      <w:r>
        <w:rPr>
          <w:rFonts w:ascii="Arial" w:hAnsi="Arial"/>
          <w:sz w:val="20"/>
        </w:rPr>
        <w:separator/>
      </w:r>
    </w:p>
  </w:footnote>
  <w:footnote w:type="continuationSeparator" w:id="0">
    <w:p w14:paraId="2A96E1F9" w14:textId="77777777" w:rsidR="00B4703C" w:rsidRDefault="00B4703C">
      <w:pPr>
        <w:jc w:val="both"/>
        <w:rPr>
          <w:rFonts w:ascii="Arial" w:hAnsi="Arial"/>
          <w:sz w:val="20"/>
        </w:rPr>
      </w:pPr>
      <w:r>
        <w:rPr>
          <w:rFonts w:ascii="Arial" w:hAnsi="Arial"/>
          <w:sz w:val="20"/>
        </w:rPr>
        <w:continuationSeparator/>
      </w:r>
    </w:p>
  </w:footnote>
  <w:footnote w:type="continuationNotice" w:id="1">
    <w:p w14:paraId="217D47A8" w14:textId="77777777" w:rsidR="00B4703C" w:rsidRDefault="00B47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6433" w14:textId="77777777" w:rsidR="001A101C" w:rsidRDefault="001A101C">
    <w:pPr>
      <w:tabs>
        <w:tab w:val="center" w:pos="4819"/>
        <w:tab w:val="right" w:pos="9638"/>
      </w:tabs>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4684" w14:textId="77777777" w:rsidR="001A101C" w:rsidRDefault="001A101C">
    <w:pPr>
      <w:tabs>
        <w:tab w:val="center" w:pos="4819"/>
        <w:tab w:val="right" w:pos="9638"/>
      </w:tabs>
      <w:jc w:val="center"/>
      <w:rPr>
        <w:rFonts w:ascii="Arial" w:hAnsi="Arial"/>
        <w:sz w:val="20"/>
      </w:rPr>
    </w:pPr>
  </w:p>
  <w:p w14:paraId="6BB3F02C" w14:textId="77777777" w:rsidR="001A101C" w:rsidRDefault="00E010E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14:paraId="7111A6FE" w14:textId="77777777" w:rsidR="001A101C" w:rsidRDefault="001A101C">
    <w:pPr>
      <w:tabs>
        <w:tab w:val="left" w:pos="2734"/>
      </w:tabs>
      <w:jc w:val="both"/>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C7BF" w14:textId="77777777" w:rsidR="001A101C" w:rsidRDefault="001A101C">
    <w:pPr>
      <w:tabs>
        <w:tab w:val="center" w:pos="4819"/>
        <w:tab w:val="right" w:pos="9638"/>
      </w:tabs>
      <w:jc w:val="both"/>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98"/>
    <w:rsid w:val="000C1936"/>
    <w:rsid w:val="000C3040"/>
    <w:rsid w:val="000D655D"/>
    <w:rsid w:val="000F04E5"/>
    <w:rsid w:val="00167598"/>
    <w:rsid w:val="001823CE"/>
    <w:rsid w:val="00196586"/>
    <w:rsid w:val="001A101C"/>
    <w:rsid w:val="001A7C0A"/>
    <w:rsid w:val="0023078B"/>
    <w:rsid w:val="0024171A"/>
    <w:rsid w:val="002D20C2"/>
    <w:rsid w:val="00336A05"/>
    <w:rsid w:val="0038011F"/>
    <w:rsid w:val="003A62F8"/>
    <w:rsid w:val="003C5CDE"/>
    <w:rsid w:val="003C7AA4"/>
    <w:rsid w:val="003E591C"/>
    <w:rsid w:val="00411A8C"/>
    <w:rsid w:val="00421537"/>
    <w:rsid w:val="0044303F"/>
    <w:rsid w:val="004C4463"/>
    <w:rsid w:val="004F7FA0"/>
    <w:rsid w:val="005105BD"/>
    <w:rsid w:val="0053489E"/>
    <w:rsid w:val="005728C3"/>
    <w:rsid w:val="005A6855"/>
    <w:rsid w:val="00684B48"/>
    <w:rsid w:val="006B6330"/>
    <w:rsid w:val="006D0225"/>
    <w:rsid w:val="006F6213"/>
    <w:rsid w:val="0070172C"/>
    <w:rsid w:val="0070386C"/>
    <w:rsid w:val="007F2DE3"/>
    <w:rsid w:val="00816798"/>
    <w:rsid w:val="00832567"/>
    <w:rsid w:val="00834C64"/>
    <w:rsid w:val="008A4A13"/>
    <w:rsid w:val="00911E60"/>
    <w:rsid w:val="00981CB6"/>
    <w:rsid w:val="0098339E"/>
    <w:rsid w:val="009F4971"/>
    <w:rsid w:val="00A41867"/>
    <w:rsid w:val="00AC41FE"/>
    <w:rsid w:val="00B311C0"/>
    <w:rsid w:val="00B4703C"/>
    <w:rsid w:val="00B611A0"/>
    <w:rsid w:val="00BB0B8F"/>
    <w:rsid w:val="00BB2327"/>
    <w:rsid w:val="00BC3D63"/>
    <w:rsid w:val="00BE1FE7"/>
    <w:rsid w:val="00C529AA"/>
    <w:rsid w:val="00C57412"/>
    <w:rsid w:val="00CA788A"/>
    <w:rsid w:val="00CC1EC2"/>
    <w:rsid w:val="00CC6D35"/>
    <w:rsid w:val="00CF6EC2"/>
    <w:rsid w:val="00D04C7C"/>
    <w:rsid w:val="00D10082"/>
    <w:rsid w:val="00D16152"/>
    <w:rsid w:val="00D26251"/>
    <w:rsid w:val="00D74C58"/>
    <w:rsid w:val="00DA5997"/>
    <w:rsid w:val="00E010E2"/>
    <w:rsid w:val="00E22D47"/>
    <w:rsid w:val="00E34D15"/>
    <w:rsid w:val="00E52B27"/>
    <w:rsid w:val="00E54E54"/>
    <w:rsid w:val="00EB04EF"/>
    <w:rsid w:val="00ED05F7"/>
    <w:rsid w:val="00EE6B9C"/>
    <w:rsid w:val="00EE7DFA"/>
    <w:rsid w:val="00EF08EF"/>
    <w:rsid w:val="00F74AA9"/>
    <w:rsid w:val="00FB5B90"/>
    <w:rsid w:val="00FD1F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3BDF"/>
  <w15:docId w15:val="{2DA0C452-58BE-48CE-AA71-BE47B90A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D15"/>
    <w:pPr>
      <w:ind w:left="720"/>
      <w:contextualSpacing/>
    </w:pPr>
  </w:style>
  <w:style w:type="paragraph" w:styleId="Revision">
    <w:name w:val="Revision"/>
    <w:hidden/>
    <w:semiHidden/>
    <w:rsid w:val="00D26251"/>
  </w:style>
  <w:style w:type="character" w:styleId="CommentReference">
    <w:name w:val="annotation reference"/>
    <w:basedOn w:val="DefaultParagraphFont"/>
    <w:semiHidden/>
    <w:unhideWhenUsed/>
    <w:rsid w:val="00BE1FE7"/>
    <w:rPr>
      <w:sz w:val="16"/>
      <w:szCs w:val="16"/>
    </w:rPr>
  </w:style>
  <w:style w:type="paragraph" w:styleId="CommentText">
    <w:name w:val="annotation text"/>
    <w:basedOn w:val="Normal"/>
    <w:link w:val="CommentTextChar"/>
    <w:semiHidden/>
    <w:unhideWhenUsed/>
    <w:rsid w:val="00BE1FE7"/>
    <w:rPr>
      <w:sz w:val="20"/>
    </w:rPr>
  </w:style>
  <w:style w:type="character" w:customStyle="1" w:styleId="CommentTextChar">
    <w:name w:val="Comment Text Char"/>
    <w:basedOn w:val="DefaultParagraphFont"/>
    <w:link w:val="CommentText"/>
    <w:semiHidden/>
    <w:rsid w:val="00BE1FE7"/>
    <w:rPr>
      <w:sz w:val="20"/>
    </w:rPr>
  </w:style>
  <w:style w:type="paragraph" w:styleId="CommentSubject">
    <w:name w:val="annotation subject"/>
    <w:basedOn w:val="CommentText"/>
    <w:next w:val="CommentText"/>
    <w:link w:val="CommentSubjectChar"/>
    <w:semiHidden/>
    <w:unhideWhenUsed/>
    <w:rsid w:val="00BE1FE7"/>
    <w:rPr>
      <w:b/>
      <w:bCs/>
    </w:rPr>
  </w:style>
  <w:style w:type="character" w:customStyle="1" w:styleId="CommentSubjectChar">
    <w:name w:val="Comment Subject Char"/>
    <w:basedOn w:val="CommentTextChar"/>
    <w:link w:val="CommentSubject"/>
    <w:semiHidden/>
    <w:rsid w:val="00BE1FE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ur-lex.europa.eu/legal-content/LIT/TXT/?uri=CELEX:32010R0994&amp;locale=lt" TargetMode="External"/><Relationship Id="rId4" Type="http://schemas.openxmlformats.org/officeDocument/2006/relationships/styles" Target="styles.xml"/><Relationship Id="rId9" Type="http://schemas.openxmlformats.org/officeDocument/2006/relationships/hyperlink" Target="http://eur-lex.europa.eu/legal-content/LIT/TXT/?uri=CELEX:31938R2017&amp;local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78B6-7E21-4A3B-AFEC-99C33DC992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10B0A9-330C-4749-8C3F-30B124CE499E}">
  <ds:schemaRefs>
    <ds:schemaRef ds:uri="http://schemas.microsoft.com/sharepoint/v3/contenttype/forms"/>
  </ds:schemaRefs>
</ds:datastoreItem>
</file>

<file path=customXml/itemProps3.xml><?xml version="1.0" encoding="utf-8"?>
<ds:datastoreItem xmlns:ds="http://schemas.openxmlformats.org/officeDocument/2006/customXml" ds:itemID="{FE5EC47F-EEDF-4ED8-A1C8-3A1D9F188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3948</Words>
  <Characters>2251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Braziunas</dc:creator>
  <cp:lastModifiedBy>Gintautas Danaitis</cp:lastModifiedBy>
  <cp:revision>3</cp:revision>
  <cp:lastPrinted>2010-12-09T14:46:00Z</cp:lastPrinted>
  <dcterms:created xsi:type="dcterms:W3CDTF">2022-01-06T12:43:00Z</dcterms:created>
  <dcterms:modified xsi:type="dcterms:W3CDTF">2022-01-06T12:45:00Z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ies>
</file>