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FF8" w:rsidRPr="00CD4FC9" w:rsidRDefault="00721F28">
      <w:pPr>
        <w:pStyle w:val="Standarduser"/>
        <w:jc w:val="center"/>
      </w:pPr>
      <w:r w:rsidRPr="00CD4FC9">
        <w:rPr>
          <w:b/>
          <w:bCs/>
        </w:rPr>
        <w:t>LIETUVOS RESPUBLIKOS SAUGAUS EISMO AUTOMOBILIŲ KELIAIS ĮSTATYMO NR. VIII-2043</w:t>
      </w:r>
      <w:r w:rsidR="00EA5B2E" w:rsidRPr="00CD4FC9">
        <w:rPr>
          <w:b/>
          <w:bCs/>
        </w:rPr>
        <w:t xml:space="preserve"> 2,</w:t>
      </w:r>
      <w:r w:rsidRPr="00CD4FC9">
        <w:rPr>
          <w:b/>
          <w:bCs/>
        </w:rPr>
        <w:t xml:space="preserve"> 10, </w:t>
      </w:r>
      <w:r w:rsidRPr="00CD4FC9">
        <w:rPr>
          <w:b/>
        </w:rPr>
        <w:t>13</w:t>
      </w:r>
      <w:r w:rsidR="00B06BC2" w:rsidRPr="00CD4FC9">
        <w:rPr>
          <w:b/>
        </w:rPr>
        <w:t>, 19</w:t>
      </w:r>
      <w:r w:rsidRPr="00CD4FC9">
        <w:rPr>
          <w:b/>
        </w:rPr>
        <w:t xml:space="preserve"> IR </w:t>
      </w:r>
      <w:r w:rsidRPr="00CD4FC9">
        <w:rPr>
          <w:b/>
          <w:caps/>
        </w:rPr>
        <w:t>27</w:t>
      </w:r>
      <w:r w:rsidRPr="00CD4FC9">
        <w:rPr>
          <w:b/>
          <w:caps/>
          <w:vertAlign w:val="superscript"/>
        </w:rPr>
        <w:t>1</w:t>
      </w:r>
      <w:r w:rsidRPr="00CD4FC9">
        <w:rPr>
          <w:b/>
        </w:rPr>
        <w:t xml:space="preserve"> STRAIPSNIŲ PAKEITIMO </w:t>
      </w:r>
      <w:r w:rsidRPr="00CD4FC9">
        <w:rPr>
          <w:b/>
          <w:bCs/>
        </w:rPr>
        <w:t>ĮSTATYMO PROJEKTO IR LIETUVOS RESPUBLIKOS ADMINISTRACINIŲ NUSIŽENGIMŲ KODEKSO 12, 33, 416, 417, 610 IR 616 STRAIPSNIŲ PAKEITIMO</w:t>
      </w:r>
      <w:r w:rsidRPr="00CD4FC9">
        <w:rPr>
          <w:b/>
        </w:rPr>
        <w:t xml:space="preserve"> ĮSTATYMO PROJEKTO</w:t>
      </w:r>
    </w:p>
    <w:p w:rsidR="00DB6FF8" w:rsidRPr="00CD4FC9" w:rsidRDefault="00721F28">
      <w:pPr>
        <w:pStyle w:val="Standarduser"/>
        <w:jc w:val="center"/>
        <w:rPr>
          <w:b/>
        </w:rPr>
      </w:pPr>
      <w:r w:rsidRPr="00CD4FC9">
        <w:rPr>
          <w:b/>
        </w:rPr>
        <w:t xml:space="preserve"> AIŠKINAMASIS RAŠTAS</w:t>
      </w:r>
    </w:p>
    <w:p w:rsidR="00DB6FF8" w:rsidRPr="00CD4FC9" w:rsidRDefault="00DB6FF8">
      <w:pPr>
        <w:pStyle w:val="Standarduser"/>
        <w:jc w:val="both"/>
        <w:rPr>
          <w:b/>
        </w:rPr>
      </w:pPr>
    </w:p>
    <w:p w:rsidR="00DB6FF8" w:rsidRPr="00CD4FC9" w:rsidRDefault="00721F28">
      <w:pPr>
        <w:pStyle w:val="Standarduser"/>
        <w:tabs>
          <w:tab w:val="left" w:pos="1134"/>
        </w:tabs>
        <w:ind w:firstLine="851"/>
        <w:jc w:val="both"/>
      </w:pPr>
      <w:r w:rsidRPr="00CD4FC9">
        <w:rPr>
          <w:b/>
          <w:bCs/>
          <w:lang w:eastAsia="lt-LT"/>
        </w:rPr>
        <w:t xml:space="preserve">1. Įstatymų projektų rengimą paskatinusios priežastys, </w:t>
      </w:r>
      <w:r w:rsidRPr="00CD4FC9">
        <w:rPr>
          <w:b/>
          <w:bCs/>
          <w:lang w:eastAsia="en-GB"/>
        </w:rPr>
        <w:t>parengtų projektų tikslai ir uždaviniai</w:t>
      </w:r>
    </w:p>
    <w:p w:rsidR="00DB6FF8" w:rsidRPr="00CD4FC9" w:rsidRDefault="00721F28">
      <w:pPr>
        <w:pStyle w:val="Standarduser"/>
        <w:ind w:firstLine="851"/>
        <w:jc w:val="both"/>
      </w:pPr>
      <w:r w:rsidRPr="00CD4FC9">
        <w:t xml:space="preserve">Lietuvos Respublikos saugaus eismo automobilių keliais įstatymo Nr. VIII-2043 </w:t>
      </w:r>
      <w:r w:rsidR="00EA5B2E" w:rsidRPr="00CD4FC9">
        <w:t xml:space="preserve">2, </w:t>
      </w:r>
      <w:r w:rsidRPr="00CD4FC9">
        <w:t>10, 13</w:t>
      </w:r>
      <w:r w:rsidR="00B06BC2" w:rsidRPr="00CD4FC9">
        <w:t>, 19</w:t>
      </w:r>
      <w:r w:rsidRPr="00CD4FC9">
        <w:t xml:space="preserve"> ir 27</w:t>
      </w:r>
      <w:r w:rsidRPr="00CD4FC9">
        <w:rPr>
          <w:vertAlign w:val="superscript"/>
        </w:rPr>
        <w:t>1</w:t>
      </w:r>
      <w:r w:rsidRPr="00CD4FC9">
        <w:t xml:space="preserve"> straipsnių pakeitimo įstatymo projektas (toliau – SEAKĮ projektas) ir Lietuvos Respublikos administracinių nusižengimų kodekso 12, 33, 416, 417, 610 ir 616 straipsnių pakeitimo įstatymo projektas (toliau – ANK projektas) (toliau kartu – Įstatymų projektai) parengti įgyvendinant Valstybinę eismo saugumo programą „Vizija – nulis“, patvirtintą Lietuvos Respublikos Vyriausybės 2020 m. kovo 18 d. nutarimu Nr. 256 „Dėl Valstybinės eismo saugumo programos „Vizija – nulis“ patvirtinimo“ (toliau – Programa).</w:t>
      </w:r>
    </w:p>
    <w:p w:rsidR="00B06BC2" w:rsidRPr="00CD4FC9" w:rsidRDefault="00721F28" w:rsidP="00B06BC2">
      <w:pPr>
        <w:pStyle w:val="Standarduser"/>
        <w:ind w:firstLine="851"/>
        <w:jc w:val="both"/>
        <w:rPr>
          <w:bCs/>
        </w:rPr>
      </w:pPr>
      <w:r w:rsidRPr="00CD4FC9">
        <w:t xml:space="preserve">Programa skirta žūčių ir sunkių sužeidimų Lietuvos keliuose skaičiui sumažinti. Siekiant sumažinti leistino greičio viršijimo atvejų skaičių, Programoje siūloma nustatyti mažesnę leistino greičio viršijimo ribą ir Lietuvos Respublikos administracinių nusižengimų kodekse (toliau – ANK) numatyti finansines sankcijas už leistino greičio viršijimą iki 10 km/h (Programos 1 priedo 1.1 uždavinys, priemonės kodas 1.1.0). Siekiant sumažinti atvejų, kai vairuotojai vairuodami naudojasi mobiliojo ryšio priemonėmis neleistinu būdu, skaičių, Programoje siūloma numatyti ribojimus vairuotojams, draudžiančius užsiimti ne su vairavimu susijusiais veiksmais (Programos 1 priedo 1.3 uždavinys, priemonės kodas 1.3.0). Be to, siekiant </w:t>
      </w:r>
      <w:r w:rsidRPr="00CD4FC9">
        <w:rPr>
          <w:bCs/>
        </w:rPr>
        <w:t xml:space="preserve">efektyviau valdyti eismo įvykių rizikas, planuojama sukurti naują, šiuolaikišką eismo įvykių informacinę sistemą, kurioje būtų tvarkomi visi duomenys, reikalingi eismo įvykiams analizuoti ir eismo saugumo veiklai planuoti. Šiam tikslui pasiekti visų pirma būtina pakeisti </w:t>
      </w:r>
      <w:r w:rsidRPr="00CD4FC9">
        <w:t>Eismo įvykių informacinės sistemos valdytoją</w:t>
      </w:r>
      <w:r w:rsidRPr="00CD4FC9">
        <w:rPr>
          <w:bCs/>
        </w:rPr>
        <w:t xml:space="preserve"> (</w:t>
      </w:r>
      <w:r w:rsidRPr="00CD4FC9">
        <w:t>Programos 1 priedo 5.1 uždavinys, priemonės kodas 5.1.0)</w:t>
      </w:r>
      <w:r w:rsidRPr="00CD4FC9">
        <w:rPr>
          <w:bCs/>
        </w:rPr>
        <w:t>.</w:t>
      </w:r>
    </w:p>
    <w:p w:rsidR="00B06BC2" w:rsidRPr="00CD4FC9" w:rsidRDefault="00721F28" w:rsidP="00B06BC2">
      <w:pPr>
        <w:pStyle w:val="Standarduser"/>
        <w:ind w:firstLine="851"/>
        <w:jc w:val="both"/>
      </w:pPr>
      <w:r w:rsidRPr="00CD4FC9">
        <w:rPr>
          <w:bCs/>
        </w:rPr>
        <w:t>Atsižvelgus į tai, kad įsigaliojus Lietuvos Respubl</w:t>
      </w:r>
      <w:r w:rsidR="00EA5B2E" w:rsidRPr="00CD4FC9">
        <w:rPr>
          <w:bCs/>
        </w:rPr>
        <w:t>ikos Vyriausybės 2020 m. liepos 16</w:t>
      </w:r>
      <w:r w:rsidRPr="00CD4FC9">
        <w:rPr>
          <w:bCs/>
        </w:rPr>
        <w:t xml:space="preserve"> d</w:t>
      </w:r>
      <w:r w:rsidR="00BF2BDC" w:rsidRPr="00CD4FC9">
        <w:rPr>
          <w:bCs/>
        </w:rPr>
        <w:t>.</w:t>
      </w:r>
      <w:r w:rsidRPr="00CD4FC9">
        <w:rPr>
          <w:bCs/>
        </w:rPr>
        <w:t xml:space="preserve"> nutarimui Nr. </w:t>
      </w:r>
      <w:r w:rsidR="00EA5B2E" w:rsidRPr="00CD4FC9">
        <w:rPr>
          <w:bCs/>
        </w:rPr>
        <w:t>819</w:t>
      </w:r>
      <w:r w:rsidRPr="00CD4FC9">
        <w:rPr>
          <w:bCs/>
        </w:rPr>
        <w:t xml:space="preserve"> „Dėl Lietuvos Respublikos Vyriausybės 2003 m. lapkričio 27 d. nutarimo Nr. 1485 „Dėl Oficialių svečių priėmimo Lietuvos Respublikoje tvarkos patvirtinimo“ pakeitimo“, kuriuo patvirtinta Oficialių svečių vizitų Lietuvos Respublikoje rengimo tvarkos aprašo nauja redakcija, neliko tokių sąvokų  kaip „eskortavimas“ ir „lydėjimas“ apibrėžčių, SEAKĮ projektu siūloma </w:t>
      </w:r>
      <w:r w:rsidR="00B06BC2" w:rsidRPr="00CD4FC9">
        <w:rPr>
          <w:bCs/>
        </w:rPr>
        <w:t xml:space="preserve">šias sąvokas apibrėžti įstatyme kartu patikslinant </w:t>
      </w:r>
      <w:r w:rsidR="00B06BC2" w:rsidRPr="00CD4FC9">
        <w:t>nuostatas, susijusias su specialiosiomis transporto priemonėmis vykdomo lydėjimo institutu.</w:t>
      </w:r>
    </w:p>
    <w:p w:rsidR="00DB6FF8" w:rsidRPr="00CD4FC9" w:rsidRDefault="00DB6FF8">
      <w:pPr>
        <w:pStyle w:val="Betarp"/>
        <w:tabs>
          <w:tab w:val="left" w:pos="1134"/>
        </w:tabs>
        <w:ind w:firstLine="851"/>
        <w:jc w:val="both"/>
        <w:rPr>
          <w:b/>
          <w:bCs/>
          <w:szCs w:val="24"/>
          <w:lang w:val="lt-LT"/>
        </w:rPr>
      </w:pPr>
    </w:p>
    <w:p w:rsidR="00DB6FF8" w:rsidRPr="00763767" w:rsidRDefault="00721F28">
      <w:pPr>
        <w:pStyle w:val="Betarp"/>
        <w:tabs>
          <w:tab w:val="left" w:pos="1134"/>
        </w:tabs>
        <w:ind w:firstLine="851"/>
        <w:jc w:val="both"/>
        <w:rPr>
          <w:lang w:val="lt-LT"/>
        </w:rPr>
      </w:pPr>
      <w:r w:rsidRPr="00CD4FC9">
        <w:rPr>
          <w:b/>
          <w:bCs/>
          <w:szCs w:val="24"/>
          <w:lang w:val="lt-LT"/>
        </w:rPr>
        <w:t xml:space="preserve">2. </w:t>
      </w:r>
      <w:r w:rsidRPr="00CD4FC9">
        <w:rPr>
          <w:b/>
          <w:szCs w:val="24"/>
          <w:lang w:val="lt-LT" w:eastAsia="lt-LT"/>
        </w:rPr>
        <w:t>Įstatymų</w:t>
      </w:r>
      <w:r w:rsidRPr="00CD4FC9">
        <w:rPr>
          <w:b/>
          <w:bCs/>
          <w:szCs w:val="24"/>
          <w:lang w:val="lt-LT"/>
        </w:rPr>
        <w:t xml:space="preserve"> projektų</w:t>
      </w:r>
      <w:r w:rsidRPr="00CD4FC9">
        <w:rPr>
          <w:b/>
          <w:szCs w:val="24"/>
          <w:lang w:val="lt-LT" w:eastAsia="en-GB"/>
        </w:rPr>
        <w:t xml:space="preserve"> iniciatoriai (institucija, asmenys ar piliečių įgalioti atstovai) ir rengėjai</w:t>
      </w:r>
    </w:p>
    <w:p w:rsidR="00DB6FF8" w:rsidRPr="00763767" w:rsidRDefault="00721F28">
      <w:pPr>
        <w:pStyle w:val="Betarp"/>
        <w:ind w:firstLine="851"/>
        <w:jc w:val="both"/>
        <w:rPr>
          <w:lang w:val="lt-LT"/>
        </w:rPr>
      </w:pPr>
      <w:r w:rsidRPr="00CD4FC9">
        <w:rPr>
          <w:szCs w:val="24"/>
          <w:lang w:val="lt-LT"/>
        </w:rPr>
        <w:t xml:space="preserve">Įstatymų projektų rengimą koordinavo </w:t>
      </w:r>
      <w:r w:rsidRPr="00CD4FC9">
        <w:rPr>
          <w:lang w:val="lt-LT"/>
        </w:rPr>
        <w:t xml:space="preserve">Lietuvos Respublikos </w:t>
      </w:r>
      <w:r w:rsidRPr="00CD4FC9">
        <w:rPr>
          <w:szCs w:val="24"/>
          <w:lang w:val="lt-LT"/>
        </w:rPr>
        <w:t xml:space="preserve">vidaus reikalų ministerijos Viešojo saugumo politikos grupės (vyresnysis patarėjas, atliekantis grupės vadovo funkcijas, – Tomas Antulis, tel. (8 5) 271 8667, el. p. tomas.antulis@vrm.lt) patarėja Jurgita Laskevičiūtė (tel. (8 5) 271 8432, el. p. </w:t>
      </w:r>
      <w:hyperlink r:id="rId7" w:history="1">
        <w:r w:rsidRPr="00CD4FC9">
          <w:rPr>
            <w:rStyle w:val="ListLabel15"/>
            <w:rFonts w:eastAsia="Calibri"/>
            <w:szCs w:val="24"/>
          </w:rPr>
          <w:t>jurgita.laskeviciute@vrm.lt</w:t>
        </w:r>
      </w:hyperlink>
      <w:r w:rsidRPr="00CD4FC9">
        <w:rPr>
          <w:szCs w:val="24"/>
          <w:lang w:val="lt-LT"/>
        </w:rPr>
        <w:t>).</w:t>
      </w:r>
    </w:p>
    <w:p w:rsidR="00DB6FF8" w:rsidRPr="00CD4FC9" w:rsidRDefault="00DB6FF8">
      <w:pPr>
        <w:pStyle w:val="Standarduser"/>
        <w:tabs>
          <w:tab w:val="left" w:pos="1134"/>
        </w:tabs>
        <w:ind w:firstLine="851"/>
        <w:jc w:val="both"/>
        <w:rPr>
          <w:lang w:eastAsia="lt-LT"/>
        </w:rPr>
      </w:pPr>
    </w:p>
    <w:p w:rsidR="00DB6FF8" w:rsidRPr="00CD4FC9" w:rsidRDefault="00721F28">
      <w:pPr>
        <w:pStyle w:val="Standarduser"/>
        <w:tabs>
          <w:tab w:val="left" w:pos="1134"/>
        </w:tabs>
        <w:ind w:firstLine="851"/>
        <w:jc w:val="both"/>
      </w:pPr>
      <w:r w:rsidRPr="00CD4FC9">
        <w:rPr>
          <w:b/>
          <w:bCs/>
        </w:rPr>
        <w:t>3.</w:t>
      </w:r>
      <w:r w:rsidRPr="00CD4FC9">
        <w:rPr>
          <w:b/>
          <w:bCs/>
          <w:lang w:eastAsia="en-GB"/>
        </w:rPr>
        <w:t xml:space="preserve"> Kaip šiuo metu yra reguliuojami įstatymų projektuose aptarti teisiniai santykiai</w:t>
      </w:r>
    </w:p>
    <w:p w:rsidR="00DB6FF8" w:rsidRPr="00CD4FC9" w:rsidRDefault="00721F28">
      <w:pPr>
        <w:pStyle w:val="Standarduser"/>
        <w:tabs>
          <w:tab w:val="left" w:pos="1134"/>
        </w:tabs>
        <w:ind w:firstLine="851"/>
        <w:jc w:val="both"/>
      </w:pPr>
      <w:r w:rsidRPr="00CD4FC9">
        <w:t xml:space="preserve">Lietuvos Respublikos saugaus eismo automobilių keliais įstatymo (toliau – SEAKĮ) 13 straipsnio 13 dalyje nustatytas draudimas motorinių transporto priemonių, traktorių, savaeigių mašinų vairuotojams naudotis mobiliojo ryšio priemonėmis, jeigu jomis naudojamasi rankomis, išskyrus atvejus, kai stovinčios motorinės transporto priemonės variklis išjungtas. Toks pats draudimas įtvirtintas ir Kelių eismo taisyklių, patvirtintų Lietuvos Respublikos Vyriausybės 2002 m. gruodžio 11 d. nutarimu Nr. 1950 „Dėl Kelių eismo taisyklių patvirtinimo“ (toliau – Kelių eismo taisyklės), 20 punkte. Be to, šiame Kelių eismo taisyklių punkte nurodyta, kad transporto priemonių vairuotojai turi vengti bet kokių su transporto priemonės vairavimu nesusijusių veiksmų (SEAKĮ šios normos nėra). ANK 417 straipsnio 3 dalyje nustatyta atsakomybė už draudimo vairuotojams naudotis </w:t>
      </w:r>
      <w:r w:rsidRPr="00CD4FC9">
        <w:lastRenderedPageBreak/>
        <w:t>mobiliojo ryšio priemonėmis, kai jomis naudojamasi rankomis (išskyrus atvejus, kai stovinčios transporto priemonės variklis išjungtas), nesilaikymą. Pažymėtina, kad tiek SEAKĮ, tiek Kelių eismo taisyklėse nustatyta sąlyga, kad vairuotojui mobiliojo ryšio priemone galima naudotis tik esant išjungtam stovinčios transporto priemonės varikliui, nėra pagrįsta saugaus eismo požiūriu, t. y. mobiliojo ryšio priemonės naudojimas stovinčioje transporto priemonėje, nepriklausomai nuo to, ar variklis yra įjungtas</w:t>
      </w:r>
      <w:r w:rsidR="001077BD" w:rsidRPr="00CD4FC9">
        <w:t xml:space="preserve">, ar </w:t>
      </w:r>
      <w:r w:rsidRPr="00CD4FC9">
        <w:t>išjungtas, nekelia grėsmės eismo saugumui. Šis nusižengimas užtraukia baudą vairuotojams nuo šešiasdešimt iki devyniasdešimt eurų, taip pat gali būti skiriamas teisės vairuoti transporto priemones atėmima</w:t>
      </w:r>
      <w:r w:rsidR="001077BD" w:rsidRPr="00CD4FC9">
        <w:t>s nuo vieno iki trijų mėnesių.</w:t>
      </w:r>
    </w:p>
    <w:p w:rsidR="00DB6FF8" w:rsidRPr="00CD4FC9" w:rsidRDefault="00721F28">
      <w:pPr>
        <w:pStyle w:val="Standarduser"/>
        <w:tabs>
          <w:tab w:val="left" w:pos="1134"/>
        </w:tabs>
        <w:ind w:firstLine="851"/>
        <w:jc w:val="both"/>
      </w:pPr>
      <w:r w:rsidRPr="00CD4FC9">
        <w:t>SEAKĮ 10 straipsnio 9 dalies 7 punkte numatyta, kad</w:t>
      </w:r>
      <w:r w:rsidRPr="00CD4FC9">
        <w:rPr>
          <w:color w:val="000000"/>
        </w:rPr>
        <w:t xml:space="preserve"> policija, užtikrindama eismo saugumą, kaupia ir analizuoja duomenis apie Kelių eismo taisyklių pažeidimus ir eismo įvykius. Atitinkamai SEAKĮ</w:t>
      </w:r>
      <w:r w:rsidRPr="00CD4FC9">
        <w:t xml:space="preserve"> 27</w:t>
      </w:r>
      <w:r w:rsidRPr="00CD4FC9">
        <w:rPr>
          <w:vertAlign w:val="superscript"/>
        </w:rPr>
        <w:t>1</w:t>
      </w:r>
      <w:r w:rsidRPr="00CD4FC9">
        <w:t xml:space="preserve"> straipsnyje, kuriame nurodomi transporto priemonių registrai, valstybės informacinės sistemos, duomenų bazės, nustatyta, kad Eismo įvykių informacinės sistemos valdytojas – Policijos departamentas prie Vidaus reikalų ministerijos. Eismo įvykių informacinės sistemos nuostatų, patvirtintų Lietuvos policijos generalinio komisaro 2015 m. birželio 30 d. įsakymu Nr. 5-V-601 „Dėl Eismo įvykių informacinės sistemos nuostatų patvirtinimo ir informacinės sistemos veiklos pradžios nustatymo“, 6 punkte nustatyta, kad pagrindinės šios sistemos funkcijos yra kaupti ir saugoti eismo įvykių duomenis, apdoroti, detalizuoti, sisteminti eismo įvykių duomenis ir formuoti jų statistines ataskaitas, formuoti su eismo įvykių tyrimu ir jo rezultatais susijusius dokumentus.</w:t>
      </w:r>
    </w:p>
    <w:p w:rsidR="00DB6FF8" w:rsidRPr="00CD4FC9" w:rsidRDefault="00721F28">
      <w:pPr>
        <w:pStyle w:val="Standarduser"/>
        <w:tabs>
          <w:tab w:val="left" w:pos="1134"/>
        </w:tabs>
        <w:ind w:firstLine="851"/>
        <w:jc w:val="both"/>
      </w:pPr>
      <w:r w:rsidRPr="00CD4FC9">
        <w:t xml:space="preserve">ANK 416 straipsnio 1 dalyje reglamentuota, kad nustatyto greičio viršijimas iki </w:t>
      </w:r>
      <w:r w:rsidR="0071407D" w:rsidRPr="00CD4FC9">
        <w:t>10</w:t>
      </w:r>
      <w:r w:rsidRPr="00CD4FC9">
        <w:t xml:space="preserve"> užtraukia įspėjimą. Vadovaujantis ANK 608 straipsnio 5 dalimi ir 615 straipsnio 4 dalimi, jeigu nėra ANK 610 straipsnio 2 dalyje nurodytų sąlygų, įspėjimas asmeniui skiriamas nutarimu ir administracinio nusižengimo protokolas nesurašomas, t. y. ANK 611 straipsnyje nustatyta tyrimo tvarka, kai nusižengimas užfiksuotas ne asmens, įtariamo administracinio nusižengimo padarymu, akivaizdoje, netaikytina ANK 416 straipsnio 1 dalyje nustatytiems nusižengimams. Pažymėtina, kad, vadovaujantis ANK 12 straipsniu, už ANK 416 straipsnio 1 dalyje numatytą nusižengimą gali būti pareiškiama žodinė pastaba.</w:t>
      </w:r>
    </w:p>
    <w:p w:rsidR="00DB6FF8" w:rsidRPr="00CD4FC9" w:rsidRDefault="00721F28">
      <w:pPr>
        <w:pStyle w:val="Standarduser"/>
        <w:tabs>
          <w:tab w:val="left" w:pos="1134"/>
        </w:tabs>
        <w:ind w:firstLine="851"/>
        <w:jc w:val="both"/>
      </w:pPr>
      <w:r w:rsidRPr="00CD4FC9">
        <w:t>ANK 33 straipsnio 1 dalies 1 punkte, 2 dalyje, 610 straipsnio 1 dalyje ir 2 dalies 2 punkte įtvirtinta administracinio nurodymo už atitinkamuose ANK straipsniuose (straipsnių dalyse) padarytus pakartotinius nusižengimus (siūloma sumokėti minimalią sankcijoje nustatytą baudą). Atsižvelgus į tai, kad už ANK 416 straipsnio 1 dalyje numatytą nusižengimą bauda neskiriama, šiam nusižengimui tokia administracinio nurodymo surašymo tvarka netaikoma.</w:t>
      </w:r>
    </w:p>
    <w:p w:rsidR="00DB6FF8" w:rsidRPr="00CD4FC9" w:rsidRDefault="00721F28">
      <w:pPr>
        <w:pStyle w:val="Standarduser"/>
        <w:tabs>
          <w:tab w:val="left" w:pos="1134"/>
        </w:tabs>
        <w:ind w:firstLine="851"/>
        <w:jc w:val="both"/>
      </w:pPr>
      <w:r w:rsidRPr="00CD4FC9">
        <w:t xml:space="preserve">Vadovaujantis ANK 416 straipsnio 2 dalimi, nustatyto greičio viršijimas daugiau kaip </w:t>
      </w:r>
      <w:r w:rsidR="0071407D" w:rsidRPr="00CD4FC9">
        <w:t>10 km/h</w:t>
      </w:r>
      <w:r w:rsidRPr="00CD4FC9">
        <w:t xml:space="preserve">, bet ne daugiau kaip </w:t>
      </w:r>
      <w:r w:rsidR="0071407D" w:rsidRPr="00CD4FC9">
        <w:t>20 km/h</w:t>
      </w:r>
      <w:r w:rsidRPr="00CD4FC9">
        <w:t xml:space="preserve"> užtraukia baudą vairuotojams nuo dvylikos iki trisdešimt eurų. Administraciniu nurodymu už tokį nusižengimą skiriama šešių eurų bauda, už pakartotinį nusižengimą – dvylikos eurų bauda.</w:t>
      </w:r>
    </w:p>
    <w:p w:rsidR="00DB6FF8" w:rsidRPr="00CD4FC9" w:rsidRDefault="00721F28">
      <w:pPr>
        <w:pStyle w:val="Standarduser"/>
        <w:tabs>
          <w:tab w:val="left" w:pos="1134"/>
        </w:tabs>
        <w:ind w:firstLine="851"/>
        <w:jc w:val="both"/>
      </w:pPr>
      <w:r w:rsidRPr="00CD4FC9">
        <w:t>ANK 616 straipsnio 1 dalyje nustatyta, kad administracinių nusižengimų bylos ne teismo tvarka nagrinėjamos rašytinio proceso tvarka, nekviečiant administracinių bylų teisenoje dalyvaujančių asmenų į bylos nagrinėjimą pagal administracinio nusižengimo padarymo vietą. Kai administracinis nusižengimas užfiksuotas stacionariomis ar mobiliosiomis teisės pažeidimų fiksavimo sistemomis, byla gali būti nagrinėjama pagal administracinio nusižengimo padarymu įtariamo asmens gyvenamąją vietą (transporto priemonės registracijos vietą).</w:t>
      </w:r>
    </w:p>
    <w:p w:rsidR="00DB6FF8" w:rsidRPr="00CD4FC9" w:rsidRDefault="00721F28">
      <w:pPr>
        <w:pStyle w:val="Standarduser"/>
        <w:tabs>
          <w:tab w:val="left" w:pos="1134"/>
        </w:tabs>
        <w:ind w:firstLine="851"/>
        <w:jc w:val="both"/>
      </w:pPr>
      <w:r w:rsidRPr="00CD4FC9">
        <w:rPr>
          <w:bCs/>
        </w:rPr>
        <w:t xml:space="preserve">Sąvokos „eskortavimas“ ir „lydėjimas“ iki 2020 m. liepos </w:t>
      </w:r>
      <w:r w:rsidR="001077BD" w:rsidRPr="00CD4FC9">
        <w:rPr>
          <w:bCs/>
        </w:rPr>
        <w:t xml:space="preserve">15 </w:t>
      </w:r>
      <w:r w:rsidRPr="00CD4FC9">
        <w:rPr>
          <w:bCs/>
        </w:rPr>
        <w:t xml:space="preserve">d. buvo apibrėžtos Oficialių svečių priėmimo Lietuvos Respublikoje tvarkoje, patvirtintoje Lietuvos Respublikos Vyriausybės 2003 m. lapkričio 27 d. nutarimu Nr. 1485: „Eskortavimas </w:t>
      </w:r>
      <w:r w:rsidRPr="00CD4FC9">
        <w:rPr>
          <w:kern w:val="0"/>
          <w:lang w:eastAsia="ru-RU"/>
        </w:rPr>
        <w:t xml:space="preserve">– veikla, kai ne mažiau kaip 5 eskortavimo motociklais užtikrinamas iškilmingai lydimos transporto priemonės ir eismo saugumas, nestabdomas judėjimas“; „Lydėjimas – veikla, kai transporto priemonėmis su specialiais garso ir šviesos signalais užtikrinamas lydimų transporto priemonių ir eismo saugumas, nestabdomas judėjimas“. Rengiant </w:t>
      </w:r>
      <w:r w:rsidRPr="00CD4FC9">
        <w:rPr>
          <w:bCs/>
        </w:rPr>
        <w:t>Lietuvos Respublikos Vyriausybės nutarimo „Dėl Lietuvos Respublikos Vyriausybės 2003 m. lapkričio 27 d. nutarimo Nr. 1485 „Dėl Oficialių svečių priėmimo Lietuvos Respublikoje tvarkos patvirtinimo“ pakeitimo“ projektą šių sąvokų buvo atsisakyta ir nuspręsta jas, atitinkamai patikslinus, numatyti SEAKĮ.</w:t>
      </w:r>
    </w:p>
    <w:p w:rsidR="00DB6FF8" w:rsidRPr="00CD4FC9" w:rsidRDefault="00DB6FF8">
      <w:pPr>
        <w:pStyle w:val="Standarduser"/>
        <w:tabs>
          <w:tab w:val="left" w:pos="1134"/>
        </w:tabs>
        <w:ind w:firstLine="851"/>
        <w:jc w:val="both"/>
        <w:rPr>
          <w:b/>
          <w:bCs/>
        </w:rPr>
      </w:pPr>
    </w:p>
    <w:p w:rsidR="00DB6FF8" w:rsidRPr="00CD4FC9" w:rsidRDefault="00721F28">
      <w:pPr>
        <w:pStyle w:val="Standarduser"/>
        <w:tabs>
          <w:tab w:val="left" w:pos="1134"/>
        </w:tabs>
        <w:ind w:firstLine="851"/>
        <w:jc w:val="both"/>
      </w:pPr>
      <w:r w:rsidRPr="00CD4FC9">
        <w:rPr>
          <w:b/>
          <w:bCs/>
        </w:rPr>
        <w:lastRenderedPageBreak/>
        <w:t xml:space="preserve">4. </w:t>
      </w:r>
      <w:r w:rsidRPr="00CD4FC9">
        <w:rPr>
          <w:b/>
          <w:bCs/>
          <w:lang w:eastAsia="en-GB"/>
        </w:rPr>
        <w:t>Kokios siūlomos naujos teisinio reguliavimo nuostatos ir kokių teigiamų rezultatų laukiama</w:t>
      </w:r>
    </w:p>
    <w:p w:rsidR="001077BD" w:rsidRPr="00CD4FC9" w:rsidRDefault="00721F28">
      <w:pPr>
        <w:pStyle w:val="Standarduser"/>
        <w:ind w:firstLine="851"/>
        <w:jc w:val="both"/>
        <w:rPr>
          <w:bCs/>
          <w:color w:val="000000"/>
          <w:lang w:eastAsia="lt-LT" w:bidi="hi-IN"/>
        </w:rPr>
      </w:pPr>
      <w:r w:rsidRPr="00CD4FC9">
        <w:t>SEAKĮ 13 straipsnio 13 dalyje siūloma  nustatyti, kad transporto priemonės vairavimo metu vairuotojas turi vengti bet kokių su transporto priemonės vairavimu ir jos įrangos valdymu nesusijusių, saugiai vairuoti trukdančių veiksmų. Lietuvos transporto saugos administracijos darbuotojų atlikta analizė rodo, jog 2018 m</w:t>
      </w:r>
      <w:r w:rsidR="001077BD" w:rsidRPr="00CD4FC9">
        <w:t>.</w:t>
      </w:r>
      <w:r w:rsidRPr="00CD4FC9">
        <w:t xml:space="preserve"> dėl vairuotojų išsiblaškymo ir nesusikaupimo įvyko maždaug 8 proc. mirtinų įvykių ir maždaug 15 proc. įvykių, kuriuose eismo</w:t>
      </w:r>
      <w:r w:rsidR="001077BD" w:rsidRPr="00CD4FC9">
        <w:t xml:space="preserve"> dalyviai buvo sužeisti. 2019 m</w:t>
      </w:r>
      <w:r w:rsidRPr="00CD4FC9">
        <w:t>. duomenimis, dėl papildomos veiklos prie vairo įvyko apie 5 proc. mirtinų eismo įvykių ir apie 7 proc.</w:t>
      </w:r>
      <w:r w:rsidR="001077BD" w:rsidRPr="00CD4FC9">
        <w:t xml:space="preserve"> įvykių</w:t>
      </w:r>
      <w:r w:rsidRPr="00CD4FC9">
        <w:t xml:space="preserve">, kuriuose buvo sužeisti žmonės. </w:t>
      </w:r>
      <w:r w:rsidR="001077BD" w:rsidRPr="00CD4FC9">
        <w:rPr>
          <w:color w:val="000000"/>
          <w:lang w:eastAsia="lt-LT" w:bidi="hi-IN"/>
        </w:rPr>
        <w:t>B</w:t>
      </w:r>
      <w:r w:rsidRPr="00CD4FC9">
        <w:rPr>
          <w:color w:val="000000"/>
          <w:lang w:eastAsia="lt-LT" w:bidi="hi-IN"/>
        </w:rPr>
        <w:t xml:space="preserve">e to, kaip pažymėta Programoje, </w:t>
      </w:r>
      <w:r w:rsidRPr="00CD4FC9">
        <w:rPr>
          <w:bCs/>
          <w:color w:val="000000"/>
          <w:lang w:eastAsia="lt-LT" w:bidi="hi-IN"/>
        </w:rPr>
        <w:t>VšĮ Kelių ir transporto tyrimo instituto 2016 m. studijoje ,,Kalbėjimo telefonu vairuojant dažnumo tyrimai“ buvo nustatyta, kad Lietuvoje apie 45 proc. vairuotojų kalba mobiliojo ryšio priemonėmis be laisvų rankų įrangos vairuodami automobilį ir apie 30 proc. vairuotojų rašo trumpąsias žinutes. Apie 16 proc. vairuotojų vairuodami automobilį naršo internete.  Tikimasi, kad šie pakeitimai leis sumažinti atvejų, kai vairuotojai vairuodami užsiima ne su vairavimu susijusiais veiksmais ir nesukoncentravę dėmesio į</w:t>
      </w:r>
      <w:r w:rsidR="001077BD" w:rsidRPr="00CD4FC9">
        <w:rPr>
          <w:bCs/>
          <w:color w:val="000000"/>
          <w:lang w:eastAsia="lt-LT" w:bidi="hi-IN"/>
        </w:rPr>
        <w:t xml:space="preserve"> eismą sukelia eismo įvykius. </w:t>
      </w:r>
    </w:p>
    <w:p w:rsidR="00DB6FF8" w:rsidRPr="00CD4FC9" w:rsidRDefault="001077BD">
      <w:pPr>
        <w:pStyle w:val="Standarduser"/>
        <w:ind w:firstLine="851"/>
        <w:jc w:val="both"/>
      </w:pPr>
      <w:r w:rsidRPr="00CD4FC9">
        <w:rPr>
          <w:bCs/>
          <w:color w:val="000000"/>
          <w:lang w:eastAsia="lt-LT" w:bidi="hi-IN"/>
        </w:rPr>
        <w:t xml:space="preserve">SEAKĮ atsisakius </w:t>
      </w:r>
      <w:r w:rsidR="00721F28" w:rsidRPr="00CD4FC9">
        <w:rPr>
          <w:bCs/>
          <w:color w:val="000000"/>
          <w:lang w:eastAsia="lt-LT" w:bidi="hi-IN"/>
        </w:rPr>
        <w:t>nelogiškos, su eismo saugumu nesusijusios nuostatos dėl mobiliojo ryšio priemonės naudojimo st</w:t>
      </w:r>
      <w:r w:rsidRPr="00CD4FC9">
        <w:rPr>
          <w:bCs/>
          <w:color w:val="000000"/>
          <w:lang w:eastAsia="lt-LT" w:bidi="hi-IN"/>
        </w:rPr>
        <w:t xml:space="preserve">ovinčioje transporto priemonėje, atitinkamai analogiškų nuostatų siūloma atsisakyti </w:t>
      </w:r>
      <w:r w:rsidR="00721F28" w:rsidRPr="00CD4FC9">
        <w:rPr>
          <w:bCs/>
          <w:color w:val="000000"/>
          <w:lang w:eastAsia="lt-LT" w:bidi="hi-IN"/>
        </w:rPr>
        <w:t>ANK 417 straipsnio 3 dalyje.</w:t>
      </w:r>
    </w:p>
    <w:p w:rsidR="007C510F" w:rsidRPr="00CD4FC9" w:rsidRDefault="00721F28" w:rsidP="007C510F">
      <w:pPr>
        <w:pStyle w:val="Standarduser"/>
        <w:ind w:firstLine="851"/>
        <w:jc w:val="both"/>
        <w:rPr>
          <w:color w:val="000000"/>
        </w:rPr>
      </w:pPr>
      <w:r w:rsidRPr="00CD4FC9">
        <w:rPr>
          <w:color w:val="000000"/>
          <w:lang w:eastAsia="lt-LT" w:bidi="hi-IN"/>
        </w:rPr>
        <w:t>SEAKĮ 27</w:t>
      </w:r>
      <w:r w:rsidRPr="00CD4FC9">
        <w:rPr>
          <w:color w:val="000000"/>
          <w:vertAlign w:val="superscript"/>
          <w:lang w:eastAsia="lt-LT" w:bidi="hi-IN"/>
        </w:rPr>
        <w:t>1</w:t>
      </w:r>
      <w:r w:rsidRPr="00CD4FC9">
        <w:rPr>
          <w:color w:val="000000"/>
          <w:lang w:eastAsia="lt-LT" w:bidi="hi-IN"/>
        </w:rPr>
        <w:t xml:space="preserve"> straipsnyje, kuriame nurodomi transporto priemonių registrai, valstybės informacinės sistemos, duomenų bazės, siūloma nustatyti, kad Eismo įvykių informacinės sistemos valdytoju būtų </w:t>
      </w:r>
      <w:r w:rsidR="001077BD" w:rsidRPr="00CD4FC9">
        <w:rPr>
          <w:color w:val="000000"/>
          <w:lang w:eastAsia="lt-LT" w:bidi="hi-IN"/>
        </w:rPr>
        <w:t>Lietuvos transporto saugos administracija</w:t>
      </w:r>
      <w:r w:rsidRPr="00CD4FC9">
        <w:rPr>
          <w:color w:val="000000"/>
          <w:lang w:eastAsia="lt-LT" w:bidi="hi-IN"/>
        </w:rPr>
        <w:t xml:space="preserve">. Programoje pažymima, kad būtina sukurti naują, šiuolaikišką eismo įvykių informacinę sistemą, kurioje būtų tvarkomi visi duomenys, reikalingi eismo įvykiams analizuoti ir eismo saugumo veiklai planuoti. Planuojama, kad šia sistema galės naudotis (tvarkyti duomenis, analizuoti eismo įvykius, teikti ir gauti reikiamą informaciją ir pan.) daugiau institucijų, kurių veikla susijusi su eismo saugumu. Atitinkamai siūloma patikslinti SEAKĮ 10 straipsnyje numatytus įgaliojimus, t. y. šio straipsnio 1 dalį papildyti nuostata, kad </w:t>
      </w:r>
      <w:r w:rsidR="00AF48A6" w:rsidRPr="00CD4FC9">
        <w:rPr>
          <w:color w:val="000000"/>
        </w:rPr>
        <w:t xml:space="preserve">Susisiekimo ministerija arba jos įgaliotos institucijos kaupia ir analizuoja duomenis apie eismo įvykius, o 9 dalies 7 punkte nustatyti, kad policija </w:t>
      </w:r>
      <w:r w:rsidR="00AF48A6" w:rsidRPr="00CD4FC9">
        <w:rPr>
          <w:bCs/>
          <w:color w:val="000000"/>
        </w:rPr>
        <w:t>tvarko duomenis apie KET pažeidimus ir eismo įvykius</w:t>
      </w:r>
      <w:r w:rsidR="00AF48A6" w:rsidRPr="00CD4FC9">
        <w:rPr>
          <w:color w:val="000000"/>
        </w:rPr>
        <w:t>.</w:t>
      </w:r>
    </w:p>
    <w:p w:rsidR="00DB6FF8" w:rsidRPr="00763767" w:rsidRDefault="00721F28">
      <w:pPr>
        <w:pStyle w:val="Standarduser"/>
        <w:ind w:firstLine="851"/>
        <w:jc w:val="both"/>
      </w:pPr>
      <w:r w:rsidRPr="00763767">
        <w:rPr>
          <w:color w:val="000000"/>
          <w:lang w:eastAsia="lt-LT" w:bidi="hi-IN"/>
        </w:rPr>
        <w:t xml:space="preserve">ANK 416 straipsnio 1 dalyje siūloma už greičio viršijimą iki </w:t>
      </w:r>
      <w:r w:rsidR="00957BA1" w:rsidRPr="00763767">
        <w:rPr>
          <w:color w:val="000000"/>
          <w:lang w:eastAsia="lt-LT" w:bidi="hi-IN"/>
        </w:rPr>
        <w:t>10 km/h</w:t>
      </w:r>
      <w:r w:rsidRPr="00763767">
        <w:rPr>
          <w:color w:val="000000"/>
          <w:lang w:eastAsia="lt-LT" w:bidi="hi-IN"/>
        </w:rPr>
        <w:t xml:space="preserve"> vietoj įspėjimo nustatyti piniginę baudą. Vairuotojų žinojimas, kad greičio viršijimas iki </w:t>
      </w:r>
      <w:r w:rsidR="00957BA1" w:rsidRPr="00763767">
        <w:rPr>
          <w:color w:val="000000"/>
          <w:lang w:eastAsia="lt-LT" w:bidi="hi-IN"/>
        </w:rPr>
        <w:t>10 km/h</w:t>
      </w:r>
      <w:r w:rsidRPr="00763767">
        <w:rPr>
          <w:color w:val="000000"/>
          <w:lang w:eastAsia="lt-LT" w:bidi="hi-IN"/>
        </w:rPr>
        <w:t xml:space="preserve"> neužtraukia baudos, suformuoja įprotį važiuoti ne leistinu maksimaliu greičiu, o apie </w:t>
      </w:r>
      <w:r w:rsidR="00957BA1" w:rsidRPr="00763767">
        <w:rPr>
          <w:color w:val="000000"/>
          <w:lang w:eastAsia="lt-LT" w:bidi="hi-IN"/>
        </w:rPr>
        <w:t>10 km/h</w:t>
      </w:r>
      <w:r w:rsidRPr="00763767">
        <w:rPr>
          <w:color w:val="000000"/>
          <w:lang w:eastAsia="lt-LT" w:bidi="hi-IN"/>
        </w:rPr>
        <w:t xml:space="preserve"> didesniu greičiu. Kaip nurodyta Programoje, s</w:t>
      </w:r>
      <w:r w:rsidRPr="00763767">
        <w:rPr>
          <w:bCs/>
          <w:color w:val="000000"/>
          <w:lang w:eastAsia="lt-LT" w:bidi="hi-IN"/>
        </w:rPr>
        <w:t>tebėjimai parodė, kad Lietuvoje net 2 iš 3 vairuotojų gyvenvietės teritorijoje viršija leidžiamą važiavimo greitį.</w:t>
      </w:r>
      <w:r w:rsidRPr="00763767">
        <w:rPr>
          <w:color w:val="000000"/>
          <w:lang w:eastAsia="lt-LT" w:bidi="hi-IN"/>
        </w:rPr>
        <w:t xml:space="preserve"> Greičio viršijimas – viena pagrindinių eismo įvykių priežasčių, o net ir nedidelis greičio viršijimas ne tik padidina eismo įvykio tikimybę, bet ir sunkina įvykusio eismo įvykio pasekmes. 2019 m. saugaus važiavimo greičio nepasirinkimas ar leistino greičio viršijimas (pagal pirminius eismo įvykių duomenis) pagrindine priežastimi buvo 35 proc. eismo įvykių, kuriuose žuvo žmonės.</w:t>
      </w:r>
      <w:r w:rsidR="007C510F" w:rsidRPr="00763767">
        <w:rPr>
          <w:rFonts w:eastAsia="Calibri"/>
          <w:lang w:eastAsia="lt-LT"/>
        </w:rPr>
        <w:t xml:space="preserve"> </w:t>
      </w:r>
      <w:r w:rsidR="00CD4FC9" w:rsidRPr="00763767">
        <w:rPr>
          <w:rFonts w:eastAsia="Calibri"/>
          <w:lang w:eastAsia="lt-LT"/>
        </w:rPr>
        <w:t>P</w:t>
      </w:r>
      <w:r w:rsidR="007C510F" w:rsidRPr="00763767">
        <w:rPr>
          <w:rFonts w:eastAsia="Calibri"/>
          <w:lang w:eastAsia="lt-LT"/>
        </w:rPr>
        <w:t>ažymėti</w:t>
      </w:r>
      <w:r w:rsidR="00CD4FC9" w:rsidRPr="00763767">
        <w:rPr>
          <w:rFonts w:eastAsia="Calibri"/>
          <w:lang w:eastAsia="lt-LT"/>
        </w:rPr>
        <w:t>na</w:t>
      </w:r>
      <w:r w:rsidR="007C510F" w:rsidRPr="00763767">
        <w:rPr>
          <w:rFonts w:eastAsia="Calibri"/>
          <w:lang w:eastAsia="lt-LT"/>
        </w:rPr>
        <w:t>, kad dauguma tokių valstybių, kaip Ispanija, Norvegija</w:t>
      </w:r>
      <w:r w:rsidR="00342F4E" w:rsidRPr="00763767">
        <w:rPr>
          <w:rFonts w:eastAsia="Calibri"/>
          <w:lang w:eastAsia="lt-LT"/>
        </w:rPr>
        <w:t>,</w:t>
      </w:r>
      <w:r w:rsidR="007C510F" w:rsidRPr="00763767">
        <w:rPr>
          <w:rFonts w:eastAsia="Calibri"/>
          <w:lang w:eastAsia="lt-LT"/>
        </w:rPr>
        <w:t xml:space="preserve"> Švedija, Airija, Vokietija, padariusi</w:t>
      </w:r>
      <w:r w:rsidR="006529F3" w:rsidRPr="00763767">
        <w:rPr>
          <w:rFonts w:eastAsia="Calibri"/>
          <w:lang w:eastAsia="lt-LT"/>
        </w:rPr>
        <w:t>ų</w:t>
      </w:r>
      <w:r w:rsidR="007C510F" w:rsidRPr="00763767">
        <w:rPr>
          <w:rFonts w:eastAsia="Calibri"/>
          <w:lang w:eastAsia="lt-LT"/>
        </w:rPr>
        <w:t xml:space="preserve"> nemažą pažangą eismo saugos požiūriu, taip pat taiko baudas už greičio viršijimą iki 10 km/h (</w:t>
      </w:r>
      <w:hyperlink r:id="rId8" w:history="1">
        <w:r w:rsidR="007C510F" w:rsidRPr="00763767">
          <w:rPr>
            <w:rFonts w:eastAsia="Calibri"/>
            <w:color w:val="0563C1"/>
            <w:u w:val="single"/>
            <w:lang w:eastAsia="lt-LT"/>
          </w:rPr>
          <w:t>http://speeding.enge.no/sweden/</w:t>
        </w:r>
      </w:hyperlink>
      <w:r w:rsidR="007C510F" w:rsidRPr="00763767">
        <w:rPr>
          <w:rFonts w:eastAsia="Calibri"/>
        </w:rPr>
        <w:t xml:space="preserve">). </w:t>
      </w:r>
      <w:r w:rsidRPr="00763767">
        <w:rPr>
          <w:color w:val="000000"/>
          <w:lang w:eastAsia="lt-LT" w:bidi="hi-IN"/>
        </w:rPr>
        <w:t>Už ANK 416 straipsnio 1 dalyje numatytą nusižengimą siūloma nustatyti mažiausią ANK 25 straipsnyje numatytą dešimt eurų baudą (administraciniu nurodymu bus skiriama penkių eurų bauda). Siekiant, kad už pakartotinį ANK 416 straipsnio 1 dalyje padarytą nusižengimą būtų galima surašyti administracinį nurodymą (siūlyti sumokėti sankcijoje numatytą minimalią baudą), siūloma atitinkamai keisti (papildyti nuoroda į ANK 416 straipsnio 1 dalį) ANK 33 straipsnio 1 dalies 1 punktą ir 2 dalį, 610 straipsnio 1 dalį ir 2 dalies 2 punktą</w:t>
      </w:r>
      <w:r w:rsidR="002B4AC6" w:rsidRPr="00763767">
        <w:rPr>
          <w:color w:val="000000"/>
          <w:lang w:eastAsia="lt-LT" w:bidi="hi-IN"/>
        </w:rPr>
        <w:t>.</w:t>
      </w:r>
      <w:r w:rsidRPr="00763767">
        <w:rPr>
          <w:color w:val="000000"/>
          <w:lang w:eastAsia="lt-LT" w:bidi="hi-IN"/>
        </w:rPr>
        <w:t xml:space="preserve"> </w:t>
      </w:r>
      <w:r w:rsidR="002B4AC6" w:rsidRPr="00763767">
        <w:rPr>
          <w:color w:val="000000"/>
          <w:lang w:eastAsia="lt-LT" w:bidi="hi-IN"/>
        </w:rPr>
        <w:t xml:space="preserve">Atsižvelgus į tai, </w:t>
      </w:r>
      <w:r w:rsidR="005C4346" w:rsidRPr="00763767">
        <w:rPr>
          <w:color w:val="000000"/>
          <w:lang w:eastAsia="lt-LT" w:bidi="hi-IN"/>
        </w:rPr>
        <w:t>kad esamas teisinis reguliavimas neleidžia pasiekti administracinės nuobaudos tikslų, taip pat įvertinus ta</w:t>
      </w:r>
      <w:r w:rsidR="00474FE2" w:rsidRPr="00763767">
        <w:rPr>
          <w:color w:val="000000"/>
          <w:lang w:eastAsia="lt-LT" w:bidi="hi-IN"/>
        </w:rPr>
        <w:t>i</w:t>
      </w:r>
      <w:r w:rsidR="005C4346" w:rsidRPr="00763767">
        <w:rPr>
          <w:color w:val="000000"/>
          <w:lang w:eastAsia="lt-LT" w:bidi="hi-IN"/>
        </w:rPr>
        <w:t xml:space="preserve">, </w:t>
      </w:r>
      <w:r w:rsidR="002B4AC6" w:rsidRPr="00763767">
        <w:rPr>
          <w:color w:val="000000"/>
          <w:lang w:eastAsia="lt-LT" w:bidi="hi-IN"/>
        </w:rPr>
        <w:t xml:space="preserve">kad administracinių nusižengimų protokolai už greičio viršijimą iki </w:t>
      </w:r>
      <w:r w:rsidR="00957BA1" w:rsidRPr="00763767">
        <w:rPr>
          <w:color w:val="000000"/>
          <w:lang w:eastAsia="lt-LT" w:bidi="hi-IN"/>
        </w:rPr>
        <w:t>10 km/h</w:t>
      </w:r>
      <w:r w:rsidR="002B4AC6" w:rsidRPr="00763767">
        <w:rPr>
          <w:color w:val="000000"/>
          <w:lang w:eastAsia="lt-LT" w:bidi="hi-IN"/>
        </w:rPr>
        <w:t xml:space="preserve"> bus formuojami automatiniu būdu, atitinkamai</w:t>
      </w:r>
      <w:r w:rsidRPr="00763767">
        <w:rPr>
          <w:color w:val="000000"/>
          <w:lang w:eastAsia="lt-LT" w:bidi="hi-IN"/>
        </w:rPr>
        <w:t xml:space="preserve"> </w:t>
      </w:r>
      <w:r w:rsidR="002B4AC6" w:rsidRPr="00763767">
        <w:rPr>
          <w:color w:val="000000"/>
          <w:lang w:eastAsia="lt-LT" w:bidi="hi-IN"/>
        </w:rPr>
        <w:t xml:space="preserve">siūloma </w:t>
      </w:r>
      <w:r w:rsidRPr="00763767">
        <w:rPr>
          <w:color w:val="000000"/>
          <w:lang w:eastAsia="lt-LT" w:bidi="hi-IN"/>
        </w:rPr>
        <w:t>ANK 12 straipsnio 1 dalyje išbraukti nuorodą į 416 straipsnio 1 dalį</w:t>
      </w:r>
      <w:r w:rsidR="002B4AC6" w:rsidRPr="00763767">
        <w:rPr>
          <w:color w:val="000000"/>
          <w:lang w:eastAsia="lt-LT" w:bidi="hi-IN"/>
        </w:rPr>
        <w:t xml:space="preserve"> ir atsisakyti žodinės pastabos skyrimo</w:t>
      </w:r>
      <w:r w:rsidRPr="00763767">
        <w:rPr>
          <w:color w:val="000000"/>
          <w:lang w:eastAsia="lt-LT" w:bidi="hi-IN"/>
        </w:rPr>
        <w:t xml:space="preserve">. Tikėtina, kad šie pakeitimai privers vairuotojus keisti savo įpročius ir paskatins važiuoti ne didesniu nei leistinas nustatytas greitis, tai taip pat turėtų sumažinti eismo įvykių skaičių ir sušvelninti eismo įvykių pasekmes. Atsižvelgus į tai, kad už greičio viršijimą iki </w:t>
      </w:r>
      <w:r w:rsidR="00957BA1" w:rsidRPr="00763767">
        <w:rPr>
          <w:color w:val="000000"/>
          <w:lang w:eastAsia="lt-LT" w:bidi="hi-IN"/>
        </w:rPr>
        <w:t>10 km/h</w:t>
      </w:r>
      <w:r w:rsidRPr="00763767">
        <w:rPr>
          <w:color w:val="000000"/>
          <w:lang w:eastAsia="lt-LT" w:bidi="hi-IN"/>
        </w:rPr>
        <w:t xml:space="preserve"> siūloma nustatyti baudą nuo dešimt iki dvidešimt eurų, taip pat įvertinus teisės pažeidimo (greičio viršijimas daugiau kaip </w:t>
      </w:r>
      <w:r w:rsidR="00957BA1" w:rsidRPr="00763767">
        <w:rPr>
          <w:color w:val="000000"/>
          <w:lang w:eastAsia="lt-LT" w:bidi="hi-IN"/>
        </w:rPr>
        <w:t>10 km/h</w:t>
      </w:r>
      <w:r w:rsidRPr="00763767">
        <w:rPr>
          <w:color w:val="000000"/>
          <w:lang w:eastAsia="lt-LT" w:bidi="hi-IN"/>
        </w:rPr>
        <w:t xml:space="preserve">, bet </w:t>
      </w:r>
      <w:r w:rsidRPr="00763767">
        <w:rPr>
          <w:color w:val="000000"/>
          <w:lang w:eastAsia="lt-LT" w:bidi="hi-IN"/>
        </w:rPr>
        <w:lastRenderedPageBreak/>
        <w:t xml:space="preserve">ne daugiau kaip </w:t>
      </w:r>
      <w:r w:rsidR="00957BA1" w:rsidRPr="00763767">
        <w:rPr>
          <w:color w:val="000000"/>
          <w:lang w:eastAsia="lt-LT" w:bidi="hi-IN"/>
        </w:rPr>
        <w:t>20 km/h</w:t>
      </w:r>
      <w:r w:rsidRPr="00763767">
        <w:rPr>
          <w:color w:val="000000"/>
          <w:lang w:eastAsia="lt-LT" w:bidi="hi-IN"/>
        </w:rPr>
        <w:t>) pavojingumą, ANK 416 straipsnio 2 dalyje siūloma padidinti minimalią baudą nuo dvylikos iki dvidešimt eurų.</w:t>
      </w:r>
    </w:p>
    <w:p w:rsidR="00DB6FF8" w:rsidRPr="00763767" w:rsidRDefault="00721F28">
      <w:pPr>
        <w:pStyle w:val="Standarduser"/>
        <w:ind w:firstLine="851"/>
        <w:jc w:val="both"/>
      </w:pPr>
      <w:r w:rsidRPr="00763767">
        <w:rPr>
          <w:color w:val="000000"/>
        </w:rPr>
        <w:t xml:space="preserve">Siūloma pakeisti ANK </w:t>
      </w:r>
      <w:r w:rsidRPr="00763767">
        <w:t>616 straipsnio 1 dalį atsisakant nuostatos dėl rašytinio proceso tvarka nagrinėjamos administracinio nusižengimo bylos vietos. Manytina, kad svarbiausia užtikrinti, jog administracinio nusižengimo bylą nagrinėtų kompetentinga institucija, o administracinio nusižengimo teisenoje dalyvaujantys asmenys žinotų, kokiai institucijai (įstaigai) gali teikti prašymus, paaiškinimus, reikalavimus. Institucijos savo vidiniais teisės aktais reglamentuotų, kuri jų įstaiga (padalinys) nagrinėtų atitinkamas bylas. Pažymėtina, kad nustačius baudą už greičio viršijimą iki 10 km/h padaugės administracinių bylų nagrinėjimo atvejų (asmenys nesumokės administraciniu nurodymu siūlomos baudos ir pan.). Siekdamas optimizuoti darbą tiriant nusižengimus, užfiksuotus teisės pažeidimų fiksavimo sistemomis, Policijos departamentas prie Vidaus reikalų ministerijos numato centralizuoti tokių nusižengimų tyrimą, t. y. tyrimą atliks ir administracinių nusižengimų bylas nagrinės (išskyrus bylas, kurios nagrinėjamos žodinio proceso tvarka) Lietuvos kelių policijos tarnyba. Žodinis administracinių nusižengimų bylų nagrinėjimas, kaip ir dabar, vyktų pagal ANK 628 straipsnyje nustatytą vietą, t. y. pagal</w:t>
      </w:r>
      <w:r w:rsidRPr="00763767">
        <w:rPr>
          <w:color w:val="000000"/>
        </w:rPr>
        <w:t xml:space="preserve"> nusižengimo padarymo vietą, o administracinio nusižengimo, kuris užfiksuotas stacionariomis ar mobiliosiomis teisės pažeidimų fiksavimo sistemomis, – </w:t>
      </w:r>
      <w:r w:rsidRPr="00763767">
        <w:t>pagal</w:t>
      </w:r>
      <w:r w:rsidRPr="00763767">
        <w:rPr>
          <w:color w:val="000000"/>
        </w:rPr>
        <w:t xml:space="preserve"> nusižengimo padarymo vietą arba pagal administracinio nusižengimo padarymu įtariamo asmens gyvenamąją vietą (transporto priemonės registracijos vietą).</w:t>
      </w:r>
    </w:p>
    <w:p w:rsidR="001356AF" w:rsidRPr="00763767" w:rsidRDefault="00721F28">
      <w:pPr>
        <w:pStyle w:val="Standarduser"/>
        <w:ind w:firstLine="851"/>
        <w:jc w:val="both"/>
      </w:pPr>
      <w:r w:rsidRPr="00763767">
        <w:t>SEAKĮ projektu siūloma papildyti SEAKĮ 2 straipsnį naujomis 19</w:t>
      </w:r>
      <w:r w:rsidRPr="00763767">
        <w:rPr>
          <w:vertAlign w:val="superscript"/>
        </w:rPr>
        <w:t>1</w:t>
      </w:r>
      <w:r w:rsidRPr="00763767">
        <w:t xml:space="preserve"> ir 30</w:t>
      </w:r>
      <w:r w:rsidRPr="00763767">
        <w:rPr>
          <w:vertAlign w:val="superscript"/>
        </w:rPr>
        <w:t>1</w:t>
      </w:r>
      <w:r w:rsidRPr="00763767">
        <w:t xml:space="preserve"> dalimis, kuriose būtų apibrėžtos sąvokos „eskortavimas“ ir „lydėjimas</w:t>
      </w:r>
      <w:r w:rsidR="00B06BC2" w:rsidRPr="00763767">
        <w:t xml:space="preserve"> specialiosiomis transporto priemonėmis</w:t>
      </w:r>
      <w:r w:rsidRPr="00763767">
        <w:t xml:space="preserve">“. Eskortavimą siūloma apibrėžti kaip veiklą, </w:t>
      </w:r>
      <w:r w:rsidR="00B06BC2" w:rsidRPr="00763767">
        <w:rPr>
          <w:kern w:val="0"/>
        </w:rPr>
        <w:t xml:space="preserve">kai specialiomis spalvomis nudažytomis specialiosiomis transporto priemonėmis – motociklais </w:t>
      </w:r>
      <w:r w:rsidR="00B06BC2" w:rsidRPr="00763767">
        <w:rPr>
          <w:kern w:val="0"/>
          <w:shd w:val="clear" w:color="auto" w:fill="FFFFFF" w:themeFill="background1"/>
        </w:rPr>
        <w:t>užtikrinamas iškilmingai lydimų</w:t>
      </w:r>
      <w:r w:rsidR="00B06BC2" w:rsidRPr="00763767">
        <w:rPr>
          <w:kern w:val="0"/>
        </w:rPr>
        <w:t xml:space="preserve"> transporto priemonių nestabdomas judėjimas ir eismo saugumas</w:t>
      </w:r>
      <w:r w:rsidRPr="00763767">
        <w:t>. Tokia apibrėžtis siūloma atsižvelgus į vyraujančią eskortavimo praktiką, kai oficialių asmenų eskortavimas vykdomas naudojant motociklus su skiriamaisiais ženklais ir įrengtais specialiaisiais garso bei šviesos signalais, pasirenkant tam tikrą taktiką bei išsidėstymą. Atitinkamai sąvoką „lydėjimas</w:t>
      </w:r>
      <w:r w:rsidR="00B06BC2" w:rsidRPr="00763767">
        <w:t xml:space="preserve"> specialiosiomis transporto priemonėmis</w:t>
      </w:r>
      <w:r w:rsidRPr="00763767">
        <w:t xml:space="preserve">“ siūloma apibrėžti kaip veiklą, kai </w:t>
      </w:r>
      <w:r w:rsidR="00B06BC2" w:rsidRPr="00763767">
        <w:rPr>
          <w:kern w:val="0"/>
        </w:rPr>
        <w:t xml:space="preserve">specialiosiomis transporto priemonėmis užtikrinamas lydimų transporto priemonių </w:t>
      </w:r>
      <w:r w:rsidR="00B06BC2" w:rsidRPr="00763767">
        <w:rPr>
          <w:rFonts w:eastAsia="Calibri"/>
          <w:bCs/>
          <w:kern w:val="0"/>
        </w:rPr>
        <w:t>nestabdomas judėjimas ir eismo saugumas</w:t>
      </w:r>
      <w:r w:rsidRPr="00763767">
        <w:t>.</w:t>
      </w:r>
      <w:r w:rsidR="00B06BC2" w:rsidRPr="00763767">
        <w:t xml:space="preserve"> Atsižvelgus į SEAKĮ </w:t>
      </w:r>
      <w:r w:rsidR="001356AF" w:rsidRPr="00763767">
        <w:t>siūlomas</w:t>
      </w:r>
      <w:r w:rsidR="00B06BC2" w:rsidRPr="00763767">
        <w:t xml:space="preserve"> įtraukti sąvokas</w:t>
      </w:r>
      <w:r w:rsidR="00CD4FC9" w:rsidRPr="00763767">
        <w:t>,</w:t>
      </w:r>
      <w:r w:rsidR="00B06BC2" w:rsidRPr="00763767">
        <w:t xml:space="preserve"> </w:t>
      </w:r>
      <w:r w:rsidR="001356AF" w:rsidRPr="00763767">
        <w:t xml:space="preserve">taip pat </w:t>
      </w:r>
      <w:r w:rsidR="00B06BC2" w:rsidRPr="00763767">
        <w:t>siūloma atitinkamai patikslinti (sistemiškai suderinti) SEAKĮ 10 straipsnio 9 dalies 10 punkto ir 19 straipsnio 1 dalies nuostatas,</w:t>
      </w:r>
      <w:r w:rsidR="00AE4C52" w:rsidRPr="00763767">
        <w:t xml:space="preserve"> kad</w:t>
      </w:r>
      <w:r w:rsidR="001356AF" w:rsidRPr="00763767">
        <w:t xml:space="preserve"> </w:t>
      </w:r>
      <w:r w:rsidR="00CD4FC9" w:rsidRPr="00763767">
        <w:t xml:space="preserve">specialiosiomis transporto priemonėmis </w:t>
      </w:r>
      <w:r w:rsidR="001356AF" w:rsidRPr="00763767">
        <w:t>eskort</w:t>
      </w:r>
      <w:r w:rsidR="00CD4FC9" w:rsidRPr="00763767">
        <w:t>uojamos (-i)</w:t>
      </w:r>
      <w:r w:rsidR="001356AF" w:rsidRPr="00763767">
        <w:t xml:space="preserve"> ir lyd</w:t>
      </w:r>
      <w:r w:rsidR="00CD4FC9" w:rsidRPr="00763767">
        <w:t>imos (-i)</w:t>
      </w:r>
      <w:r w:rsidR="001356AF" w:rsidRPr="00763767">
        <w:t xml:space="preserve"> oficiali</w:t>
      </w:r>
      <w:r w:rsidR="00CD4FC9" w:rsidRPr="00763767">
        <w:t>os</w:t>
      </w:r>
      <w:r w:rsidR="001356AF" w:rsidRPr="00763767">
        <w:t xml:space="preserve"> delegacij</w:t>
      </w:r>
      <w:r w:rsidR="00CD4FC9" w:rsidRPr="00763767">
        <w:t>os</w:t>
      </w:r>
      <w:r w:rsidR="001356AF" w:rsidRPr="00763767">
        <w:t xml:space="preserve"> ir </w:t>
      </w:r>
      <w:r w:rsidR="001356AF" w:rsidRPr="00763767">
        <w:rPr>
          <w:color w:val="000000"/>
        </w:rPr>
        <w:t>Lietuvos Respublikos vadovybės apsaugos įstatyme nurodyt</w:t>
      </w:r>
      <w:r w:rsidR="00CD4FC9" w:rsidRPr="00763767">
        <w:rPr>
          <w:color w:val="000000"/>
        </w:rPr>
        <w:t xml:space="preserve">i </w:t>
      </w:r>
      <w:r w:rsidR="001356AF" w:rsidRPr="00763767">
        <w:rPr>
          <w:color w:val="000000"/>
        </w:rPr>
        <w:t>saugom</w:t>
      </w:r>
      <w:r w:rsidR="00CD4FC9" w:rsidRPr="00763767">
        <w:rPr>
          <w:color w:val="000000"/>
        </w:rPr>
        <w:t>i</w:t>
      </w:r>
      <w:r w:rsidR="001356AF" w:rsidRPr="00763767">
        <w:rPr>
          <w:color w:val="000000"/>
        </w:rPr>
        <w:t xml:space="preserve"> asmen</w:t>
      </w:r>
      <w:r w:rsidR="00CD4FC9" w:rsidRPr="00763767">
        <w:rPr>
          <w:color w:val="000000"/>
        </w:rPr>
        <w:t>ys</w:t>
      </w:r>
      <w:r w:rsidR="001356AF" w:rsidRPr="00763767">
        <w:rPr>
          <w:color w:val="000000"/>
        </w:rPr>
        <w:t>.</w:t>
      </w:r>
    </w:p>
    <w:p w:rsidR="00B06BC2" w:rsidRPr="00763767" w:rsidRDefault="00B06BC2">
      <w:pPr>
        <w:pStyle w:val="Standarduser"/>
        <w:tabs>
          <w:tab w:val="left" w:pos="1134"/>
        </w:tabs>
        <w:ind w:firstLine="851"/>
        <w:jc w:val="both"/>
        <w:rPr>
          <w:b/>
        </w:rPr>
      </w:pPr>
    </w:p>
    <w:p w:rsidR="00DB6FF8" w:rsidRPr="00763767" w:rsidRDefault="00721F28">
      <w:pPr>
        <w:pStyle w:val="Standarduser"/>
        <w:tabs>
          <w:tab w:val="left" w:pos="1134"/>
        </w:tabs>
        <w:ind w:firstLine="851"/>
        <w:jc w:val="both"/>
      </w:pPr>
      <w:r w:rsidRPr="00763767">
        <w:rPr>
          <w:b/>
        </w:rPr>
        <w:t xml:space="preserve">5. </w:t>
      </w:r>
      <w:r w:rsidRPr="00763767">
        <w:rPr>
          <w:b/>
          <w:bCs/>
        </w:rPr>
        <w:t>Numatomo teisinio reguliavimo poveikio vertinimo rezultatai, galimos neigiamos priimtų įstatymų pasekmės ir kokių priemonių reikėtų imtis, kad tokių pasekmių būtų išvengta</w:t>
      </w:r>
    </w:p>
    <w:p w:rsidR="00DB6FF8" w:rsidRPr="00763767" w:rsidRDefault="00721F28">
      <w:pPr>
        <w:pStyle w:val="Standarduser"/>
        <w:tabs>
          <w:tab w:val="left" w:pos="1134"/>
        </w:tabs>
        <w:ind w:firstLine="851"/>
        <w:jc w:val="both"/>
      </w:pPr>
      <w:r w:rsidRPr="00763767">
        <w:t>Priėmus įstatymus, neigiamų pasekmių nenumatoma.</w:t>
      </w:r>
    </w:p>
    <w:p w:rsidR="00DB6FF8" w:rsidRPr="00763767" w:rsidRDefault="00DB6FF8">
      <w:pPr>
        <w:pStyle w:val="Standarduser"/>
        <w:tabs>
          <w:tab w:val="left" w:pos="1134"/>
        </w:tabs>
        <w:ind w:firstLine="851"/>
        <w:jc w:val="both"/>
        <w:rPr>
          <w:b/>
        </w:rPr>
      </w:pPr>
    </w:p>
    <w:p w:rsidR="00DB6FF8" w:rsidRPr="00763767" w:rsidRDefault="00721F28">
      <w:pPr>
        <w:pStyle w:val="Standarduser"/>
        <w:tabs>
          <w:tab w:val="left" w:pos="1134"/>
        </w:tabs>
        <w:ind w:firstLine="851"/>
        <w:jc w:val="both"/>
        <w:rPr>
          <w:b/>
        </w:rPr>
      </w:pPr>
      <w:r w:rsidRPr="00763767">
        <w:rPr>
          <w:b/>
        </w:rPr>
        <w:t>6. Kokią įtaką įstatymai turės kriminogeninei situacijai, korupcijai</w:t>
      </w:r>
    </w:p>
    <w:p w:rsidR="00DB6FF8" w:rsidRPr="00763767" w:rsidRDefault="00721F28">
      <w:pPr>
        <w:pStyle w:val="Standarduser"/>
        <w:tabs>
          <w:tab w:val="left" w:pos="1134"/>
        </w:tabs>
        <w:ind w:firstLine="851"/>
        <w:jc w:val="both"/>
      </w:pPr>
      <w:r w:rsidRPr="00763767">
        <w:rPr>
          <w:lang w:eastAsia="lt-LT"/>
        </w:rPr>
        <w:t xml:space="preserve">Teisės aktų pakeitimai turės prevencinės įtakos </w:t>
      </w:r>
      <w:r w:rsidRPr="00763767">
        <w:rPr>
          <w:bCs/>
          <w:color w:val="000000"/>
          <w:lang w:eastAsia="lt-LT" w:bidi="hi-IN"/>
        </w:rPr>
        <w:t>su vairavimu nesusijusiems veiksmams, skatins važiuoti leistinu nustatytu greičiu, dėl to sumažės eismo įvykių ir sušvelnės jų pasekmės. Didžioji dalis a</w:t>
      </w:r>
      <w:r w:rsidRPr="00763767">
        <w:rPr>
          <w:lang w:eastAsia="lt-LT"/>
        </w:rPr>
        <w:t>dministracinių nusižengimų protokolų už ANK 416 straipsnio 1 dalyje nurodytą nusižengimą bus formuojami automatiškai, t. y. bus eliminuojamas žmogiškasis faktorius, todėl toks procesinių dokumentų surašymas ir siuntimas nekelia grėsmės dėl korupcijos. Be to, už tokį nusižengimą (tiek pirmą, tiek pakartotinį) administraciniu nurodymu bus siūloma aiški fiksuota bauda.</w:t>
      </w:r>
    </w:p>
    <w:p w:rsidR="00DB6FF8" w:rsidRPr="00763767" w:rsidRDefault="00DB6FF8">
      <w:pPr>
        <w:pStyle w:val="Standarduser"/>
        <w:tabs>
          <w:tab w:val="left" w:pos="1134"/>
        </w:tabs>
        <w:ind w:firstLine="851"/>
        <w:jc w:val="both"/>
        <w:rPr>
          <w:lang w:eastAsia="lt-LT"/>
        </w:rPr>
      </w:pPr>
    </w:p>
    <w:p w:rsidR="00DB6FF8" w:rsidRPr="00763767" w:rsidRDefault="00721F28">
      <w:pPr>
        <w:pStyle w:val="Standarduser"/>
        <w:tabs>
          <w:tab w:val="left" w:pos="1134"/>
        </w:tabs>
        <w:ind w:firstLine="851"/>
        <w:jc w:val="both"/>
        <w:rPr>
          <w:b/>
        </w:rPr>
      </w:pPr>
      <w:r w:rsidRPr="00763767">
        <w:rPr>
          <w:b/>
        </w:rPr>
        <w:t>7. Kaip įstatymų įgyvendinimas atsilieps verslo sąlygoms ir jo plėtrai</w:t>
      </w:r>
    </w:p>
    <w:p w:rsidR="00DB6FF8" w:rsidRPr="00763767" w:rsidRDefault="00721F28">
      <w:pPr>
        <w:pStyle w:val="Standarduser"/>
        <w:ind w:firstLine="851"/>
        <w:jc w:val="both"/>
      </w:pPr>
      <w:r w:rsidRPr="00763767">
        <w:t>Įstatymų priėmimas neigiamos įtakos verslo sąlygoms ir jo plėtrai neturės.</w:t>
      </w:r>
    </w:p>
    <w:p w:rsidR="00DB6FF8" w:rsidRPr="00763767" w:rsidRDefault="00DB6FF8">
      <w:pPr>
        <w:pStyle w:val="Standarduser"/>
        <w:tabs>
          <w:tab w:val="left" w:pos="1134"/>
        </w:tabs>
        <w:ind w:firstLine="851"/>
        <w:jc w:val="both"/>
      </w:pPr>
    </w:p>
    <w:p w:rsidR="00DB6FF8" w:rsidRPr="00763767" w:rsidRDefault="00721F28">
      <w:pPr>
        <w:pStyle w:val="Standarduser"/>
        <w:tabs>
          <w:tab w:val="left" w:pos="1134"/>
        </w:tabs>
        <w:ind w:firstLine="851"/>
        <w:jc w:val="both"/>
      </w:pPr>
      <w:r w:rsidRPr="00763767">
        <w:rPr>
          <w:b/>
        </w:rPr>
        <w:t xml:space="preserve">8. </w:t>
      </w:r>
      <w:r w:rsidRPr="00763767">
        <w:rPr>
          <w:b/>
          <w:bCs/>
          <w:lang w:eastAsia="en-GB"/>
        </w:rPr>
        <w:t>Įstatymų inkorporavimas į teisinę sistemą, kokius teisės aktus būtina priimti, kokius galiojančius teisės aktus reikia pakeisti ar pripažinti netekusiais galios</w:t>
      </w:r>
    </w:p>
    <w:p w:rsidR="00DB6FF8" w:rsidRPr="00763767" w:rsidRDefault="00721F28">
      <w:pPr>
        <w:pStyle w:val="Standarduser"/>
        <w:tabs>
          <w:tab w:val="left" w:pos="1134"/>
        </w:tabs>
        <w:ind w:firstLine="851"/>
        <w:jc w:val="both"/>
      </w:pPr>
      <w:r w:rsidRPr="00763767">
        <w:t xml:space="preserve">Siekiant </w:t>
      </w:r>
      <w:r w:rsidRPr="00763767">
        <w:rPr>
          <w:color w:val="000000"/>
        </w:rPr>
        <w:t xml:space="preserve">įstatymus </w:t>
      </w:r>
      <w:r w:rsidRPr="00763767">
        <w:t>inkorporuoti nereikės keisti kitų įstatymų.</w:t>
      </w:r>
    </w:p>
    <w:p w:rsidR="00DB6FF8" w:rsidRPr="00763767" w:rsidRDefault="00DB6FF8">
      <w:pPr>
        <w:pStyle w:val="Standarduser"/>
        <w:tabs>
          <w:tab w:val="left" w:pos="5389"/>
        </w:tabs>
        <w:ind w:left="851" w:firstLine="851"/>
        <w:jc w:val="both"/>
      </w:pPr>
    </w:p>
    <w:p w:rsidR="00DB6FF8" w:rsidRPr="00763767" w:rsidRDefault="00721F28">
      <w:pPr>
        <w:pStyle w:val="Standarduser"/>
        <w:tabs>
          <w:tab w:val="left" w:pos="1134"/>
        </w:tabs>
        <w:ind w:firstLine="851"/>
        <w:jc w:val="both"/>
      </w:pPr>
      <w:r w:rsidRPr="00763767">
        <w:rPr>
          <w:b/>
          <w:bCs/>
        </w:rPr>
        <w:t xml:space="preserve">9. </w:t>
      </w:r>
      <w:r w:rsidRPr="00763767">
        <w:rPr>
          <w:b/>
          <w:bCs/>
          <w:lang w:eastAsia="en-GB"/>
        </w:rPr>
        <w:t xml:space="preserve">Ar įstatymų projektai parengti laikantis Lietuvos Respublikos valstybinės kalbos, </w:t>
      </w:r>
      <w:bookmarkStart w:id="0" w:name="n1_635"/>
      <w:bookmarkEnd w:id="0"/>
      <w:r w:rsidRPr="00763767">
        <w:rPr>
          <w:b/>
          <w:bCs/>
          <w:lang w:eastAsia="en-GB"/>
        </w:rPr>
        <w:t>Teisėkūros pagrindų įstatymų</w:t>
      </w:r>
      <w:bookmarkStart w:id="1" w:name="pn1_635"/>
      <w:bookmarkEnd w:id="1"/>
      <w:r w:rsidRPr="00763767">
        <w:rPr>
          <w:b/>
          <w:bCs/>
          <w:lang w:eastAsia="en-GB"/>
        </w:rPr>
        <w:t xml:space="preserve"> reikalavimų, o įstatymų projektų sąvokos ir jas įvardijantys terminai įvertinti </w:t>
      </w:r>
      <w:bookmarkStart w:id="2" w:name="n1_637"/>
      <w:bookmarkEnd w:id="2"/>
      <w:r w:rsidRPr="00763767">
        <w:rPr>
          <w:b/>
          <w:bCs/>
          <w:lang w:eastAsia="en-GB"/>
        </w:rPr>
        <w:t>Terminų banko įstatymo</w:t>
      </w:r>
      <w:bookmarkStart w:id="3" w:name="pn1_637"/>
      <w:bookmarkEnd w:id="3"/>
      <w:r w:rsidRPr="00763767">
        <w:rPr>
          <w:b/>
          <w:bCs/>
          <w:lang w:eastAsia="en-GB"/>
        </w:rPr>
        <w:t xml:space="preserve"> ir jo įgyvendinamųjų teisės aktų nustatyta tvarka</w:t>
      </w:r>
    </w:p>
    <w:p w:rsidR="0092091B" w:rsidRPr="00763767" w:rsidRDefault="00721F28" w:rsidP="0092091B">
      <w:pPr>
        <w:ind w:firstLine="851"/>
        <w:jc w:val="both"/>
        <w:rPr>
          <w:color w:val="000000"/>
          <w:szCs w:val="24"/>
        </w:rPr>
      </w:pPr>
      <w:r w:rsidRPr="00763767">
        <w:rPr>
          <w:szCs w:val="24"/>
          <w:lang w:eastAsia="lt-LT"/>
        </w:rPr>
        <w:t>Įstatymų</w:t>
      </w:r>
      <w:r w:rsidRPr="00763767">
        <w:rPr>
          <w:szCs w:val="24"/>
        </w:rPr>
        <w:t xml:space="preserve"> projektai parengti laikantis </w:t>
      </w:r>
      <w:r w:rsidRPr="00763767">
        <w:rPr>
          <w:bCs/>
          <w:szCs w:val="24"/>
          <w:lang w:eastAsia="en-GB"/>
        </w:rPr>
        <w:t>Lietuvos Respublikos</w:t>
      </w:r>
      <w:r w:rsidRPr="00763767">
        <w:rPr>
          <w:b/>
          <w:bCs/>
          <w:szCs w:val="24"/>
          <w:lang w:eastAsia="en-GB"/>
        </w:rPr>
        <w:t xml:space="preserve"> </w:t>
      </w:r>
      <w:r w:rsidRPr="00763767">
        <w:rPr>
          <w:szCs w:val="24"/>
        </w:rPr>
        <w:t xml:space="preserve">valstybinės kalbos, </w:t>
      </w:r>
      <w:r w:rsidRPr="00763767">
        <w:rPr>
          <w:bCs/>
          <w:szCs w:val="24"/>
          <w:lang w:eastAsia="en-GB"/>
        </w:rPr>
        <w:t>Lietuvos Respublikos t</w:t>
      </w:r>
      <w:r w:rsidRPr="00763767">
        <w:rPr>
          <w:szCs w:val="24"/>
          <w:lang w:eastAsia="en-GB"/>
        </w:rPr>
        <w:t>eisėkūros pagrindų įstatymų reikalavimų</w:t>
      </w:r>
      <w:r w:rsidRPr="00763767">
        <w:rPr>
          <w:szCs w:val="24"/>
        </w:rPr>
        <w:t xml:space="preserve"> ir atitinka bendrinės lietuvių kalbos normas.</w:t>
      </w:r>
      <w:r w:rsidR="0092091B" w:rsidRPr="00763767">
        <w:rPr>
          <w:szCs w:val="24"/>
        </w:rPr>
        <w:t xml:space="preserve"> Sąvokos </w:t>
      </w:r>
      <w:r w:rsidR="0092091B" w:rsidRPr="00763767">
        <w:rPr>
          <w:color w:val="000000"/>
          <w:szCs w:val="24"/>
        </w:rPr>
        <w:t>„eskortavimas“ ir „lydėjimas</w:t>
      </w:r>
      <w:r w:rsidR="00A00E7D" w:rsidRPr="00763767">
        <w:rPr>
          <w:color w:val="000000"/>
          <w:szCs w:val="24"/>
        </w:rPr>
        <w:t xml:space="preserve"> specialiosiomis transporto priemonėmis</w:t>
      </w:r>
      <w:r w:rsidR="0092091B" w:rsidRPr="00763767">
        <w:rPr>
          <w:color w:val="000000"/>
          <w:szCs w:val="24"/>
        </w:rPr>
        <w:t>“ įvertintos Terminų banko įstatymo ir jo įgyvendinamųjų teisės aktų nustatyta tvarka.</w:t>
      </w:r>
    </w:p>
    <w:p w:rsidR="00DB6FF8" w:rsidRPr="00763767" w:rsidRDefault="00DB6FF8" w:rsidP="0092091B">
      <w:pPr>
        <w:pStyle w:val="Standarduser"/>
        <w:tabs>
          <w:tab w:val="left" w:pos="1134"/>
        </w:tabs>
        <w:jc w:val="both"/>
        <w:rPr>
          <w:b/>
        </w:rPr>
      </w:pPr>
    </w:p>
    <w:p w:rsidR="00DB6FF8" w:rsidRPr="00763767" w:rsidRDefault="00721F28">
      <w:pPr>
        <w:pStyle w:val="Standarduser"/>
        <w:tabs>
          <w:tab w:val="left" w:pos="1134"/>
        </w:tabs>
        <w:ind w:firstLine="851"/>
        <w:jc w:val="both"/>
      </w:pPr>
      <w:r w:rsidRPr="00763767">
        <w:rPr>
          <w:b/>
          <w:bCs/>
        </w:rPr>
        <w:t>10. Ar į</w:t>
      </w:r>
      <w:r w:rsidRPr="00763767">
        <w:rPr>
          <w:b/>
          <w:lang w:eastAsia="lt-LT"/>
        </w:rPr>
        <w:t>statymų</w:t>
      </w:r>
      <w:r w:rsidRPr="00763767">
        <w:rPr>
          <w:b/>
          <w:bCs/>
        </w:rPr>
        <w:t xml:space="preserve"> projektai atitinka Žmogaus teisių ir pagrindinių laisvių apsaugos konvencijos nuostatas ir Europos Sąjungos dokumentus</w:t>
      </w:r>
    </w:p>
    <w:p w:rsidR="00DB6FF8" w:rsidRPr="00763767" w:rsidRDefault="00721F28">
      <w:pPr>
        <w:pStyle w:val="Standarduser"/>
        <w:tabs>
          <w:tab w:val="left" w:pos="1134"/>
        </w:tabs>
        <w:ind w:firstLine="851"/>
        <w:jc w:val="both"/>
      </w:pPr>
      <w:r w:rsidRPr="00763767">
        <w:rPr>
          <w:lang w:eastAsia="lt-LT"/>
        </w:rPr>
        <w:t>Įstatymų</w:t>
      </w:r>
      <w:r w:rsidRPr="00763767">
        <w:t xml:space="preserve"> projektai neprieštarauja Žmogaus teisių ir pagrindinių laisvių apsaugos konvencijos nuostatoms ir Europos Sąjungos dokumentams.</w:t>
      </w:r>
    </w:p>
    <w:p w:rsidR="00DB6FF8" w:rsidRPr="00763767" w:rsidRDefault="00DB6FF8">
      <w:pPr>
        <w:pStyle w:val="Standarduser"/>
        <w:tabs>
          <w:tab w:val="left" w:pos="1134"/>
        </w:tabs>
        <w:ind w:firstLine="851"/>
        <w:jc w:val="both"/>
        <w:rPr>
          <w:color w:val="000000"/>
        </w:rPr>
      </w:pPr>
    </w:p>
    <w:p w:rsidR="00DB6FF8" w:rsidRPr="00763767" w:rsidRDefault="00721F28">
      <w:pPr>
        <w:pStyle w:val="Standarduser"/>
        <w:tabs>
          <w:tab w:val="left" w:pos="1134"/>
        </w:tabs>
        <w:ind w:firstLine="851"/>
        <w:jc w:val="both"/>
      </w:pPr>
      <w:r w:rsidRPr="00763767">
        <w:rPr>
          <w:b/>
          <w:bCs/>
        </w:rPr>
        <w:t xml:space="preserve">11. </w:t>
      </w:r>
      <w:r w:rsidRPr="00763767">
        <w:rPr>
          <w:b/>
          <w:bCs/>
          <w:lang w:eastAsia="en-GB"/>
        </w:rPr>
        <w:t>Jeigu įstatymams įgyvendinti reikia įgyvendinamųjų teisės aktų, – kas ir kada juos turėtų priimti</w:t>
      </w:r>
    </w:p>
    <w:p w:rsidR="00DB6FF8" w:rsidRPr="00763767" w:rsidRDefault="00721F28">
      <w:pPr>
        <w:pStyle w:val="Standarduser"/>
        <w:tabs>
          <w:tab w:val="left" w:pos="1134"/>
        </w:tabs>
        <w:ind w:firstLine="851"/>
        <w:jc w:val="both"/>
        <w:rPr>
          <w:lang w:eastAsia="lt-LT"/>
        </w:rPr>
      </w:pPr>
      <w:r w:rsidRPr="00763767">
        <w:rPr>
          <w:lang w:eastAsia="lt-LT"/>
        </w:rPr>
        <w:t xml:space="preserve">Priėmus įstatymus, </w:t>
      </w:r>
      <w:r w:rsidR="00250000" w:rsidRPr="00763767">
        <w:rPr>
          <w:lang w:eastAsia="lt-LT"/>
        </w:rPr>
        <w:t xml:space="preserve">turės būti pakeistos Kelių eismo taisyklės, patvirtintos </w:t>
      </w:r>
      <w:r w:rsidR="00250000" w:rsidRPr="00763767">
        <w:t>Lietuvos Respublikos Vyriausybės 2002 m. gruodžio 11 d. nutarimu Nr. 1950 „Dėl Kelių eismo taisyklių patvirtinimo“.</w:t>
      </w:r>
      <w:r w:rsidRPr="00763767">
        <w:rPr>
          <w:lang w:eastAsia="lt-LT"/>
        </w:rPr>
        <w:t xml:space="preserve"> Lietuvos </w:t>
      </w:r>
      <w:r w:rsidR="00AF48A6" w:rsidRPr="00763767">
        <w:rPr>
          <w:lang w:eastAsia="lt-LT"/>
        </w:rPr>
        <w:t>transporto saugos administracijos direktoriaus</w:t>
      </w:r>
      <w:r w:rsidRPr="00763767">
        <w:rPr>
          <w:lang w:eastAsia="lt-LT"/>
        </w:rPr>
        <w:t xml:space="preserve"> įsakymu turės būti patvirtinti nauji Eismo įvykių informacinės sistemos nuostatai, o Lietuvos policijos generalinio komisaro 2015 m. birželio 30 d. įsakymas Nr. 5-V-601 „Dėl Eismo įvykių informacinės sistemos nuostatų patvirtinimo ir informacinės sistemos veiklos pradžios nustatymo“ pripažintas netekusiu galios.</w:t>
      </w:r>
    </w:p>
    <w:p w:rsidR="00DB6FF8" w:rsidRPr="00763767" w:rsidRDefault="00DB6FF8">
      <w:pPr>
        <w:pStyle w:val="Standarduser"/>
        <w:tabs>
          <w:tab w:val="left" w:pos="1134"/>
        </w:tabs>
        <w:ind w:firstLine="851"/>
        <w:jc w:val="both"/>
        <w:rPr>
          <w:color w:val="000000"/>
        </w:rPr>
      </w:pPr>
    </w:p>
    <w:p w:rsidR="00DB6FF8" w:rsidRPr="00763767" w:rsidRDefault="00721F28">
      <w:pPr>
        <w:pStyle w:val="Standarduser"/>
        <w:tabs>
          <w:tab w:val="left" w:pos="1134"/>
        </w:tabs>
        <w:ind w:firstLine="851"/>
        <w:jc w:val="both"/>
      </w:pPr>
      <w:r w:rsidRPr="00763767">
        <w:rPr>
          <w:b/>
          <w:bCs/>
        </w:rPr>
        <w:t xml:space="preserve">12. </w:t>
      </w:r>
      <w:r w:rsidRPr="00763767">
        <w:rPr>
          <w:b/>
          <w:lang w:eastAsia="lt-LT"/>
        </w:rPr>
        <w:t>Kiek valstybės, savivaldybių biudžetų ir kitų valstybės įsteigtų fondų lėšų prireiks įstatymams įgyvendinti, ar bus galima sutaupyti (pateikiami prognozuojami rodikliai einamaisiais ir artimiausiais 3 biudžetiniais metais)</w:t>
      </w:r>
    </w:p>
    <w:p w:rsidR="00DB6FF8" w:rsidRPr="00763767" w:rsidRDefault="00721F28">
      <w:pPr>
        <w:pStyle w:val="HTMLiankstoformatuotas"/>
        <w:ind w:firstLine="851"/>
        <w:jc w:val="both"/>
        <w:rPr>
          <w:rFonts w:ascii="Times New Roman" w:hAnsi="Times New Roman" w:cs="Times New Roman"/>
          <w:sz w:val="24"/>
          <w:szCs w:val="24"/>
        </w:rPr>
      </w:pPr>
      <w:r w:rsidRPr="00763767">
        <w:rPr>
          <w:rFonts w:ascii="Times New Roman" w:hAnsi="Times New Roman" w:cs="Times New Roman"/>
          <w:sz w:val="24"/>
          <w:szCs w:val="24"/>
        </w:rPr>
        <w:t>Įstatymams įgyvendinti lėšos numatytos Programoje (Eismo įvykių informacinei sistemai tobulinti, šios sistemos techniniam perkėlimui į Susisiekimo ministerijos valdomą ar kitą techninę infrastruktūrą, išlaikant Eismo įvykių informacinės sistemos integracijas su Administracinių nusižengimų registru ir užtikrinant duomenų gavimo ir teikimo sąsajas, – 4 mln. eurų).</w:t>
      </w:r>
    </w:p>
    <w:p w:rsidR="00DB6FF8" w:rsidRPr="00763767" w:rsidRDefault="00DB6FF8">
      <w:pPr>
        <w:pStyle w:val="Antrats"/>
        <w:tabs>
          <w:tab w:val="left" w:pos="1134"/>
        </w:tabs>
        <w:ind w:firstLine="851"/>
        <w:jc w:val="both"/>
        <w:rPr>
          <w:b/>
          <w:bCs/>
        </w:rPr>
      </w:pPr>
    </w:p>
    <w:p w:rsidR="00DB6FF8" w:rsidRPr="00763767" w:rsidRDefault="00721F28">
      <w:pPr>
        <w:pStyle w:val="Antrats"/>
        <w:tabs>
          <w:tab w:val="left" w:pos="1134"/>
        </w:tabs>
        <w:ind w:firstLine="851"/>
        <w:jc w:val="both"/>
      </w:pPr>
      <w:r w:rsidRPr="00763767">
        <w:rPr>
          <w:b/>
          <w:bCs/>
        </w:rPr>
        <w:t>13. Rengiant į</w:t>
      </w:r>
      <w:r w:rsidRPr="00763767">
        <w:rPr>
          <w:b/>
          <w:bCs/>
          <w:lang w:eastAsia="en-GB"/>
        </w:rPr>
        <w:t>statymų projektus gauti specialistų vertinimai ir išvados</w:t>
      </w:r>
    </w:p>
    <w:p w:rsidR="00DB6FF8" w:rsidRPr="00763767" w:rsidRDefault="00721F28">
      <w:pPr>
        <w:pStyle w:val="Antrats"/>
        <w:tabs>
          <w:tab w:val="left" w:pos="1134"/>
        </w:tabs>
        <w:ind w:firstLine="851"/>
        <w:jc w:val="both"/>
      </w:pPr>
      <w:r w:rsidRPr="00763767">
        <w:t>Rengiant Įstatymų projektus negauta specialistų vertinimų.</w:t>
      </w:r>
    </w:p>
    <w:p w:rsidR="00DB6FF8" w:rsidRPr="00763767" w:rsidRDefault="00DB6FF8">
      <w:pPr>
        <w:pStyle w:val="Standarduser"/>
        <w:tabs>
          <w:tab w:val="left" w:pos="1134"/>
        </w:tabs>
        <w:ind w:firstLine="851"/>
        <w:jc w:val="both"/>
        <w:rPr>
          <w:color w:val="000000"/>
        </w:rPr>
      </w:pPr>
    </w:p>
    <w:p w:rsidR="00DB6FF8" w:rsidRPr="00763767" w:rsidRDefault="00721F28">
      <w:pPr>
        <w:pStyle w:val="Antrats"/>
        <w:tabs>
          <w:tab w:val="left" w:pos="1134"/>
        </w:tabs>
        <w:ind w:firstLine="851"/>
        <w:jc w:val="both"/>
      </w:pPr>
      <w:r w:rsidRPr="00763767">
        <w:rPr>
          <w:b/>
          <w:bCs/>
        </w:rPr>
        <w:t xml:space="preserve">14. </w:t>
      </w:r>
      <w:r w:rsidRPr="00763767">
        <w:rPr>
          <w:rStyle w:val="FontStyle13"/>
          <w:bCs/>
          <w:sz w:val="24"/>
        </w:rPr>
        <w:t xml:space="preserve">Reikšminiai žodžiai, kurių reikia šiems projektams įtraukti į kompiuterinę paieškos sistemą, įskaitant Europos žodyno </w:t>
      </w:r>
      <w:r w:rsidRPr="00763767">
        <w:rPr>
          <w:rStyle w:val="FontStyle13"/>
          <w:bCs/>
          <w:i/>
          <w:sz w:val="24"/>
        </w:rPr>
        <w:t xml:space="preserve">Eurovoc </w:t>
      </w:r>
      <w:r w:rsidRPr="00763767">
        <w:rPr>
          <w:rStyle w:val="FontStyle13"/>
          <w:bCs/>
          <w:sz w:val="24"/>
        </w:rPr>
        <w:t>terminus, temas bei sritis</w:t>
      </w:r>
    </w:p>
    <w:p w:rsidR="00DB6FF8" w:rsidRPr="00763767" w:rsidRDefault="00721F28">
      <w:pPr>
        <w:pStyle w:val="Standarduser"/>
        <w:tabs>
          <w:tab w:val="left" w:pos="1134"/>
        </w:tabs>
        <w:ind w:right="43" w:firstLine="851"/>
        <w:jc w:val="both"/>
      </w:pPr>
      <w:r w:rsidRPr="00763767">
        <w:rPr>
          <w:lang w:eastAsia="en-GB"/>
        </w:rPr>
        <w:t xml:space="preserve">Reikšminiai žodžiai, kurių reikia Įstatymų projektams įtraukti į kompiuterinę paieškos sistemą: </w:t>
      </w:r>
      <w:r w:rsidRPr="00763767">
        <w:t>„administracinis nusižengimas“,</w:t>
      </w:r>
      <w:r w:rsidRPr="00763767">
        <w:rPr>
          <w:color w:val="000000"/>
        </w:rPr>
        <w:t xml:space="preserve"> „greičio viršijimas“, „naudojimasis </w:t>
      </w:r>
      <w:r w:rsidR="000D494B" w:rsidRPr="00763767">
        <w:rPr>
          <w:color w:val="000000"/>
        </w:rPr>
        <w:t>mobiliojo ryšio priemonėmis</w:t>
      </w:r>
      <w:r w:rsidRPr="00763767">
        <w:rPr>
          <w:color w:val="000000"/>
        </w:rPr>
        <w:t xml:space="preserve"> vairuojant“, „Eismo įvykių informacinė sistema“.</w:t>
      </w:r>
    </w:p>
    <w:p w:rsidR="00DB6FF8" w:rsidRPr="00763767" w:rsidRDefault="00DB6FF8">
      <w:pPr>
        <w:pStyle w:val="Betarp"/>
        <w:tabs>
          <w:tab w:val="left" w:pos="1134"/>
        </w:tabs>
        <w:ind w:firstLine="851"/>
        <w:jc w:val="both"/>
        <w:rPr>
          <w:b/>
          <w:bCs/>
          <w:szCs w:val="24"/>
          <w:lang w:val="lt-LT"/>
        </w:rPr>
      </w:pPr>
    </w:p>
    <w:p w:rsidR="00DB6FF8" w:rsidRPr="00763767" w:rsidRDefault="00721F28">
      <w:pPr>
        <w:pStyle w:val="Betarp"/>
        <w:tabs>
          <w:tab w:val="left" w:pos="1134"/>
        </w:tabs>
        <w:ind w:firstLine="851"/>
        <w:jc w:val="both"/>
        <w:rPr>
          <w:szCs w:val="24"/>
          <w:lang w:val="lt-LT"/>
        </w:rPr>
      </w:pPr>
      <w:r w:rsidRPr="00763767">
        <w:rPr>
          <w:b/>
          <w:bCs/>
          <w:szCs w:val="24"/>
          <w:lang w:val="lt-LT"/>
        </w:rPr>
        <w:t xml:space="preserve">15. </w:t>
      </w:r>
      <w:r w:rsidRPr="00763767">
        <w:rPr>
          <w:b/>
          <w:bCs/>
          <w:szCs w:val="24"/>
          <w:lang w:val="lt-LT" w:eastAsia="en-GB"/>
        </w:rPr>
        <w:t>Kiti, iniciatorių nuomone, reikalingi pagrindimai ir paaiškinimai</w:t>
      </w:r>
    </w:p>
    <w:p w:rsidR="00DB6FF8" w:rsidRPr="00763767" w:rsidRDefault="00721F28">
      <w:pPr>
        <w:pStyle w:val="Standarduser"/>
        <w:ind w:firstLine="851"/>
        <w:jc w:val="both"/>
      </w:pPr>
      <w:r w:rsidRPr="00763767">
        <w:t>Nėra.</w:t>
      </w:r>
      <w:bookmarkStart w:id="4" w:name="_GoBack"/>
      <w:bookmarkEnd w:id="4"/>
    </w:p>
    <w:sectPr w:rsidR="00DB6FF8" w:rsidRPr="00763767">
      <w:headerReference w:type="default" r:id="rId9"/>
      <w:headerReference w:type="firs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7EF" w:rsidRDefault="006037EF">
      <w:r>
        <w:separator/>
      </w:r>
    </w:p>
  </w:endnote>
  <w:endnote w:type="continuationSeparator" w:id="0">
    <w:p w:rsidR="006037EF" w:rsidRDefault="0060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Consolas"/>
    <w:charset w:val="00"/>
    <w:family w:val="modern"/>
    <w:pitch w:val="fixed"/>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7EF" w:rsidRDefault="006037EF">
      <w:r>
        <w:rPr>
          <w:color w:val="000000"/>
        </w:rPr>
        <w:separator/>
      </w:r>
    </w:p>
  </w:footnote>
  <w:footnote w:type="continuationSeparator" w:id="0">
    <w:p w:rsidR="006037EF" w:rsidRDefault="006037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3CB" w:rsidRDefault="00721F28">
    <w:pPr>
      <w:pStyle w:val="Antrats"/>
      <w:jc w:val="center"/>
    </w:pPr>
    <w:r>
      <w:fldChar w:fldCharType="begin"/>
    </w:r>
    <w:r>
      <w:instrText xml:space="preserve"> PAGE </w:instrText>
    </w:r>
    <w:r>
      <w:fldChar w:fldCharType="separate"/>
    </w:r>
    <w:r w:rsidR="00763767">
      <w:rPr>
        <w:noProof/>
      </w:rPr>
      <w:t>5</w:t>
    </w:r>
    <w:r>
      <w:fldChar w:fldCharType="end"/>
    </w:r>
  </w:p>
  <w:p w:rsidR="00B673CB" w:rsidRDefault="006037E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3CB" w:rsidRDefault="006037EF">
    <w:pPr>
      <w:pStyle w:val="Textbodyuser"/>
      <w:ind w:left="7371"/>
      <w:outlineLvl w:val="0"/>
    </w:pPr>
  </w:p>
  <w:p w:rsidR="00B673CB" w:rsidRDefault="006037E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C5CAF"/>
    <w:multiLevelType w:val="multilevel"/>
    <w:tmpl w:val="D9D2E708"/>
    <w:styleLink w:val="WW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nsid w:val="0F5C6D7A"/>
    <w:multiLevelType w:val="multilevel"/>
    <w:tmpl w:val="7EE46EEC"/>
    <w:styleLink w:val="WWNum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nsid w:val="1FA82FF4"/>
    <w:multiLevelType w:val="multilevel"/>
    <w:tmpl w:val="C5549CE0"/>
    <w:styleLink w:val="Sraonr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nsid w:val="426F5C54"/>
    <w:multiLevelType w:val="multilevel"/>
    <w:tmpl w:val="7D3A86AA"/>
    <w:styleLink w:val="WWNum6"/>
    <w:lvl w:ilvl="0">
      <w:start w:val="1"/>
      <w:numFmt w:val="decimal"/>
      <w:lvlText w:val="%1."/>
      <w:lvlJc w:val="left"/>
      <w:pPr>
        <w:ind w:left="720" w:hanging="360"/>
      </w:pPr>
      <w:rPr>
        <w:sz w:val="24"/>
        <w:szCs w:val="24"/>
        <w:lang w:val="en-US"/>
      </w:rPr>
    </w:lvl>
    <w:lvl w:ilvl="1">
      <w:start w:val="1"/>
      <w:numFmt w:val="decimal"/>
      <w:lvlText w:val="%2."/>
      <w:lvlJc w:val="left"/>
      <w:pPr>
        <w:ind w:left="1080" w:hanging="360"/>
      </w:pPr>
      <w:rPr>
        <w:sz w:val="24"/>
        <w:szCs w:val="24"/>
        <w:lang w:val="en-US"/>
      </w:rPr>
    </w:lvl>
    <w:lvl w:ilvl="2">
      <w:start w:val="1"/>
      <w:numFmt w:val="decimal"/>
      <w:lvlText w:val="%3."/>
      <w:lvlJc w:val="left"/>
      <w:pPr>
        <w:ind w:left="1440" w:hanging="360"/>
      </w:pPr>
      <w:rPr>
        <w:sz w:val="24"/>
        <w:szCs w:val="24"/>
        <w:lang w:val="en-US"/>
      </w:rPr>
    </w:lvl>
    <w:lvl w:ilvl="3">
      <w:start w:val="1"/>
      <w:numFmt w:val="decimal"/>
      <w:lvlText w:val="%4."/>
      <w:lvlJc w:val="left"/>
      <w:pPr>
        <w:ind w:left="1800" w:hanging="360"/>
      </w:pPr>
      <w:rPr>
        <w:sz w:val="24"/>
        <w:szCs w:val="24"/>
        <w:lang w:val="en-US"/>
      </w:rPr>
    </w:lvl>
    <w:lvl w:ilvl="4">
      <w:start w:val="1"/>
      <w:numFmt w:val="decimal"/>
      <w:lvlText w:val="%5."/>
      <w:lvlJc w:val="left"/>
      <w:pPr>
        <w:ind w:left="2160" w:hanging="360"/>
      </w:pPr>
      <w:rPr>
        <w:sz w:val="24"/>
        <w:szCs w:val="24"/>
        <w:lang w:val="en-US"/>
      </w:rPr>
    </w:lvl>
    <w:lvl w:ilvl="5">
      <w:start w:val="1"/>
      <w:numFmt w:val="decimal"/>
      <w:lvlText w:val="%6."/>
      <w:lvlJc w:val="left"/>
      <w:pPr>
        <w:ind w:left="2520" w:hanging="360"/>
      </w:pPr>
      <w:rPr>
        <w:sz w:val="24"/>
        <w:szCs w:val="24"/>
        <w:lang w:val="en-US"/>
      </w:rPr>
    </w:lvl>
    <w:lvl w:ilvl="6">
      <w:start w:val="1"/>
      <w:numFmt w:val="decimal"/>
      <w:lvlText w:val="%7."/>
      <w:lvlJc w:val="left"/>
      <w:pPr>
        <w:ind w:left="2880" w:hanging="360"/>
      </w:pPr>
      <w:rPr>
        <w:sz w:val="24"/>
        <w:szCs w:val="24"/>
        <w:lang w:val="en-US"/>
      </w:rPr>
    </w:lvl>
    <w:lvl w:ilvl="7">
      <w:start w:val="1"/>
      <w:numFmt w:val="decimal"/>
      <w:lvlText w:val="%8."/>
      <w:lvlJc w:val="left"/>
      <w:pPr>
        <w:ind w:left="3240" w:hanging="360"/>
      </w:pPr>
      <w:rPr>
        <w:sz w:val="24"/>
        <w:szCs w:val="24"/>
        <w:lang w:val="en-US"/>
      </w:rPr>
    </w:lvl>
    <w:lvl w:ilvl="8">
      <w:start w:val="1"/>
      <w:numFmt w:val="decimal"/>
      <w:lvlText w:val="%9."/>
      <w:lvlJc w:val="left"/>
      <w:pPr>
        <w:ind w:left="3600" w:hanging="360"/>
      </w:pPr>
      <w:rPr>
        <w:sz w:val="24"/>
        <w:szCs w:val="24"/>
        <w:lang w:val="en-US"/>
      </w:rPr>
    </w:lvl>
  </w:abstractNum>
  <w:abstractNum w:abstractNumId="4">
    <w:nsid w:val="48F05820"/>
    <w:multiLevelType w:val="multilevel"/>
    <w:tmpl w:val="0A7E0974"/>
    <w:styleLink w:val="WWNum3"/>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abstractNum w:abstractNumId="5">
    <w:nsid w:val="51AB5DF3"/>
    <w:multiLevelType w:val="multilevel"/>
    <w:tmpl w:val="1902E772"/>
    <w:styleLink w:val="Sraonra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5F813320"/>
    <w:multiLevelType w:val="multilevel"/>
    <w:tmpl w:val="3A124CCE"/>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68833CD1"/>
    <w:multiLevelType w:val="multilevel"/>
    <w:tmpl w:val="BA24AF9C"/>
    <w:styleLink w:val="WWNum2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nsid w:val="68CF1F9B"/>
    <w:multiLevelType w:val="multilevel"/>
    <w:tmpl w:val="82CC36E6"/>
    <w:styleLink w:val="WWNum5"/>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abstractNum w:abstractNumId="9">
    <w:nsid w:val="7BD84E0D"/>
    <w:multiLevelType w:val="multilevel"/>
    <w:tmpl w:val="22821AF8"/>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5"/>
  </w:num>
  <w:num w:numId="3">
    <w:abstractNumId w:val="6"/>
  </w:num>
  <w:num w:numId="4">
    <w:abstractNumId w:val="9"/>
  </w:num>
  <w:num w:numId="5">
    <w:abstractNumId w:val="1"/>
  </w:num>
  <w:num w:numId="6">
    <w:abstractNumId w:val="7"/>
  </w:num>
  <w:num w:numId="7">
    <w:abstractNumId w:val="4"/>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FF8"/>
    <w:rsid w:val="0004390D"/>
    <w:rsid w:val="00082403"/>
    <w:rsid w:val="000D494B"/>
    <w:rsid w:val="001077BD"/>
    <w:rsid w:val="00110197"/>
    <w:rsid w:val="001356AF"/>
    <w:rsid w:val="00136148"/>
    <w:rsid w:val="00152A9F"/>
    <w:rsid w:val="00200A77"/>
    <w:rsid w:val="00250000"/>
    <w:rsid w:val="002B4AC6"/>
    <w:rsid w:val="00342F4E"/>
    <w:rsid w:val="00374756"/>
    <w:rsid w:val="003A5C6D"/>
    <w:rsid w:val="003C333D"/>
    <w:rsid w:val="004237D2"/>
    <w:rsid w:val="00474FE2"/>
    <w:rsid w:val="005574DE"/>
    <w:rsid w:val="005C4346"/>
    <w:rsid w:val="006037EF"/>
    <w:rsid w:val="0060394D"/>
    <w:rsid w:val="0062094D"/>
    <w:rsid w:val="006529F3"/>
    <w:rsid w:val="00665F3A"/>
    <w:rsid w:val="006910AB"/>
    <w:rsid w:val="006967F9"/>
    <w:rsid w:val="006D4BF6"/>
    <w:rsid w:val="00701AE1"/>
    <w:rsid w:val="0071407D"/>
    <w:rsid w:val="00721F28"/>
    <w:rsid w:val="00756D97"/>
    <w:rsid w:val="00763767"/>
    <w:rsid w:val="007B712D"/>
    <w:rsid w:val="007C510F"/>
    <w:rsid w:val="007E236A"/>
    <w:rsid w:val="007F5F1C"/>
    <w:rsid w:val="00876588"/>
    <w:rsid w:val="0092091B"/>
    <w:rsid w:val="009505EA"/>
    <w:rsid w:val="00957BA1"/>
    <w:rsid w:val="00973F63"/>
    <w:rsid w:val="00994DA7"/>
    <w:rsid w:val="009A14E3"/>
    <w:rsid w:val="009B03CF"/>
    <w:rsid w:val="009E3F83"/>
    <w:rsid w:val="00A00E7D"/>
    <w:rsid w:val="00A256D6"/>
    <w:rsid w:val="00AE4C52"/>
    <w:rsid w:val="00AF48A6"/>
    <w:rsid w:val="00B06BC2"/>
    <w:rsid w:val="00B41800"/>
    <w:rsid w:val="00BD1035"/>
    <w:rsid w:val="00BF1C2C"/>
    <w:rsid w:val="00BF2BDC"/>
    <w:rsid w:val="00CD4FC9"/>
    <w:rsid w:val="00D67EF7"/>
    <w:rsid w:val="00D80C4E"/>
    <w:rsid w:val="00DA76D1"/>
    <w:rsid w:val="00DB6FF8"/>
    <w:rsid w:val="00E01E62"/>
    <w:rsid w:val="00EA5B2E"/>
    <w:rsid w:val="00F067B7"/>
    <w:rsid w:val="00FB77C0"/>
    <w:rsid w:val="00FD3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E3D51-A9FC-4AE3-B9F2-5988563E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Pr>
      <w:lang w:val="lt-LT"/>
    </w:rPr>
  </w:style>
  <w:style w:type="paragraph" w:customStyle="1" w:styleId="Heading">
    <w:name w:val="Heading"/>
    <w:basedOn w:val="Standarduser"/>
    <w:next w:val="Textbodyuser"/>
    <w:pPr>
      <w:keepNext/>
      <w:widowControl w:val="0"/>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Sraas">
    <w:name w:val="List"/>
    <w:basedOn w:val="Standarduser"/>
    <w:pPr>
      <w:widowControl w:val="0"/>
    </w:pPr>
    <w:rPr>
      <w:rFonts w:cs="Arial"/>
    </w:rPr>
  </w:style>
  <w:style w:type="paragraph" w:styleId="Antrat">
    <w:name w:val="caption"/>
    <w:pPr>
      <w:suppressLineNumbers/>
      <w:spacing w:before="120" w:after="120"/>
    </w:pPr>
    <w:rPr>
      <w:rFonts w:cs="Arial"/>
      <w:i/>
      <w:iCs/>
    </w:rPr>
  </w:style>
  <w:style w:type="paragraph" w:customStyle="1" w:styleId="Index">
    <w:name w:val="Index"/>
    <w:basedOn w:val="Standarduser"/>
    <w:pPr>
      <w:widowControl w:val="0"/>
      <w:suppressLineNumbers/>
    </w:pPr>
    <w:rPr>
      <w:rFonts w:cs="Arial"/>
    </w:rPr>
  </w:style>
  <w:style w:type="paragraph" w:customStyle="1" w:styleId="Standarduser">
    <w:name w:val="Standard (user)"/>
    <w:pPr>
      <w:widowControl/>
    </w:pPr>
    <w:rPr>
      <w:szCs w:val="24"/>
      <w:lang w:val="lt-LT"/>
    </w:rPr>
  </w:style>
  <w:style w:type="paragraph" w:customStyle="1" w:styleId="Textbodyuser">
    <w:name w:val="Text body (user)"/>
    <w:basedOn w:val="Standarduser"/>
    <w:pPr>
      <w:jc w:val="both"/>
    </w:pPr>
    <w:rPr>
      <w:b/>
      <w:bCs/>
    </w:rPr>
  </w:style>
  <w:style w:type="paragraph" w:styleId="prastasiniatinklio">
    <w:name w:val="Normal (Web)"/>
    <w:basedOn w:val="Standarduser"/>
    <w:pPr>
      <w:spacing w:before="280" w:after="280"/>
    </w:pPr>
  </w:style>
  <w:style w:type="paragraph" w:styleId="Debesliotekstas">
    <w:name w:val="Balloon Text"/>
    <w:basedOn w:val="Standarduser"/>
    <w:rPr>
      <w:rFonts w:ascii="Tahoma" w:eastAsia="Tahoma" w:hAnsi="Tahoma" w:cs="Tahoma"/>
      <w:sz w:val="16"/>
      <w:szCs w:val="16"/>
    </w:rPr>
  </w:style>
  <w:style w:type="paragraph" w:customStyle="1" w:styleId="HeaderandFooter">
    <w:name w:val="Header and Footer"/>
    <w:basedOn w:val="Standard"/>
  </w:style>
  <w:style w:type="paragraph" w:styleId="Antrats">
    <w:name w:val="header"/>
    <w:basedOn w:val="Standarduser"/>
    <w:pPr>
      <w:tabs>
        <w:tab w:val="center" w:pos="4819"/>
        <w:tab w:val="right" w:pos="9638"/>
      </w:tabs>
    </w:pPr>
  </w:style>
  <w:style w:type="paragraph" w:styleId="Porat">
    <w:name w:val="footer"/>
    <w:basedOn w:val="Standarduser"/>
    <w:pPr>
      <w:tabs>
        <w:tab w:val="center" w:pos="4819"/>
        <w:tab w:val="right" w:pos="9638"/>
      </w:tabs>
    </w:pPr>
  </w:style>
  <w:style w:type="paragraph" w:styleId="Komentarotekstas">
    <w:name w:val="annotation text"/>
    <w:basedOn w:val="Standarduser"/>
    <w:rPr>
      <w:sz w:val="20"/>
      <w:szCs w:val="20"/>
    </w:rPr>
  </w:style>
  <w:style w:type="paragraph" w:styleId="Komentarotema">
    <w:name w:val="annotation subject"/>
    <w:basedOn w:val="Komentarotekstas"/>
    <w:rPr>
      <w:b/>
      <w:bCs/>
    </w:rPr>
  </w:style>
  <w:style w:type="paragraph" w:styleId="Sraopastraipa">
    <w:name w:val="List Paragraph"/>
    <w:basedOn w:val="Standarduser"/>
    <w:pPr>
      <w:ind w:left="720"/>
    </w:pPr>
  </w:style>
  <w:style w:type="paragraph" w:styleId="Betarp">
    <w:name w:val="No Spacing"/>
    <w:pPr>
      <w:widowControl/>
    </w:pPr>
    <w:rPr>
      <w:szCs w:val="22"/>
      <w:lang w:val="ru-RU"/>
    </w:rPr>
  </w:style>
  <w:style w:type="paragraph" w:styleId="HTMLiankstoformatuotas">
    <w:name w:val="HTML Preformatted"/>
    <w:basedOn w:val="Standarduse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Typewriter">
    <w:name w:val="Typewriter"/>
    <w:rPr>
      <w:rFonts w:ascii="Courier New" w:eastAsia="Courier New" w:hAnsi="Courier New" w:cs="Courier New"/>
      <w:sz w:val="20"/>
    </w:rPr>
  </w:style>
  <w:style w:type="character" w:customStyle="1" w:styleId="Internetlinkuser">
    <w:name w:val="Internet link (user)"/>
    <w:rPr>
      <w:color w:val="0000FF"/>
      <w:u w:val="single"/>
    </w:rPr>
  </w:style>
  <w:style w:type="character" w:customStyle="1" w:styleId="HeaderChar">
    <w:name w:val="Header Char"/>
    <w:rPr>
      <w:sz w:val="24"/>
      <w:szCs w:val="24"/>
      <w:lang w:eastAsia="en-US"/>
    </w:rPr>
  </w:style>
  <w:style w:type="character" w:customStyle="1" w:styleId="FooterChar">
    <w:name w:val="Footer Char"/>
    <w:rPr>
      <w:sz w:val="24"/>
      <w:szCs w:val="24"/>
      <w:lang w:eastAsia="en-US"/>
    </w:rPr>
  </w:style>
  <w:style w:type="character" w:styleId="Komentaronuoroda">
    <w:name w:val="annotation reference"/>
    <w:basedOn w:val="Numatytasispastraiposriftas"/>
    <w:rPr>
      <w:sz w:val="16"/>
      <w:szCs w:val="16"/>
    </w:rPr>
  </w:style>
  <w:style w:type="character" w:customStyle="1" w:styleId="CommentTextChar">
    <w:name w:val="Comment Text Char"/>
    <w:basedOn w:val="Numatytasispastraiposriftas"/>
    <w:rPr>
      <w:lang w:val="lt-LT"/>
    </w:rPr>
  </w:style>
  <w:style w:type="character" w:customStyle="1" w:styleId="CommentSubjectChar">
    <w:name w:val="Comment Subject Char"/>
    <w:basedOn w:val="CommentTextChar"/>
    <w:rPr>
      <w:b/>
      <w:bCs/>
      <w:lang w:val="lt-LT"/>
    </w:rPr>
  </w:style>
  <w:style w:type="character" w:customStyle="1" w:styleId="apple-converted-space">
    <w:name w:val="apple-converted-space"/>
    <w:basedOn w:val="Numatytasispastraiposriftas"/>
  </w:style>
  <w:style w:type="character" w:customStyle="1" w:styleId="NumberingSymbols">
    <w:name w:val="Numbering Symbols"/>
  </w:style>
  <w:style w:type="character" w:customStyle="1" w:styleId="ListLabel1">
    <w:name w:val="ListLabel 1"/>
    <w:rPr>
      <w:color w:val="000000"/>
    </w:rPr>
  </w:style>
  <w:style w:type="character" w:customStyle="1" w:styleId="ListLabel2">
    <w:name w:val="ListLabel 2"/>
    <w:rPr>
      <w:b/>
      <w:color w:val="000000"/>
      <w:lang w:val="lt-LT"/>
    </w:rPr>
  </w:style>
  <w:style w:type="character" w:customStyle="1" w:styleId="ListLabel3">
    <w:name w:val="ListLabel 3"/>
    <w:rPr>
      <w:b w:val="0"/>
      <w:bCs w:val="0"/>
      <w:color w:val="000000"/>
    </w:rPr>
  </w:style>
  <w:style w:type="character" w:customStyle="1" w:styleId="ListLabel4">
    <w:name w:val="ListLabel 4"/>
    <w:rPr>
      <w:b/>
      <w:color w:val="000000"/>
      <w:lang w:val="lt-LT"/>
    </w:rPr>
  </w:style>
  <w:style w:type="character" w:customStyle="1" w:styleId="ListLabel5">
    <w:name w:val="ListLabel 5"/>
    <w:rPr>
      <w:b w:val="0"/>
      <w:bCs w:val="0"/>
      <w:color w:val="000000"/>
    </w:rPr>
  </w:style>
  <w:style w:type="character" w:customStyle="1" w:styleId="ListLabel6">
    <w:name w:val="ListLabel 6"/>
    <w:rPr>
      <w:b/>
      <w:bCs w:val="0"/>
      <w:color w:val="000000"/>
    </w:rPr>
  </w:style>
  <w:style w:type="character" w:customStyle="1" w:styleId="ListLabel7">
    <w:name w:val="ListLabel 7"/>
    <w:rPr>
      <w:b w:val="0"/>
      <w:bCs w:val="0"/>
      <w:color w:val="000000"/>
    </w:rPr>
  </w:style>
  <w:style w:type="character" w:customStyle="1" w:styleId="ListLabel8">
    <w:name w:val="ListLabel 8"/>
    <w:rPr>
      <w:b/>
      <w:bCs w:val="0"/>
      <w:color w:val="000000"/>
    </w:rPr>
  </w:style>
  <w:style w:type="character" w:customStyle="1" w:styleId="ListLabel9">
    <w:name w:val="ListLabel 9"/>
    <w:rPr>
      <w:b/>
      <w:bCs w:val="0"/>
      <w:color w:val="000000"/>
    </w:rPr>
  </w:style>
  <w:style w:type="character" w:customStyle="1" w:styleId="Teletype">
    <w:name w:val="Teletype"/>
    <w:rPr>
      <w:rFonts w:ascii="Liberation Mono" w:eastAsia="Liberation Mono" w:hAnsi="Liberation Mono" w:cs="Liberation Mono"/>
    </w:rPr>
  </w:style>
  <w:style w:type="character" w:customStyle="1" w:styleId="FontStyle13">
    <w:name w:val="Font Style13"/>
    <w:rPr>
      <w:rFonts w:ascii="Times New Roman" w:eastAsia="Times New Roman" w:hAnsi="Times New Roman" w:cs="Times New Roman"/>
      <w:b/>
      <w:sz w:val="22"/>
    </w:rPr>
  </w:style>
  <w:style w:type="character" w:customStyle="1" w:styleId="ListLabel10">
    <w:name w:val="ListLabel 10"/>
    <w:rPr>
      <w:b/>
      <w:bCs w:val="0"/>
      <w:color w:val="000000"/>
    </w:rPr>
  </w:style>
  <w:style w:type="character" w:customStyle="1" w:styleId="ListLabel11">
    <w:name w:val="ListLabel 11"/>
    <w:rPr>
      <w:b/>
      <w:bCs w:val="0"/>
      <w:color w:val="000000"/>
    </w:rPr>
  </w:style>
  <w:style w:type="character" w:customStyle="1" w:styleId="ListLabel12">
    <w:name w:val="ListLabel 12"/>
    <w:rPr>
      <w:b/>
      <w:bCs w:val="0"/>
      <w:color w:val="000000"/>
    </w:rPr>
  </w:style>
  <w:style w:type="character" w:customStyle="1" w:styleId="ListLabel15">
    <w:name w:val="ListLabel 15"/>
    <w:rPr>
      <w:rFonts w:ascii="Times New Roman" w:eastAsia="Times New Roman" w:hAnsi="Times New Roman" w:cs="Times New Roman"/>
      <w:sz w:val="24"/>
      <w:lang w:val="lt-LT"/>
    </w:rPr>
  </w:style>
  <w:style w:type="character" w:customStyle="1" w:styleId="ListLabel16">
    <w:name w:val="ListLabel 16"/>
    <w:rPr>
      <w:sz w:val="24"/>
      <w:szCs w:val="24"/>
      <w:lang w:val="en-US"/>
    </w:rPr>
  </w:style>
  <w:style w:type="character" w:customStyle="1" w:styleId="ListLabel17">
    <w:name w:val="ListLabel 17"/>
    <w:rPr>
      <w:sz w:val="24"/>
      <w:szCs w:val="24"/>
      <w:lang w:val="en-US"/>
    </w:rPr>
  </w:style>
  <w:style w:type="character" w:customStyle="1" w:styleId="ListLabel18">
    <w:name w:val="ListLabel 18"/>
    <w:rPr>
      <w:sz w:val="24"/>
      <w:szCs w:val="24"/>
      <w:lang w:val="en-US"/>
    </w:rPr>
  </w:style>
  <w:style w:type="character" w:customStyle="1" w:styleId="ListLabel19">
    <w:name w:val="ListLabel 19"/>
    <w:rPr>
      <w:sz w:val="24"/>
      <w:szCs w:val="24"/>
      <w:lang w:val="en-US"/>
    </w:rPr>
  </w:style>
  <w:style w:type="character" w:customStyle="1" w:styleId="ListLabel20">
    <w:name w:val="ListLabel 20"/>
    <w:rPr>
      <w:sz w:val="24"/>
      <w:szCs w:val="24"/>
      <w:lang w:val="en-US"/>
    </w:rPr>
  </w:style>
  <w:style w:type="character" w:customStyle="1" w:styleId="ListLabel21">
    <w:name w:val="ListLabel 21"/>
    <w:rPr>
      <w:sz w:val="24"/>
      <w:szCs w:val="24"/>
      <w:lang w:val="en-US"/>
    </w:rPr>
  </w:style>
  <w:style w:type="character" w:customStyle="1" w:styleId="ListLabel22">
    <w:name w:val="ListLabel 22"/>
    <w:rPr>
      <w:sz w:val="24"/>
      <w:szCs w:val="24"/>
      <w:lang w:val="en-US"/>
    </w:rPr>
  </w:style>
  <w:style w:type="character" w:customStyle="1" w:styleId="ListLabel23">
    <w:name w:val="ListLabel 23"/>
    <w:rPr>
      <w:sz w:val="24"/>
      <w:szCs w:val="24"/>
      <w:lang w:val="en-US"/>
    </w:rPr>
  </w:style>
  <w:style w:type="character" w:customStyle="1" w:styleId="ListLabel24">
    <w:name w:val="ListLabel 24"/>
    <w:rPr>
      <w:sz w:val="24"/>
      <w:szCs w:val="24"/>
      <w:lang w:val="en-US"/>
    </w:rPr>
  </w:style>
  <w:style w:type="character" w:customStyle="1" w:styleId="Internetlink">
    <w:name w:val="Internet link"/>
    <w:rPr>
      <w:color w:val="000080"/>
      <w:u w:val="single"/>
    </w:rPr>
  </w:style>
  <w:style w:type="numbering" w:customStyle="1" w:styleId="Sraonra1">
    <w:name w:val="Sąrašo nėra1"/>
    <w:basedOn w:val="Sraonra"/>
    <w:pPr>
      <w:numPr>
        <w:numId w:val="1"/>
      </w:numPr>
    </w:pPr>
  </w:style>
  <w:style w:type="numbering" w:customStyle="1" w:styleId="Sraonra10">
    <w:name w:val="Sąrašo nėra1"/>
    <w:basedOn w:val="Sraonra"/>
    <w:pPr>
      <w:numPr>
        <w:numId w:val="2"/>
      </w:numPr>
    </w:pPr>
  </w:style>
  <w:style w:type="numbering" w:customStyle="1" w:styleId="WWNum1">
    <w:name w:val="WWNum1"/>
    <w:basedOn w:val="Sraonra"/>
    <w:pPr>
      <w:numPr>
        <w:numId w:val="3"/>
      </w:numPr>
    </w:pPr>
  </w:style>
  <w:style w:type="numbering" w:customStyle="1" w:styleId="WWNum2">
    <w:name w:val="WWNum2"/>
    <w:basedOn w:val="Sraonra"/>
    <w:pPr>
      <w:numPr>
        <w:numId w:val="4"/>
      </w:numPr>
    </w:pPr>
  </w:style>
  <w:style w:type="numbering" w:customStyle="1" w:styleId="WWNum1a">
    <w:name w:val="WWNum1a"/>
    <w:basedOn w:val="Sraonra"/>
    <w:pPr>
      <w:numPr>
        <w:numId w:val="5"/>
      </w:numPr>
    </w:pPr>
  </w:style>
  <w:style w:type="numbering" w:customStyle="1" w:styleId="WWNum2a">
    <w:name w:val="WWNum2a"/>
    <w:basedOn w:val="Sraonra"/>
    <w:pPr>
      <w:numPr>
        <w:numId w:val="6"/>
      </w:numPr>
    </w:pPr>
  </w:style>
  <w:style w:type="numbering" w:customStyle="1" w:styleId="WWNum3">
    <w:name w:val="WWNum3"/>
    <w:basedOn w:val="Sraonra"/>
    <w:pPr>
      <w:numPr>
        <w:numId w:val="7"/>
      </w:numPr>
    </w:pPr>
  </w:style>
  <w:style w:type="numbering" w:customStyle="1" w:styleId="WWNum4">
    <w:name w:val="WWNum4"/>
    <w:basedOn w:val="Sraonra"/>
    <w:pPr>
      <w:numPr>
        <w:numId w:val="8"/>
      </w:numPr>
    </w:pPr>
  </w:style>
  <w:style w:type="numbering" w:customStyle="1" w:styleId="WWNum5">
    <w:name w:val="WWNum5"/>
    <w:basedOn w:val="Sraonra"/>
    <w:pPr>
      <w:numPr>
        <w:numId w:val="9"/>
      </w:numPr>
    </w:pPr>
  </w:style>
  <w:style w:type="numbering" w:customStyle="1" w:styleId="WWNum6">
    <w:name w:val="WWNum6"/>
    <w:basedOn w:val="Sraonr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744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urgita.laskeviciute@vrm.lt" TargetMode="External"
                 Type="http://schemas.openxmlformats.org/officeDocument/2006/relationships/hyperlink"/>
   <Relationship Id="rId8" Target="http://speeding.enge.no/sweden/"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13041</Words>
  <Characters>7434</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20435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2020-09-15T11:13:00Z</dcterms:created>
  <dc:creator>Darius Domarkas</dc:creator>
  <cp:lastModifiedBy>Jurgita Laskevičiūtė</cp:lastModifiedBy>
  <cp:lastPrinted>2016-09-05T08:37:00Z</cp:lastPrinted>
  <dcterms:modified xsi:type="dcterms:W3CDTF">2020-09-15T11:21:00Z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