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1A" w:rsidRPr="006C67B9" w:rsidRDefault="000D281A" w:rsidP="000D281A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C67B9">
        <w:rPr>
          <w:b/>
          <w:bCs/>
          <w:sz w:val="22"/>
          <w:szCs w:val="22"/>
        </w:rPr>
        <w:t>DERINIMO PAŽYMA</w:t>
      </w:r>
    </w:p>
    <w:p w:rsidR="000D281A" w:rsidRPr="006C67B9" w:rsidRDefault="00747B0F" w:rsidP="000D281A">
      <w:pPr>
        <w:jc w:val="center"/>
        <w:rPr>
          <w:sz w:val="22"/>
          <w:szCs w:val="22"/>
        </w:rPr>
      </w:pPr>
      <w:r>
        <w:rPr>
          <w:b/>
        </w:rPr>
        <w:t xml:space="preserve">DĖL </w:t>
      </w:r>
      <w:r w:rsidRPr="00813935">
        <w:rPr>
          <w:b/>
        </w:rPr>
        <w:t>LIETUVOS RESPUBLIKOS</w:t>
      </w:r>
      <w:r>
        <w:rPr>
          <w:b/>
          <w:bCs/>
        </w:rPr>
        <w:t xml:space="preserve"> </w:t>
      </w:r>
      <w:r w:rsidRPr="00813935">
        <w:rPr>
          <w:b/>
          <w:bCs/>
        </w:rPr>
        <w:t>FINANSINIO TVARUMO ĮSTATYMO NR. XI-393 1, 2,</w:t>
      </w:r>
      <w:r>
        <w:rPr>
          <w:b/>
          <w:bCs/>
        </w:rPr>
        <w:t xml:space="preserve"> 3, 12, 13, 16</w:t>
      </w:r>
      <w:r w:rsidRPr="00813935">
        <w:rPr>
          <w:b/>
          <w:bCs/>
        </w:rPr>
        <w:t>, 19, 21, 22, 23, 24, 25, 26, 28, 42, 46, 48, 50, 51, 52, 53, 54, 55, 58, 59, 60, 66, 71, 77, 78, 80, 81, 82, 87, 107, 108, 113, 116</w:t>
      </w:r>
      <w:r w:rsidR="00B255D6">
        <w:rPr>
          <w:b/>
          <w:bCs/>
        </w:rPr>
        <w:t>, 128</w:t>
      </w:r>
      <w:r w:rsidRPr="00813935">
        <w:rPr>
          <w:b/>
          <w:bCs/>
        </w:rPr>
        <w:t xml:space="preserve"> STRAIPSNIŲ</w:t>
      </w:r>
      <w:r>
        <w:rPr>
          <w:b/>
          <w:bCs/>
        </w:rPr>
        <w:t>,</w:t>
      </w:r>
      <w:r w:rsidRPr="00813935">
        <w:rPr>
          <w:b/>
          <w:bCs/>
        </w:rPr>
        <w:t xml:space="preserve"> III SKYRIAUS KETVIRTOJO SKIRSNIO PAVADINIMO, PRIEDO PAKEITIMO IR ĮSTATYMO PAPILDYMO </w:t>
      </w:r>
      <w:r w:rsidRPr="00813935">
        <w:rPr>
          <w:b/>
          <w:bCs/>
          <w:lang w:val="en-US"/>
        </w:rPr>
        <w:t>21</w:t>
      </w:r>
      <w:r w:rsidRPr="00813935">
        <w:rPr>
          <w:b/>
          <w:bCs/>
          <w:vertAlign w:val="superscript"/>
          <w:lang w:val="en-US"/>
        </w:rPr>
        <w:t>1</w:t>
      </w:r>
      <w:r w:rsidRPr="00813935">
        <w:rPr>
          <w:b/>
          <w:bCs/>
          <w:lang w:val="en-US"/>
        </w:rPr>
        <w:t xml:space="preserve">, </w:t>
      </w:r>
      <w:r w:rsidRPr="00813935">
        <w:rPr>
          <w:b/>
          <w:bCs/>
        </w:rPr>
        <w:t>25</w:t>
      </w:r>
      <w:r w:rsidRPr="00813935">
        <w:rPr>
          <w:b/>
          <w:bCs/>
          <w:vertAlign w:val="superscript"/>
        </w:rPr>
        <w:t>1</w:t>
      </w:r>
      <w:r w:rsidRPr="00813935">
        <w:rPr>
          <w:b/>
          <w:bCs/>
        </w:rPr>
        <w:t>, 25</w:t>
      </w:r>
      <w:r w:rsidRPr="00813935">
        <w:rPr>
          <w:b/>
          <w:bCs/>
          <w:vertAlign w:val="superscript"/>
        </w:rPr>
        <w:t>2</w:t>
      </w:r>
      <w:r w:rsidRPr="00813935">
        <w:rPr>
          <w:b/>
          <w:bCs/>
        </w:rPr>
        <w:t>, 25</w:t>
      </w:r>
      <w:r w:rsidRPr="00813935">
        <w:rPr>
          <w:b/>
          <w:bCs/>
          <w:vertAlign w:val="superscript"/>
        </w:rPr>
        <w:t>3</w:t>
      </w:r>
      <w:r w:rsidRPr="00813935">
        <w:rPr>
          <w:b/>
          <w:bCs/>
        </w:rPr>
        <w:t>, 25</w:t>
      </w:r>
      <w:r w:rsidRPr="00813935">
        <w:rPr>
          <w:b/>
          <w:bCs/>
          <w:vertAlign w:val="superscript"/>
        </w:rPr>
        <w:t>4</w:t>
      </w:r>
      <w:r w:rsidRPr="00813935">
        <w:rPr>
          <w:b/>
          <w:bCs/>
        </w:rPr>
        <w:t>, 26</w:t>
      </w:r>
      <w:r w:rsidRPr="00813935">
        <w:rPr>
          <w:b/>
          <w:bCs/>
          <w:vertAlign w:val="superscript"/>
        </w:rPr>
        <w:t>1</w:t>
      </w:r>
      <w:r w:rsidRPr="00813935">
        <w:rPr>
          <w:b/>
          <w:bCs/>
        </w:rPr>
        <w:t>, 26</w:t>
      </w:r>
      <w:r w:rsidRPr="00813935">
        <w:rPr>
          <w:b/>
          <w:bCs/>
          <w:vertAlign w:val="superscript"/>
        </w:rPr>
        <w:t>2</w:t>
      </w:r>
      <w:r w:rsidRPr="00813935">
        <w:rPr>
          <w:b/>
          <w:bCs/>
        </w:rPr>
        <w:t>, 26</w:t>
      </w:r>
      <w:r w:rsidRPr="00813935">
        <w:rPr>
          <w:b/>
          <w:bCs/>
          <w:vertAlign w:val="superscript"/>
        </w:rPr>
        <w:t>3</w:t>
      </w:r>
      <w:r w:rsidRPr="00813935">
        <w:rPr>
          <w:b/>
          <w:bCs/>
        </w:rPr>
        <w:t>, 26</w:t>
      </w:r>
      <w:r w:rsidRPr="00813935">
        <w:rPr>
          <w:b/>
          <w:bCs/>
          <w:vertAlign w:val="superscript"/>
        </w:rPr>
        <w:t>4</w:t>
      </w:r>
      <w:r w:rsidRPr="00813935">
        <w:rPr>
          <w:b/>
          <w:bCs/>
        </w:rPr>
        <w:t>, 26</w:t>
      </w:r>
      <w:r w:rsidRPr="00813935">
        <w:rPr>
          <w:b/>
          <w:bCs/>
          <w:vertAlign w:val="superscript"/>
        </w:rPr>
        <w:t>5</w:t>
      </w:r>
      <w:r w:rsidRPr="00813935">
        <w:rPr>
          <w:b/>
          <w:bCs/>
        </w:rPr>
        <w:t>, 26</w:t>
      </w:r>
      <w:r w:rsidRPr="00813935">
        <w:rPr>
          <w:b/>
          <w:bCs/>
          <w:vertAlign w:val="superscript"/>
        </w:rPr>
        <w:t>6</w:t>
      </w:r>
      <w:r w:rsidRPr="00813935">
        <w:rPr>
          <w:b/>
          <w:bCs/>
        </w:rPr>
        <w:t xml:space="preserve">, </w:t>
      </w:r>
      <w:r w:rsidRPr="00B153A8">
        <w:rPr>
          <w:b/>
          <w:bCs/>
        </w:rPr>
        <w:t>50</w:t>
      </w:r>
      <w:r w:rsidRPr="00B153A8">
        <w:rPr>
          <w:b/>
          <w:bCs/>
          <w:vertAlign w:val="superscript"/>
        </w:rPr>
        <w:t xml:space="preserve">1 </w:t>
      </w:r>
      <w:r w:rsidRPr="00B153A8">
        <w:rPr>
          <w:b/>
          <w:bCs/>
        </w:rPr>
        <w:t>52</w:t>
      </w:r>
      <w:r w:rsidRPr="00B153A8">
        <w:rPr>
          <w:b/>
          <w:bCs/>
          <w:vertAlign w:val="superscript"/>
        </w:rPr>
        <w:t>1</w:t>
      </w:r>
      <w:r w:rsidR="00CC5FD4">
        <w:rPr>
          <w:b/>
          <w:bCs/>
        </w:rPr>
        <w:t>,</w:t>
      </w:r>
      <w:r w:rsidR="00B255D6" w:rsidRPr="00B153A8">
        <w:rPr>
          <w:b/>
          <w:bCs/>
        </w:rPr>
        <w:t xml:space="preserve"> </w:t>
      </w:r>
      <w:r w:rsidR="00B255D6">
        <w:rPr>
          <w:b/>
          <w:bCs/>
        </w:rPr>
        <w:t>101</w:t>
      </w:r>
      <w:r w:rsidR="00B255D6" w:rsidRPr="00B255D6">
        <w:rPr>
          <w:b/>
          <w:bCs/>
          <w:vertAlign w:val="superscript"/>
        </w:rPr>
        <w:t>1</w:t>
      </w:r>
      <w:r w:rsidR="00B255D6">
        <w:rPr>
          <w:b/>
          <w:bCs/>
        </w:rPr>
        <w:t xml:space="preserve"> </w:t>
      </w:r>
      <w:r w:rsidRPr="00B153A8">
        <w:rPr>
          <w:b/>
          <w:bCs/>
        </w:rPr>
        <w:t xml:space="preserve">STRAIPSNIAIS ĮSTATYMO IR LIETUVOS RESPUBLIKOS BANKŲ ĮSTATYMO NR. IX-2085 </w:t>
      </w:r>
      <w:r w:rsidR="00EB51D5">
        <w:rPr>
          <w:b/>
          <w:bCs/>
        </w:rPr>
        <w:t xml:space="preserve">2, 9, 16, </w:t>
      </w:r>
      <w:r w:rsidR="00EB51D5">
        <w:rPr>
          <w:b/>
          <w:bCs/>
          <w:lang w:val="en-US"/>
        </w:rPr>
        <w:t xml:space="preserve">48, 52, </w:t>
      </w:r>
      <w:r w:rsidR="00EB51D5">
        <w:rPr>
          <w:b/>
          <w:bCs/>
        </w:rPr>
        <w:t xml:space="preserve">57, 59, 67, </w:t>
      </w:r>
      <w:r w:rsidR="00EB51D5">
        <w:rPr>
          <w:b/>
        </w:rPr>
        <w:t>70</w:t>
      </w:r>
      <w:r w:rsidR="00EB51D5">
        <w:rPr>
          <w:b/>
          <w:vertAlign w:val="superscript"/>
        </w:rPr>
        <w:t>1</w:t>
      </w:r>
      <w:r w:rsidR="00EB51D5">
        <w:rPr>
          <w:b/>
          <w:bCs/>
        </w:rPr>
        <w:t xml:space="preserve">, 72, 87 </w:t>
      </w:r>
      <w:r w:rsidRPr="00B153A8">
        <w:rPr>
          <w:b/>
          <w:bCs/>
        </w:rPr>
        <w:t xml:space="preserve">STRAIPSNIŲ, PRIEDO PAKEITIMO IR ĮSTATYMO PAPILDYMO </w:t>
      </w:r>
      <w:r w:rsidRPr="009408B5">
        <w:rPr>
          <w:b/>
          <w:bCs/>
        </w:rPr>
        <w:t>70</w:t>
      </w:r>
      <w:r w:rsidRPr="00127A1E">
        <w:rPr>
          <w:b/>
          <w:bCs/>
          <w:vertAlign w:val="superscript"/>
        </w:rPr>
        <w:t>3</w:t>
      </w:r>
      <w:r>
        <w:rPr>
          <w:b/>
          <w:bCs/>
        </w:rPr>
        <w:t> </w:t>
      </w:r>
      <w:r w:rsidRPr="009408B5">
        <w:rPr>
          <w:b/>
          <w:bCs/>
        </w:rPr>
        <w:t>STRAIPSNIU</w:t>
      </w:r>
      <w:r>
        <w:rPr>
          <w:b/>
          <w:bCs/>
        </w:rPr>
        <w:t xml:space="preserve"> ĮSTATYMO PROJEKTŲ IR SU JAIS SUSIJUSIŲ ĮSTATYMŲ </w:t>
      </w:r>
      <w:r>
        <w:rPr>
          <w:b/>
          <w:bCs/>
          <w:caps/>
        </w:rPr>
        <w:t>PROJEKTŲ</w:t>
      </w:r>
    </w:p>
    <w:p w:rsidR="002D6DD0" w:rsidRPr="006C67B9" w:rsidRDefault="002D6DD0" w:rsidP="00E25C0E">
      <w:pPr>
        <w:jc w:val="center"/>
        <w:rPr>
          <w:sz w:val="22"/>
          <w:szCs w:val="22"/>
        </w:rPr>
      </w:pPr>
    </w:p>
    <w:p w:rsidR="002D6DD0" w:rsidRPr="006C67B9" w:rsidRDefault="002D6DD0" w:rsidP="00E25C0E">
      <w:pPr>
        <w:jc w:val="center"/>
        <w:rPr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6128"/>
        <w:gridCol w:w="7550"/>
      </w:tblGrid>
      <w:tr w:rsidR="00902969" w:rsidRPr="004E0269" w:rsidTr="005F3ECE">
        <w:tc>
          <w:tcPr>
            <w:tcW w:w="1598" w:type="dxa"/>
            <w:shd w:val="clear" w:color="auto" w:fill="auto"/>
          </w:tcPr>
          <w:p w:rsidR="00577DA7" w:rsidRPr="004E0269" w:rsidRDefault="002F5F57" w:rsidP="0024620C">
            <w:pPr>
              <w:contextualSpacing/>
              <w:jc w:val="center"/>
              <w:rPr>
                <w:sz w:val="22"/>
                <w:szCs w:val="22"/>
              </w:rPr>
            </w:pPr>
            <w:r w:rsidRPr="004E0269">
              <w:rPr>
                <w:b/>
                <w:bCs/>
                <w:sz w:val="22"/>
                <w:szCs w:val="22"/>
              </w:rPr>
              <w:t>Suinteresuotos i</w:t>
            </w:r>
            <w:r w:rsidR="00577DA7" w:rsidRPr="004E0269">
              <w:rPr>
                <w:b/>
                <w:bCs/>
                <w:sz w:val="22"/>
                <w:szCs w:val="22"/>
              </w:rPr>
              <w:t>nstitucijos</w:t>
            </w:r>
            <w:r w:rsidRPr="004E0269">
              <w:rPr>
                <w:b/>
                <w:bCs/>
                <w:sz w:val="22"/>
                <w:szCs w:val="22"/>
              </w:rPr>
              <w:t xml:space="preserve"> ir asmenys</w:t>
            </w:r>
          </w:p>
        </w:tc>
        <w:tc>
          <w:tcPr>
            <w:tcW w:w="6128" w:type="dxa"/>
            <w:shd w:val="clear" w:color="auto" w:fill="auto"/>
          </w:tcPr>
          <w:p w:rsidR="00577DA7" w:rsidRPr="00E058DD" w:rsidRDefault="00DF440A" w:rsidP="0024620C">
            <w:pPr>
              <w:contextualSpacing/>
              <w:jc w:val="center"/>
              <w:rPr>
                <w:sz w:val="22"/>
                <w:szCs w:val="22"/>
              </w:rPr>
            </w:pPr>
            <w:r w:rsidRPr="00E058DD">
              <w:rPr>
                <w:b/>
                <w:bCs/>
                <w:sz w:val="22"/>
                <w:szCs w:val="22"/>
              </w:rPr>
              <w:t>P</w:t>
            </w:r>
            <w:r w:rsidR="00577DA7" w:rsidRPr="00E058DD">
              <w:rPr>
                <w:b/>
                <w:bCs/>
                <w:sz w:val="22"/>
                <w:szCs w:val="22"/>
              </w:rPr>
              <w:t>astab</w:t>
            </w:r>
            <w:r w:rsidR="002F5F57" w:rsidRPr="00E058DD">
              <w:rPr>
                <w:b/>
                <w:bCs/>
                <w:sz w:val="22"/>
                <w:szCs w:val="22"/>
              </w:rPr>
              <w:t>os</w:t>
            </w:r>
            <w:r w:rsidR="00577DA7" w:rsidRPr="00E058DD">
              <w:rPr>
                <w:b/>
                <w:bCs/>
                <w:sz w:val="22"/>
                <w:szCs w:val="22"/>
              </w:rPr>
              <w:t xml:space="preserve"> </w:t>
            </w:r>
            <w:r w:rsidR="002F5F57" w:rsidRPr="00E058DD">
              <w:rPr>
                <w:b/>
                <w:bCs/>
                <w:sz w:val="22"/>
                <w:szCs w:val="22"/>
              </w:rPr>
              <w:t xml:space="preserve">ir </w:t>
            </w:r>
            <w:r w:rsidR="00577DA7" w:rsidRPr="00E058DD">
              <w:rPr>
                <w:b/>
                <w:bCs/>
                <w:sz w:val="22"/>
                <w:szCs w:val="22"/>
              </w:rPr>
              <w:t>pasiūlyma</w:t>
            </w:r>
            <w:r w:rsidR="002F5F57" w:rsidRPr="00E058DD">
              <w:rPr>
                <w:b/>
                <w:bCs/>
                <w:sz w:val="22"/>
                <w:szCs w:val="22"/>
              </w:rPr>
              <w:t>i</w:t>
            </w:r>
            <w:r w:rsidR="008C30EF" w:rsidRPr="00E058DD">
              <w:rPr>
                <w:b/>
                <w:bCs/>
                <w:sz w:val="22"/>
                <w:szCs w:val="22"/>
              </w:rPr>
              <w:t>, į kuriuos neatsižvelgta arba atsižvelgta iš dalies</w:t>
            </w:r>
          </w:p>
        </w:tc>
        <w:tc>
          <w:tcPr>
            <w:tcW w:w="7550" w:type="dxa"/>
            <w:shd w:val="clear" w:color="auto" w:fill="auto"/>
          </w:tcPr>
          <w:p w:rsidR="00577DA7" w:rsidRPr="004E0269" w:rsidRDefault="00577DA7" w:rsidP="00BC6E55">
            <w:pPr>
              <w:contextualSpacing/>
              <w:jc w:val="center"/>
              <w:rPr>
                <w:sz w:val="22"/>
                <w:szCs w:val="22"/>
              </w:rPr>
            </w:pPr>
            <w:r w:rsidRPr="004E0269">
              <w:rPr>
                <w:b/>
                <w:bCs/>
                <w:sz w:val="22"/>
                <w:szCs w:val="22"/>
              </w:rPr>
              <w:t>Argumentai</w:t>
            </w:r>
            <w:r w:rsidR="008C30EF" w:rsidRPr="004E0269">
              <w:rPr>
                <w:b/>
                <w:bCs/>
                <w:sz w:val="22"/>
                <w:szCs w:val="22"/>
              </w:rPr>
              <w:t>, kodėl neatsižvelgta arba tik iš dalies atsižvelgta</w:t>
            </w:r>
            <w:r w:rsidRPr="004E0269">
              <w:rPr>
                <w:b/>
                <w:bCs/>
                <w:sz w:val="22"/>
                <w:szCs w:val="22"/>
              </w:rPr>
              <w:t xml:space="preserve"> į pastabas ir pasiūlymus</w:t>
            </w:r>
          </w:p>
        </w:tc>
      </w:tr>
      <w:tr w:rsidR="002F6AF1" w:rsidRPr="004E0269" w:rsidTr="005F3ECE">
        <w:tc>
          <w:tcPr>
            <w:tcW w:w="1598" w:type="dxa"/>
            <w:vMerge w:val="restart"/>
            <w:shd w:val="clear" w:color="auto" w:fill="auto"/>
          </w:tcPr>
          <w:p w:rsidR="00EB51D5" w:rsidRDefault="002F6AF1" w:rsidP="002F6AF1">
            <w:pPr>
              <w:contextualSpacing/>
              <w:rPr>
                <w:bCs/>
                <w:sz w:val="22"/>
                <w:szCs w:val="22"/>
              </w:rPr>
            </w:pPr>
            <w:r w:rsidRPr="004E0269">
              <w:rPr>
                <w:bCs/>
                <w:sz w:val="22"/>
                <w:szCs w:val="22"/>
              </w:rPr>
              <w:t>Lietuvos Res</w:t>
            </w:r>
            <w:r w:rsidR="00EB51D5">
              <w:rPr>
                <w:bCs/>
                <w:sz w:val="22"/>
                <w:szCs w:val="22"/>
              </w:rPr>
              <w:t>publikos teisingumo ministerija</w:t>
            </w:r>
          </w:p>
          <w:p w:rsidR="00EB51D5" w:rsidRDefault="00EB51D5" w:rsidP="002F6AF1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2021-05-20 </w:t>
            </w:r>
          </w:p>
          <w:p w:rsidR="002F6AF1" w:rsidRPr="004E0269" w:rsidRDefault="00EB51D5" w:rsidP="002F6AF1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Nr. 21-23947</w:t>
            </w:r>
            <w:r w:rsidR="002F6AF1" w:rsidRPr="004E026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28" w:type="dxa"/>
            <w:shd w:val="clear" w:color="auto" w:fill="auto"/>
          </w:tcPr>
          <w:p w:rsidR="002F6AF1" w:rsidRPr="00CC5FD4" w:rsidRDefault="002F6AF1" w:rsidP="00B255D6">
            <w:pPr>
              <w:jc w:val="both"/>
              <w:rPr>
                <w:sz w:val="20"/>
                <w:szCs w:val="20"/>
                <w:u w:val="single"/>
              </w:rPr>
            </w:pPr>
            <w:r w:rsidRPr="00E058DD">
              <w:rPr>
                <w:sz w:val="20"/>
                <w:szCs w:val="20"/>
              </w:rPr>
              <w:t>1. FTĮ projekto 2 straipsnio 4 dalyje dėstomoje FT įstatymo 2 straipsnį papildančioje 10</w:t>
            </w:r>
            <w:r w:rsidRPr="00E058DD">
              <w:rPr>
                <w:sz w:val="20"/>
                <w:szCs w:val="20"/>
                <w:vertAlign w:val="superscript"/>
              </w:rPr>
              <w:t>2</w:t>
            </w:r>
            <w:r w:rsidRPr="00E058DD">
              <w:rPr>
                <w:sz w:val="20"/>
                <w:szCs w:val="20"/>
              </w:rPr>
              <w:t xml:space="preserve"> dalyje pateiktame kredito įstaigos apibrėžime siūlytina atsisakyti tiesioginės nuorodos į Direktyvos 2013/36/ES 2 straipsnio 5 dalį, ją pakeičiant nuoroda į nacionalinio teisės akto nuostatą, kuri perkėlė minėtą Direktyvos 2013/36/ES nuostatą. Pažymėtina, kad direktyvos nėra tiesioginio taikymo Europos Sąjungos teisės aktai. Nuorodos į direktyvos tekstą įtvirtinimas nacionaliniame teisės akte nesuteikia direktyvai tiesioginio taikymo efekto: direktyvai perkelti turi būti priimamas nacionalinis teisės aktas, kurio pagrindu direktyva būtų taikoma nacionalinėje teisėje. Analogiška pastaba taikytina ir FTĮ projekto 17, 33 ir 48 straipsniams, kuriuose teikiamos nuorodos į Direktyvos 2014/59/ES straipsnių dalis, kuriose Europos Komisijai suteikiami įgaliojimai priimti techninius reguliavimo standartus. Vietoje šių nuorodų, būtų galima pateikti konkrečias nuorodas į jau priimtus Europos Komisijos teisės aktus, o jei tokių nėra, nurodyti tik Europos Komisijos priimamo dokumento rūšį.</w:t>
            </w:r>
          </w:p>
          <w:p w:rsidR="002F6AF1" w:rsidRPr="00E058DD" w:rsidRDefault="002F6AF1" w:rsidP="002F6AF1">
            <w:pPr>
              <w:ind w:firstLine="900"/>
              <w:jc w:val="both"/>
              <w:rPr>
                <w:sz w:val="20"/>
                <w:szCs w:val="20"/>
              </w:rPr>
            </w:pPr>
          </w:p>
        </w:tc>
        <w:tc>
          <w:tcPr>
            <w:tcW w:w="7550" w:type="dxa"/>
            <w:shd w:val="clear" w:color="auto" w:fill="auto"/>
          </w:tcPr>
          <w:p w:rsidR="00807464" w:rsidRPr="00875A87" w:rsidRDefault="00807464" w:rsidP="0080746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75A87">
              <w:rPr>
                <w:b/>
                <w:bCs/>
                <w:sz w:val="20"/>
                <w:szCs w:val="20"/>
              </w:rPr>
              <w:t>Iš dalies atsižvelgta.</w:t>
            </w:r>
          </w:p>
          <w:p w:rsidR="00AD0E2F" w:rsidRPr="00B255D6" w:rsidRDefault="00782992" w:rsidP="00AD0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D0E2F" w:rsidRPr="00B255D6">
              <w:rPr>
                <w:sz w:val="20"/>
                <w:szCs w:val="20"/>
              </w:rPr>
              <w:t>eikalavim</w:t>
            </w:r>
            <w:r>
              <w:rPr>
                <w:sz w:val="20"/>
                <w:szCs w:val="20"/>
              </w:rPr>
              <w:t>ai</w:t>
            </w:r>
            <w:r w:rsidR="00AD0E2F" w:rsidRPr="00B255D6">
              <w:rPr>
                <w:sz w:val="20"/>
                <w:szCs w:val="20"/>
              </w:rPr>
              <w:t xml:space="preserve"> nustatom</w:t>
            </w:r>
            <w:r>
              <w:rPr>
                <w:sz w:val="20"/>
                <w:szCs w:val="20"/>
              </w:rPr>
              <w:t>i</w:t>
            </w:r>
            <w:r w:rsidR="00AD0E2F" w:rsidRPr="00B255D6">
              <w:rPr>
                <w:sz w:val="20"/>
                <w:szCs w:val="20"/>
              </w:rPr>
              <w:t xml:space="preserve"> tik L</w:t>
            </w:r>
            <w:r w:rsidR="00CE0BEA">
              <w:rPr>
                <w:sz w:val="20"/>
                <w:szCs w:val="20"/>
              </w:rPr>
              <w:t xml:space="preserve">ietuvos </w:t>
            </w:r>
            <w:r w:rsidR="00AD0E2F" w:rsidRPr="00B255D6">
              <w:rPr>
                <w:sz w:val="20"/>
                <w:szCs w:val="20"/>
              </w:rPr>
              <w:t>R</w:t>
            </w:r>
            <w:r w:rsidR="00CE0BEA">
              <w:rPr>
                <w:sz w:val="20"/>
                <w:szCs w:val="20"/>
              </w:rPr>
              <w:t>espublikoje</w:t>
            </w:r>
            <w:r w:rsidR="00AD0E2F" w:rsidRPr="00B255D6">
              <w:rPr>
                <w:sz w:val="20"/>
                <w:szCs w:val="20"/>
              </w:rPr>
              <w:t xml:space="preserve"> įsteigtoms kredito įstaigoms, tad </w:t>
            </w:r>
            <w:r>
              <w:rPr>
                <w:sz w:val="20"/>
                <w:szCs w:val="20"/>
              </w:rPr>
              <w:t xml:space="preserve">nėra </w:t>
            </w:r>
            <w:r w:rsidR="00AD0E2F" w:rsidRPr="00B255D6">
              <w:rPr>
                <w:sz w:val="20"/>
                <w:szCs w:val="20"/>
              </w:rPr>
              <w:t>teisės</w:t>
            </w:r>
            <w:r w:rsidR="00CE0BEA">
              <w:rPr>
                <w:sz w:val="20"/>
                <w:szCs w:val="20"/>
              </w:rPr>
              <w:t xml:space="preserve"> ar </w:t>
            </w:r>
            <w:r w:rsidR="00AD0E2F" w:rsidRPr="00B255D6">
              <w:rPr>
                <w:sz w:val="20"/>
                <w:szCs w:val="20"/>
              </w:rPr>
              <w:t xml:space="preserve">pareigos įstatyme </w:t>
            </w:r>
            <w:r w:rsidR="00CE0BEA" w:rsidRPr="00B255D6">
              <w:rPr>
                <w:sz w:val="20"/>
                <w:szCs w:val="20"/>
              </w:rPr>
              <w:t xml:space="preserve">apibrėžti </w:t>
            </w:r>
            <w:r w:rsidR="00AD0E2F" w:rsidRPr="00B255D6">
              <w:rPr>
                <w:sz w:val="20"/>
                <w:szCs w:val="20"/>
              </w:rPr>
              <w:t>kitų valstybių narių kredito įstaigų sąvok</w:t>
            </w:r>
            <w:r w:rsidR="00CE0BEA">
              <w:rPr>
                <w:sz w:val="20"/>
                <w:szCs w:val="20"/>
              </w:rPr>
              <w:t>ą</w:t>
            </w:r>
            <w:r w:rsidR="00AD0E2F" w:rsidRPr="00B255D6">
              <w:rPr>
                <w:sz w:val="20"/>
                <w:szCs w:val="20"/>
              </w:rPr>
              <w:t xml:space="preserve">, </w:t>
            </w:r>
            <w:r w:rsidR="00CE0BEA">
              <w:rPr>
                <w:sz w:val="20"/>
                <w:szCs w:val="20"/>
              </w:rPr>
              <w:t xml:space="preserve">ypač </w:t>
            </w:r>
            <w:r w:rsidR="00AD0E2F" w:rsidRPr="00B255D6">
              <w:rPr>
                <w:sz w:val="20"/>
                <w:szCs w:val="20"/>
              </w:rPr>
              <w:t xml:space="preserve"> išim</w:t>
            </w:r>
            <w:r w:rsidR="00CE0BEA">
              <w:rPr>
                <w:sz w:val="20"/>
                <w:szCs w:val="20"/>
              </w:rPr>
              <w:t>tis</w:t>
            </w:r>
            <w:r w:rsidR="00AD0E2F" w:rsidRPr="00B255D6">
              <w:rPr>
                <w:sz w:val="20"/>
                <w:szCs w:val="20"/>
              </w:rPr>
              <w:t xml:space="preserve">. </w:t>
            </w:r>
            <w:r w:rsidR="00CE0BEA">
              <w:rPr>
                <w:sz w:val="20"/>
                <w:szCs w:val="20"/>
              </w:rPr>
              <w:t>Nustatyti šią sąvoką turi</w:t>
            </w:r>
            <w:r w:rsidR="00AD0E2F" w:rsidRPr="00B255D6">
              <w:rPr>
                <w:sz w:val="20"/>
                <w:szCs w:val="20"/>
              </w:rPr>
              <w:t xml:space="preserve"> atitinkama </w:t>
            </w:r>
            <w:r w:rsidR="00F22979">
              <w:rPr>
                <w:sz w:val="20"/>
                <w:szCs w:val="20"/>
              </w:rPr>
              <w:t>valstybė narė</w:t>
            </w:r>
            <w:r w:rsidR="00AD0E2F" w:rsidRPr="00B255D6">
              <w:rPr>
                <w:sz w:val="20"/>
                <w:szCs w:val="20"/>
              </w:rPr>
              <w:t xml:space="preserve"> savo įstatyme</w:t>
            </w:r>
            <w:r w:rsidR="00CE0BEA">
              <w:rPr>
                <w:sz w:val="20"/>
                <w:szCs w:val="20"/>
              </w:rPr>
              <w:t xml:space="preserve">, nes tai nepriklauso </w:t>
            </w:r>
            <w:r w:rsidR="00AD0E2F" w:rsidRPr="00B255D6">
              <w:rPr>
                <w:sz w:val="20"/>
                <w:szCs w:val="20"/>
              </w:rPr>
              <w:t>L</w:t>
            </w:r>
            <w:r w:rsidR="00CE0BEA">
              <w:rPr>
                <w:sz w:val="20"/>
                <w:szCs w:val="20"/>
              </w:rPr>
              <w:t>ietuvos Respublikos</w:t>
            </w:r>
            <w:r w:rsidR="00AD0E2F" w:rsidRPr="00B255D6">
              <w:rPr>
                <w:sz w:val="20"/>
                <w:szCs w:val="20"/>
              </w:rPr>
              <w:t xml:space="preserve"> jurisdikcij</w:t>
            </w:r>
            <w:r w:rsidR="00CE0BEA">
              <w:rPr>
                <w:sz w:val="20"/>
                <w:szCs w:val="20"/>
              </w:rPr>
              <w:t>ai</w:t>
            </w:r>
            <w:r w:rsidR="00AD0E2F" w:rsidRPr="00B255D6">
              <w:rPr>
                <w:sz w:val="20"/>
                <w:szCs w:val="20"/>
              </w:rPr>
              <w:t>.</w:t>
            </w:r>
            <w:r w:rsidR="00F22979">
              <w:rPr>
                <w:sz w:val="20"/>
                <w:szCs w:val="20"/>
              </w:rPr>
              <w:t xml:space="preserve"> </w:t>
            </w:r>
            <w:r w:rsidR="00CE0BEA">
              <w:rPr>
                <w:sz w:val="20"/>
                <w:szCs w:val="20"/>
              </w:rPr>
              <w:t xml:space="preserve">Atsižvelgdami į šią priežastį ir pateiktą pastabą, </w:t>
            </w:r>
            <w:r w:rsidR="00F22979">
              <w:rPr>
                <w:sz w:val="20"/>
                <w:szCs w:val="20"/>
              </w:rPr>
              <w:t>pakoregavome kredito įstaigos sąvoką</w:t>
            </w:r>
            <w:r w:rsidR="00CE0BEA">
              <w:rPr>
                <w:sz w:val="20"/>
                <w:szCs w:val="20"/>
              </w:rPr>
              <w:t xml:space="preserve"> FTĮ projekte</w:t>
            </w:r>
            <w:r w:rsidR="00F22979">
              <w:rPr>
                <w:sz w:val="20"/>
                <w:szCs w:val="20"/>
              </w:rPr>
              <w:t>:</w:t>
            </w:r>
          </w:p>
          <w:p w:rsidR="00F22979" w:rsidRPr="00F22979" w:rsidRDefault="00F22979" w:rsidP="00AD0E2F">
            <w:pPr>
              <w:rPr>
                <w:b/>
                <w:sz w:val="20"/>
                <w:szCs w:val="20"/>
              </w:rPr>
            </w:pPr>
            <w:r w:rsidRPr="00F22979">
              <w:rPr>
                <w:b/>
                <w:sz w:val="20"/>
                <w:szCs w:val="20"/>
              </w:rPr>
              <w:t>2 straipsnis. 2 straipsnio pakeitimas</w:t>
            </w:r>
          </w:p>
          <w:p w:rsidR="00AD0E2F" w:rsidRPr="00B255D6" w:rsidRDefault="00AD0E2F" w:rsidP="00AD0E2F">
            <w:pPr>
              <w:rPr>
                <w:sz w:val="20"/>
                <w:szCs w:val="20"/>
              </w:rPr>
            </w:pPr>
            <w:r w:rsidRPr="00B255D6">
              <w:rPr>
                <w:sz w:val="20"/>
                <w:szCs w:val="20"/>
              </w:rPr>
              <w:t>Papildyti 2 straipsnį 10</w:t>
            </w:r>
            <w:r w:rsidRPr="00B255D6">
              <w:rPr>
                <w:sz w:val="20"/>
                <w:szCs w:val="20"/>
                <w:vertAlign w:val="superscript"/>
              </w:rPr>
              <w:t>2</w:t>
            </w:r>
            <w:r w:rsidRPr="00B255D6">
              <w:rPr>
                <w:sz w:val="20"/>
                <w:szCs w:val="20"/>
              </w:rPr>
              <w:t xml:space="preserve"> dalimi:</w:t>
            </w:r>
          </w:p>
          <w:p w:rsidR="00AD0E2F" w:rsidRDefault="00AD0E2F" w:rsidP="00AD0E2F">
            <w:pPr>
              <w:rPr>
                <w:b/>
                <w:sz w:val="20"/>
                <w:szCs w:val="20"/>
              </w:rPr>
            </w:pPr>
            <w:r w:rsidRPr="00C15303">
              <w:rPr>
                <w:sz w:val="20"/>
                <w:szCs w:val="20"/>
              </w:rPr>
              <w:t>„</w:t>
            </w:r>
            <w:r w:rsidRPr="004F3D14">
              <w:rPr>
                <w:b/>
                <w:sz w:val="20"/>
                <w:szCs w:val="20"/>
              </w:rPr>
              <w:t>10</w:t>
            </w:r>
            <w:r w:rsidRPr="004F3D14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65635">
              <w:rPr>
                <w:b/>
                <w:sz w:val="20"/>
                <w:szCs w:val="20"/>
              </w:rPr>
              <w:t>Kredito įstaiga ‒ Reglamento (ES) Nr. 575/2013 4 straipsnio 1 dalies 1 punkte apibrėžta kredito įstaiga, išskyrus kredito unijas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5635">
              <w:rPr>
                <w:b/>
                <w:sz w:val="20"/>
                <w:szCs w:val="20"/>
              </w:rPr>
              <w:t>ir kitų valstybių narių teisės aktuose, perkeliančiuose Direktyvos 2013/36/ES 2 straipsnio 5 dalį, nurodytus subjektus.“</w:t>
            </w:r>
          </w:p>
          <w:p w:rsidR="00F22979" w:rsidRDefault="00F22979" w:rsidP="00AD0E2F">
            <w:pPr>
              <w:rPr>
                <w:b/>
                <w:sz w:val="20"/>
                <w:szCs w:val="20"/>
              </w:rPr>
            </w:pPr>
          </w:p>
          <w:p w:rsidR="00F22979" w:rsidRDefault="00F22979" w:rsidP="00AD0E2F">
            <w:pPr>
              <w:rPr>
                <w:b/>
                <w:sz w:val="20"/>
                <w:szCs w:val="20"/>
              </w:rPr>
            </w:pPr>
            <w:r w:rsidRPr="00F22979">
              <w:rPr>
                <w:sz w:val="20"/>
                <w:szCs w:val="20"/>
              </w:rPr>
              <w:t>Į pastabą dėl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058DD">
              <w:rPr>
                <w:sz w:val="20"/>
                <w:szCs w:val="20"/>
              </w:rPr>
              <w:t>FTĮ projekto 17, 33 ir 48 straipsni</w:t>
            </w:r>
            <w:r>
              <w:rPr>
                <w:sz w:val="20"/>
                <w:szCs w:val="20"/>
              </w:rPr>
              <w:t>ų atsižvelgta.</w:t>
            </w:r>
          </w:p>
          <w:p w:rsidR="002F6AF1" w:rsidRPr="00AD0E2F" w:rsidRDefault="00AD0E2F" w:rsidP="00AD0E2F">
            <w:pPr>
              <w:jc w:val="both"/>
              <w:textAlignment w:val="baseline"/>
              <w:rPr>
                <w:b/>
                <w:bCs/>
                <w:color w:val="000000" w:themeColor="text1"/>
                <w:lang w:eastAsia="en-US"/>
              </w:rPr>
            </w:pPr>
            <w:r w:rsidRPr="00AD0E2F">
              <w:rPr>
                <w:rFonts w:eastAsia="SimSun"/>
                <w:lang w:eastAsia="ja-JP"/>
              </w:rPr>
              <w:t xml:space="preserve"> </w:t>
            </w:r>
          </w:p>
        </w:tc>
      </w:tr>
      <w:tr w:rsidR="002F6AF1" w:rsidRPr="004E0269" w:rsidTr="005F3ECE">
        <w:tc>
          <w:tcPr>
            <w:tcW w:w="1598" w:type="dxa"/>
            <w:vMerge/>
            <w:shd w:val="clear" w:color="auto" w:fill="auto"/>
          </w:tcPr>
          <w:p w:rsidR="002F6AF1" w:rsidRPr="004E0269" w:rsidRDefault="002F6AF1" w:rsidP="002F6AF1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6128" w:type="dxa"/>
            <w:shd w:val="clear" w:color="auto" w:fill="auto"/>
          </w:tcPr>
          <w:p w:rsidR="002F6AF1" w:rsidRPr="00E058DD" w:rsidRDefault="00CC5FD4" w:rsidP="00AB3F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6AF1" w:rsidRPr="00E058DD">
              <w:rPr>
                <w:sz w:val="20"/>
                <w:szCs w:val="20"/>
              </w:rPr>
              <w:t>. Svarstytina, ar FT įstatymo 98 straipsnio 3 dalis neturėtų būti papildyta nuoroda į 50</w:t>
            </w:r>
            <w:r w:rsidR="002F6AF1" w:rsidRPr="00E058DD">
              <w:rPr>
                <w:sz w:val="20"/>
                <w:szCs w:val="20"/>
                <w:vertAlign w:val="superscript"/>
              </w:rPr>
              <w:t>1</w:t>
            </w:r>
            <w:r w:rsidR="002F6AF1" w:rsidRPr="00E058DD">
              <w:rPr>
                <w:sz w:val="20"/>
                <w:szCs w:val="20"/>
              </w:rPr>
              <w:t xml:space="preserve"> straipsnį. </w:t>
            </w:r>
          </w:p>
        </w:tc>
        <w:tc>
          <w:tcPr>
            <w:tcW w:w="7550" w:type="dxa"/>
            <w:shd w:val="clear" w:color="auto" w:fill="auto"/>
          </w:tcPr>
          <w:p w:rsidR="00423AF2" w:rsidRPr="00875A87" w:rsidRDefault="00AD0E2F" w:rsidP="00423AF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75A87">
              <w:rPr>
                <w:b/>
                <w:bCs/>
                <w:sz w:val="20"/>
                <w:szCs w:val="20"/>
              </w:rPr>
              <w:t>Neatsižvelgta.</w:t>
            </w:r>
          </w:p>
          <w:p w:rsidR="002F6AF1" w:rsidRPr="004E0269" w:rsidRDefault="00AD0E2F" w:rsidP="00DA536C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AD0E2F">
              <w:rPr>
                <w:color w:val="000000" w:themeColor="text1"/>
                <w:sz w:val="20"/>
                <w:lang w:eastAsia="en-US"/>
              </w:rPr>
              <w:t>FTĮ projekto 31 straipsniu įstatymas papildomas 49</w:t>
            </w:r>
            <w:r w:rsidRPr="00C15303">
              <w:rPr>
                <w:color w:val="000000" w:themeColor="text1"/>
                <w:sz w:val="20"/>
                <w:vertAlign w:val="superscript"/>
                <w:lang w:eastAsia="en-US"/>
              </w:rPr>
              <w:t>1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straipsniu (prieš FTĮ projekto </w:t>
            </w:r>
            <w:r w:rsidR="00CE0BEA" w:rsidRPr="00AD0E2F">
              <w:rPr>
                <w:color w:val="000000" w:themeColor="text1"/>
                <w:sz w:val="20"/>
                <w:lang w:eastAsia="en-US"/>
              </w:rPr>
              <w:t xml:space="preserve">patikslinimą </w:t>
            </w:r>
            <w:r w:rsidRPr="00AD0E2F">
              <w:rPr>
                <w:color w:val="000000" w:themeColor="text1"/>
                <w:sz w:val="20"/>
                <w:lang w:eastAsia="en-US"/>
              </w:rPr>
              <w:t>pagal gautas institucijų pastabas buvo 50</w:t>
            </w:r>
            <w:r w:rsidRPr="00C15303">
              <w:rPr>
                <w:color w:val="000000" w:themeColor="text1"/>
                <w:sz w:val="20"/>
                <w:vertAlign w:val="superscript"/>
                <w:lang w:eastAsia="en-US"/>
              </w:rPr>
              <w:t>1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straipsnis), kuris įgyvendina Direktyvos 33a straipsnį, reglamentuojantį tam tikrų įsipareigojimų vykdymo sustabdymą dar iki priimant sprendimą dėl pertvarkymo, o FTĮ 98 str</w:t>
            </w:r>
            <w:r w:rsidR="00CE0BEA">
              <w:rPr>
                <w:color w:val="000000" w:themeColor="text1"/>
                <w:sz w:val="20"/>
                <w:lang w:eastAsia="en-US"/>
              </w:rPr>
              <w:t>aipsnio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3 d</w:t>
            </w:r>
            <w:r w:rsidR="00CE0BEA">
              <w:rPr>
                <w:color w:val="000000" w:themeColor="text1"/>
                <w:sz w:val="20"/>
                <w:lang w:eastAsia="en-US"/>
              </w:rPr>
              <w:t>alis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nustato informavimo apie sprendim</w:t>
            </w:r>
            <w:r w:rsidR="00DA536C">
              <w:rPr>
                <w:color w:val="000000" w:themeColor="text1"/>
                <w:sz w:val="20"/>
                <w:lang w:eastAsia="en-US"/>
              </w:rPr>
              <w:t>ą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dėl pertvarkymo arba pranešimą, kuriame apibendrintai būtų nurodytas pertvarkymo veiksmų poveikis</w:t>
            </w:r>
            <w:r w:rsidR="00CE0BEA">
              <w:rPr>
                <w:color w:val="000000" w:themeColor="text1"/>
                <w:sz w:val="20"/>
                <w:lang w:eastAsia="en-US"/>
              </w:rPr>
              <w:t>,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būdus. Priėmus sprendimą dėl pertvarkymo 49</w:t>
            </w:r>
            <w:r w:rsidRPr="00C15303">
              <w:rPr>
                <w:color w:val="000000" w:themeColor="text1"/>
                <w:sz w:val="20"/>
                <w:vertAlign w:val="superscript"/>
                <w:lang w:eastAsia="en-US"/>
              </w:rPr>
              <w:t>1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straipsnyje nurodytas sustabdymas nebebus taikomas ir aktualus, todėl netikslinga papildyti FTĮ 98 straipsnio 3 dalį nuoroda į 49</w:t>
            </w:r>
            <w:r w:rsidRPr="00C15303">
              <w:rPr>
                <w:color w:val="000000" w:themeColor="text1"/>
                <w:sz w:val="20"/>
                <w:vertAlign w:val="superscript"/>
                <w:lang w:eastAsia="en-US"/>
              </w:rPr>
              <w:t>1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straipsnį (buvęs 50</w:t>
            </w:r>
            <w:r w:rsidRPr="00C15303">
              <w:rPr>
                <w:color w:val="000000" w:themeColor="text1"/>
                <w:sz w:val="20"/>
                <w:vertAlign w:val="superscript"/>
                <w:lang w:eastAsia="en-US"/>
              </w:rPr>
              <w:t>1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straipsnis). Pertvarkymo institucijos sprendimo sustabdyti mokėjimo ar perdavimo įsipareigojimus, sustabdymo sąlygų ir jo laikotarpio paskelbimo būdai nustatyti FTĮ projekto 31 straipsniu papildomo </w:t>
            </w:r>
            <w:r w:rsidRPr="00AD0E2F">
              <w:rPr>
                <w:color w:val="000000" w:themeColor="text1"/>
                <w:sz w:val="20"/>
                <w:lang w:eastAsia="en-US"/>
              </w:rPr>
              <w:lastRenderedPageBreak/>
              <w:t>49</w:t>
            </w:r>
            <w:r w:rsidRPr="00C15303">
              <w:rPr>
                <w:color w:val="000000" w:themeColor="text1"/>
                <w:sz w:val="20"/>
                <w:vertAlign w:val="superscript"/>
                <w:lang w:eastAsia="en-US"/>
              </w:rPr>
              <w:t>1</w:t>
            </w:r>
            <w:r w:rsidRPr="00AD0E2F">
              <w:rPr>
                <w:color w:val="000000" w:themeColor="text1"/>
                <w:sz w:val="20"/>
                <w:lang w:eastAsia="en-US"/>
              </w:rPr>
              <w:t xml:space="preserve"> straipsnio 9 dalyje.</w:t>
            </w:r>
          </w:p>
        </w:tc>
      </w:tr>
      <w:tr w:rsidR="002F6AF1" w:rsidRPr="004E0269" w:rsidTr="005F3ECE">
        <w:tc>
          <w:tcPr>
            <w:tcW w:w="1598" w:type="dxa"/>
            <w:vMerge/>
            <w:shd w:val="clear" w:color="auto" w:fill="auto"/>
          </w:tcPr>
          <w:p w:rsidR="002F6AF1" w:rsidRPr="004E0269" w:rsidRDefault="002F6AF1" w:rsidP="002F6AF1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6128" w:type="dxa"/>
            <w:shd w:val="clear" w:color="auto" w:fill="auto"/>
          </w:tcPr>
          <w:p w:rsidR="002F6AF1" w:rsidRPr="00E058DD" w:rsidRDefault="00CC5FD4" w:rsidP="00AB3F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6AF1" w:rsidRPr="00E058DD">
              <w:rPr>
                <w:sz w:val="20"/>
                <w:szCs w:val="20"/>
              </w:rPr>
              <w:t>. Prašome Direktyvos (ES) 2019/878 ir nacionalinių teisės aktų atitikties lentelėje patikslinti, kaip yra perkeliama Direktyvos (ES) 2019/878 1 straipsnio 8 dalis, 9 dalyje dėstomo 21a straipsnio 2 ir 3 dalių b punktai, 6, 8-10 dalys ir 21b straipsnio 6 ir 8 dalys, 1 straipsnio 20 dalis bei 25 dalies a punktas. Jeigu šios nuostatos nėra perkeltos ar perkeltos tik iš dalies, siūlytina minėtoje atitikties lentelėje nurodyti teisės aktų projektus, kuriais bus siekiama ištaisyti šias spragas, bei už projektų parengimą atsakingas institucijas.</w:t>
            </w:r>
          </w:p>
        </w:tc>
        <w:tc>
          <w:tcPr>
            <w:tcW w:w="7550" w:type="dxa"/>
            <w:shd w:val="clear" w:color="auto" w:fill="auto"/>
          </w:tcPr>
          <w:p w:rsidR="00BD013E" w:rsidRPr="00421391" w:rsidRDefault="00BD013E" w:rsidP="00162793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421391">
              <w:rPr>
                <w:b/>
                <w:bCs/>
                <w:sz w:val="20"/>
                <w:szCs w:val="20"/>
              </w:rPr>
              <w:t xml:space="preserve">Iš dalies </w:t>
            </w:r>
            <w:r w:rsidR="00F22979">
              <w:rPr>
                <w:b/>
                <w:bCs/>
                <w:sz w:val="20"/>
                <w:szCs w:val="20"/>
              </w:rPr>
              <w:t>atsižvelgta</w:t>
            </w:r>
            <w:r w:rsidR="00DA536C">
              <w:rPr>
                <w:b/>
                <w:bCs/>
                <w:sz w:val="20"/>
                <w:szCs w:val="20"/>
              </w:rPr>
              <w:t>.</w:t>
            </w:r>
          </w:p>
          <w:p w:rsidR="004B1F61" w:rsidRPr="00421391" w:rsidRDefault="00BB22E8" w:rsidP="0016279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421391">
              <w:rPr>
                <w:bCs/>
                <w:sz w:val="20"/>
                <w:szCs w:val="20"/>
              </w:rPr>
              <w:t xml:space="preserve">Dėl </w:t>
            </w:r>
            <w:r w:rsidR="004B1F61" w:rsidRPr="00421391">
              <w:rPr>
                <w:bCs/>
                <w:sz w:val="20"/>
                <w:szCs w:val="20"/>
              </w:rPr>
              <w:t xml:space="preserve">1 straipsnio </w:t>
            </w:r>
            <w:r w:rsidR="00F40970" w:rsidRPr="00421391">
              <w:rPr>
                <w:bCs/>
                <w:sz w:val="20"/>
                <w:szCs w:val="20"/>
              </w:rPr>
              <w:t>8 dali</w:t>
            </w:r>
            <w:r w:rsidR="004B1F61" w:rsidRPr="00421391">
              <w:rPr>
                <w:bCs/>
                <w:sz w:val="20"/>
                <w:szCs w:val="20"/>
              </w:rPr>
              <w:t>e</w:t>
            </w:r>
            <w:r w:rsidR="00F40970" w:rsidRPr="00421391">
              <w:rPr>
                <w:bCs/>
                <w:sz w:val="20"/>
                <w:szCs w:val="20"/>
              </w:rPr>
              <w:t>s</w:t>
            </w:r>
            <w:r w:rsidR="004B1F61" w:rsidRPr="00421391">
              <w:rPr>
                <w:bCs/>
                <w:sz w:val="20"/>
                <w:szCs w:val="20"/>
              </w:rPr>
              <w:t>:</w:t>
            </w:r>
          </w:p>
          <w:p w:rsidR="002F6AF1" w:rsidRPr="00421391" w:rsidRDefault="004B1F61" w:rsidP="0016279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421391">
              <w:rPr>
                <w:bCs/>
                <w:sz w:val="20"/>
                <w:szCs w:val="20"/>
              </w:rPr>
              <w:t xml:space="preserve">Atitikties lentelė patikslinta pagal pastabas. Taip pat atkreipiame dėmesį, kad </w:t>
            </w:r>
            <w:r w:rsidR="002D3E6A" w:rsidRPr="00421391">
              <w:rPr>
                <w:bCs/>
                <w:sz w:val="20"/>
                <w:szCs w:val="20"/>
              </w:rPr>
              <w:t xml:space="preserve">licencijų atšaukimo bendruosius pagrindus visoms licencijuotoms finansų įstaigoms nustato Finansų įstaigų įstatymo </w:t>
            </w:r>
            <w:r w:rsidR="00F1388C" w:rsidRPr="00421391">
              <w:rPr>
                <w:bCs/>
                <w:sz w:val="20"/>
                <w:szCs w:val="20"/>
              </w:rPr>
              <w:t>10 straipsnis</w:t>
            </w:r>
            <w:r w:rsidR="00316588" w:rsidRPr="00421391">
              <w:rPr>
                <w:bCs/>
                <w:sz w:val="20"/>
                <w:szCs w:val="20"/>
              </w:rPr>
              <w:t xml:space="preserve">. Finansų įstaigų įstatymo </w:t>
            </w:r>
            <w:r w:rsidR="00316588" w:rsidRPr="00421391">
              <w:rPr>
                <w:bCs/>
                <w:sz w:val="20"/>
                <w:szCs w:val="20"/>
                <w:lang w:val="en-US"/>
              </w:rPr>
              <w:t xml:space="preserve">10 </w:t>
            </w:r>
            <w:proofErr w:type="spellStart"/>
            <w:r w:rsidR="00316588" w:rsidRPr="00421391">
              <w:rPr>
                <w:bCs/>
                <w:sz w:val="20"/>
                <w:szCs w:val="20"/>
                <w:lang w:val="en-US"/>
              </w:rPr>
              <w:t>straipsnio</w:t>
            </w:r>
            <w:proofErr w:type="spellEnd"/>
            <w:r w:rsidR="00316588" w:rsidRPr="00421391">
              <w:rPr>
                <w:bCs/>
                <w:sz w:val="20"/>
                <w:szCs w:val="20"/>
                <w:lang w:val="en-US"/>
              </w:rPr>
              <w:t xml:space="preserve"> 2 </w:t>
            </w:r>
            <w:proofErr w:type="spellStart"/>
            <w:r w:rsidR="00316588" w:rsidRPr="00421391">
              <w:rPr>
                <w:bCs/>
                <w:sz w:val="20"/>
                <w:szCs w:val="20"/>
                <w:lang w:val="en-US"/>
              </w:rPr>
              <w:t>dalies</w:t>
            </w:r>
            <w:proofErr w:type="spellEnd"/>
            <w:r w:rsidR="00316588" w:rsidRPr="00421391">
              <w:rPr>
                <w:bCs/>
                <w:sz w:val="20"/>
                <w:szCs w:val="20"/>
                <w:lang w:val="en-US"/>
              </w:rPr>
              <w:t xml:space="preserve"> 3</w:t>
            </w:r>
            <w:r w:rsidR="00316588" w:rsidRPr="00421391">
              <w:rPr>
                <w:bCs/>
                <w:sz w:val="20"/>
                <w:szCs w:val="20"/>
              </w:rPr>
              <w:t xml:space="preserve"> punktas nustato, kad licencija gali būti atšaukta, jei finansų įstaigų neatitinka </w:t>
            </w:r>
            <w:r w:rsidR="00316588" w:rsidRPr="00421391">
              <w:rPr>
                <w:bCs/>
                <w:sz w:val="20"/>
                <w:szCs w:val="20"/>
                <w:lang w:bidi="lt-LT"/>
              </w:rPr>
              <w:t xml:space="preserve">šio </w:t>
            </w:r>
            <w:r w:rsidR="00DA536C">
              <w:rPr>
                <w:bCs/>
                <w:sz w:val="20"/>
                <w:szCs w:val="20"/>
                <w:lang w:bidi="lt-LT"/>
              </w:rPr>
              <w:t>į</w:t>
            </w:r>
            <w:r w:rsidR="00316588" w:rsidRPr="00421391">
              <w:rPr>
                <w:bCs/>
                <w:sz w:val="20"/>
                <w:szCs w:val="20"/>
                <w:lang w:bidi="lt-LT"/>
              </w:rPr>
              <w:t>statymo ir kitų Lietuvos Respublikos teisės aktų reikalavimų dėl saugios ir patikimos atitinkamų</w:t>
            </w:r>
            <w:r w:rsidR="00316588" w:rsidRPr="00421391">
              <w:rPr>
                <w:b/>
                <w:bCs/>
                <w:sz w:val="20"/>
                <w:szCs w:val="20"/>
                <w:lang w:bidi="lt-LT"/>
              </w:rPr>
              <w:t> </w:t>
            </w:r>
            <w:r w:rsidR="00316588" w:rsidRPr="00421391">
              <w:rPr>
                <w:bCs/>
                <w:sz w:val="20"/>
                <w:szCs w:val="20"/>
                <w:lang w:bidi="lt-LT"/>
              </w:rPr>
              <w:t xml:space="preserve">finansų įstaigų veiklos, kas apima </w:t>
            </w:r>
            <w:proofErr w:type="spellStart"/>
            <w:r w:rsidR="00316588" w:rsidRPr="00421391">
              <w:rPr>
                <w:bCs/>
                <w:sz w:val="20"/>
                <w:szCs w:val="20"/>
                <w:lang w:bidi="lt-LT"/>
              </w:rPr>
              <w:t>prudencinių</w:t>
            </w:r>
            <w:proofErr w:type="spellEnd"/>
            <w:r w:rsidR="00316588" w:rsidRPr="00421391">
              <w:rPr>
                <w:bCs/>
                <w:sz w:val="20"/>
                <w:szCs w:val="20"/>
                <w:lang w:bidi="lt-LT"/>
              </w:rPr>
              <w:t xml:space="preserve"> reikalavimų</w:t>
            </w:r>
            <w:r w:rsidR="00DA536C">
              <w:rPr>
                <w:bCs/>
                <w:sz w:val="20"/>
                <w:szCs w:val="20"/>
                <w:lang w:bidi="lt-LT"/>
              </w:rPr>
              <w:t>,</w:t>
            </w:r>
            <w:r w:rsidR="00316588" w:rsidRPr="00421391">
              <w:rPr>
                <w:bCs/>
                <w:sz w:val="20"/>
                <w:szCs w:val="20"/>
                <w:lang w:bidi="lt-LT"/>
              </w:rPr>
              <w:t xml:space="preserve"> nustatytų Bankų įstatyme, Lietuvos banko valdybos nutarimuose ir Reglamente (ES) Nr. </w:t>
            </w:r>
            <w:r w:rsidR="00316588" w:rsidRPr="00421391">
              <w:rPr>
                <w:sz w:val="20"/>
                <w:szCs w:val="20"/>
              </w:rPr>
              <w:t>575/2013</w:t>
            </w:r>
            <w:r w:rsidR="00DA536C">
              <w:rPr>
                <w:sz w:val="20"/>
                <w:szCs w:val="20"/>
              </w:rPr>
              <w:t>,</w:t>
            </w:r>
            <w:r w:rsidR="00DA536C" w:rsidRPr="00421391">
              <w:rPr>
                <w:bCs/>
                <w:sz w:val="20"/>
                <w:szCs w:val="20"/>
                <w:lang w:bidi="lt-LT"/>
              </w:rPr>
              <w:t xml:space="preserve"> laikymąsi</w:t>
            </w:r>
            <w:r w:rsidR="00316588" w:rsidRPr="00421391">
              <w:rPr>
                <w:bCs/>
                <w:sz w:val="20"/>
                <w:szCs w:val="20"/>
              </w:rPr>
              <w:t xml:space="preserve">. </w:t>
            </w:r>
          </w:p>
          <w:p w:rsidR="00316588" w:rsidRPr="00421391" w:rsidRDefault="00316588" w:rsidP="00162793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316588" w:rsidRPr="00421391" w:rsidRDefault="00316588" w:rsidP="00162793">
            <w:pPr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  <w:r w:rsidRPr="00421391">
              <w:rPr>
                <w:bCs/>
                <w:sz w:val="20"/>
                <w:szCs w:val="20"/>
              </w:rPr>
              <w:t xml:space="preserve">Dėl </w:t>
            </w:r>
            <w:r w:rsidRPr="00421391"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straipsnio</w:t>
            </w:r>
            <w:proofErr w:type="spellEnd"/>
            <w:r w:rsidRPr="00421391">
              <w:rPr>
                <w:bCs/>
                <w:sz w:val="20"/>
                <w:szCs w:val="20"/>
                <w:lang w:val="en-US"/>
              </w:rPr>
              <w:t xml:space="preserve"> 9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dalies</w:t>
            </w:r>
            <w:proofErr w:type="spellEnd"/>
            <w:r w:rsidRPr="00421391">
              <w:rPr>
                <w:bCs/>
                <w:sz w:val="20"/>
                <w:szCs w:val="20"/>
                <w:lang w:val="en-US"/>
              </w:rPr>
              <w:t>:</w:t>
            </w:r>
          </w:p>
          <w:p w:rsidR="000F104F" w:rsidRPr="00421391" w:rsidRDefault="00316588" w:rsidP="0016279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421391">
              <w:rPr>
                <w:bCs/>
                <w:sz w:val="20"/>
                <w:szCs w:val="20"/>
                <w:lang w:val="en-US"/>
              </w:rPr>
              <w:t xml:space="preserve">21a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straipsnio</w:t>
            </w:r>
            <w:proofErr w:type="spellEnd"/>
            <w:r w:rsidRPr="00421391">
              <w:rPr>
                <w:bCs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dalies</w:t>
            </w:r>
            <w:proofErr w:type="spellEnd"/>
            <w:r w:rsidRPr="00421391">
              <w:rPr>
                <w:bCs/>
                <w:sz w:val="20"/>
                <w:szCs w:val="20"/>
                <w:lang w:val="en-US"/>
              </w:rPr>
              <w:t xml:space="preserve"> b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punktas</w:t>
            </w:r>
            <w:proofErr w:type="spellEnd"/>
            <w:r w:rsidRPr="0042139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perkeltas</w:t>
            </w:r>
            <w:proofErr w:type="spellEnd"/>
            <w:r w:rsidRPr="0042139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21391">
              <w:rPr>
                <w:bCs/>
                <w:sz w:val="20"/>
                <w:szCs w:val="20"/>
              </w:rPr>
              <w:t xml:space="preserve">į </w:t>
            </w:r>
            <w:r w:rsidRPr="00421391">
              <w:rPr>
                <w:bCs/>
                <w:sz w:val="20"/>
                <w:szCs w:val="20"/>
                <w:lang w:val="en-US"/>
              </w:rPr>
              <w:t>12</w:t>
            </w:r>
            <w:r w:rsidRPr="00421391">
              <w:rPr>
                <w:bCs/>
                <w:sz w:val="20"/>
                <w:szCs w:val="20"/>
                <w:vertAlign w:val="superscript"/>
                <w:lang w:val="en-US"/>
              </w:rPr>
              <w:t>1</w:t>
            </w:r>
            <w:r w:rsidRPr="0042139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straipsnio</w:t>
            </w:r>
            <w:proofErr w:type="spellEnd"/>
            <w:r w:rsidRPr="00421391">
              <w:rPr>
                <w:bCs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dalies</w:t>
            </w:r>
            <w:proofErr w:type="spellEnd"/>
            <w:r w:rsidRPr="00421391">
              <w:rPr>
                <w:bCs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421391">
              <w:rPr>
                <w:bCs/>
                <w:sz w:val="20"/>
                <w:szCs w:val="20"/>
                <w:lang w:val="en-US"/>
              </w:rPr>
              <w:t>punkt</w:t>
            </w:r>
            <w:proofErr w:type="spellEnd"/>
            <w:r w:rsidRPr="00421391">
              <w:rPr>
                <w:bCs/>
                <w:sz w:val="20"/>
                <w:szCs w:val="20"/>
              </w:rPr>
              <w:t>ą. Detalūs reikalavimai</w:t>
            </w:r>
            <w:r w:rsidR="00DA536C">
              <w:rPr>
                <w:bCs/>
                <w:sz w:val="20"/>
                <w:szCs w:val="20"/>
              </w:rPr>
              <w:t>,</w:t>
            </w:r>
            <w:r w:rsidRPr="00421391">
              <w:rPr>
                <w:bCs/>
                <w:sz w:val="20"/>
                <w:szCs w:val="20"/>
              </w:rPr>
              <w:t xml:space="preserve"> kokią tiksliai informaciją turi pateikti subjektai, nustatom</w:t>
            </w:r>
            <w:r w:rsidR="00DA536C">
              <w:rPr>
                <w:bCs/>
                <w:sz w:val="20"/>
                <w:szCs w:val="20"/>
              </w:rPr>
              <w:t>i</w:t>
            </w:r>
            <w:r w:rsidRPr="00421391">
              <w:rPr>
                <w:bCs/>
                <w:sz w:val="20"/>
                <w:szCs w:val="20"/>
              </w:rPr>
              <w:t xml:space="preserve"> priežiūros institucijos teisės aktais, t. y. </w:t>
            </w:r>
            <w:proofErr w:type="spellStart"/>
            <w:r w:rsidRPr="00421391">
              <w:rPr>
                <w:bCs/>
                <w:sz w:val="20"/>
                <w:szCs w:val="20"/>
              </w:rPr>
              <w:t>autorizavimo</w:t>
            </w:r>
            <w:proofErr w:type="spellEnd"/>
            <w:r w:rsidRPr="00421391">
              <w:rPr>
                <w:bCs/>
                <w:sz w:val="20"/>
                <w:szCs w:val="20"/>
              </w:rPr>
              <w:t xml:space="preserve"> metu, prieš įrašant finansų įstaigą į atitinkamą sąrašą</w:t>
            </w:r>
            <w:r w:rsidR="00DA536C">
              <w:rPr>
                <w:bCs/>
                <w:sz w:val="20"/>
                <w:szCs w:val="20"/>
              </w:rPr>
              <w:t>,</w:t>
            </w:r>
            <w:r w:rsidRPr="00421391">
              <w:rPr>
                <w:bCs/>
                <w:sz w:val="20"/>
                <w:szCs w:val="20"/>
              </w:rPr>
              <w:t xml:space="preserve"> priežiūros institucijai pateikiama informacija apie asmenis, jiems užpild</w:t>
            </w:r>
            <w:r w:rsidR="00D84B01">
              <w:rPr>
                <w:bCs/>
                <w:sz w:val="20"/>
                <w:szCs w:val="20"/>
              </w:rPr>
              <w:t>žius</w:t>
            </w:r>
            <w:r w:rsidRPr="00421391">
              <w:rPr>
                <w:bCs/>
                <w:sz w:val="20"/>
                <w:szCs w:val="20"/>
              </w:rPr>
              <w:t xml:space="preserve"> anketas ir klausimynus, kurių turinį nustato priežiūros institucijos teisės aktai.</w:t>
            </w:r>
            <w:r w:rsidR="000F104F" w:rsidRPr="00421391">
              <w:rPr>
                <w:bCs/>
                <w:sz w:val="20"/>
                <w:szCs w:val="20"/>
              </w:rPr>
              <w:t xml:space="preserve"> Tokia praktika taikoma visiems finansų rinkos dalyviams, kurie teikia prašymus dėl </w:t>
            </w:r>
            <w:proofErr w:type="spellStart"/>
            <w:r w:rsidR="000F104F" w:rsidRPr="00421391">
              <w:rPr>
                <w:bCs/>
                <w:sz w:val="20"/>
                <w:szCs w:val="20"/>
              </w:rPr>
              <w:t>autorizavimo</w:t>
            </w:r>
            <w:proofErr w:type="spellEnd"/>
            <w:r w:rsidR="000F104F" w:rsidRPr="00421391">
              <w:rPr>
                <w:bCs/>
                <w:sz w:val="20"/>
                <w:szCs w:val="20"/>
              </w:rPr>
              <w:t>.</w:t>
            </w:r>
          </w:p>
          <w:p w:rsidR="00316588" w:rsidRPr="00421391" w:rsidRDefault="000F104F" w:rsidP="0016279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421391">
              <w:rPr>
                <w:bCs/>
                <w:sz w:val="20"/>
                <w:szCs w:val="20"/>
              </w:rPr>
              <w:t xml:space="preserve"> </w:t>
            </w:r>
          </w:p>
          <w:p w:rsidR="000251AB" w:rsidRPr="00421391" w:rsidRDefault="000251AB" w:rsidP="000251AB">
            <w:pPr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EB51D5" w:rsidRDefault="00EB51D5" w:rsidP="00052039">
      <w:pPr>
        <w:jc w:val="center"/>
        <w:rPr>
          <w:sz w:val="22"/>
          <w:szCs w:val="22"/>
        </w:rPr>
      </w:pPr>
    </w:p>
    <w:p w:rsidR="00AE2D7B" w:rsidRPr="006C67B9" w:rsidRDefault="00160C67" w:rsidP="00052039">
      <w:pPr>
        <w:jc w:val="center"/>
        <w:rPr>
          <w:sz w:val="22"/>
          <w:szCs w:val="22"/>
        </w:rPr>
      </w:pPr>
      <w:r w:rsidRPr="006C67B9">
        <w:rPr>
          <w:sz w:val="22"/>
          <w:szCs w:val="22"/>
        </w:rPr>
        <w:t>____________________</w:t>
      </w:r>
    </w:p>
    <w:sectPr w:rsidR="00AE2D7B" w:rsidRPr="006C67B9" w:rsidSect="00285407">
      <w:headerReference w:type="default" r:id="rId9"/>
      <w:footerReference w:type="default" r:id="rId10"/>
      <w:footerReference w:type="first" r:id="rId11"/>
      <w:pgSz w:w="16838" w:h="11906" w:orient="landscape"/>
      <w:pgMar w:top="993" w:right="1103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AB" w:rsidRDefault="006360AB" w:rsidP="004F4EF3">
      <w:r>
        <w:separator/>
      </w:r>
    </w:p>
  </w:endnote>
  <w:endnote w:type="continuationSeparator" w:id="0">
    <w:p w:rsidR="006360AB" w:rsidRDefault="006360AB" w:rsidP="004F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7" w:rsidRDefault="00285407">
    <w:pPr>
      <w:pStyle w:val="Porat"/>
      <w:jc w:val="right"/>
    </w:pPr>
  </w:p>
  <w:p w:rsidR="00285407" w:rsidRDefault="002854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7" w:rsidRDefault="00285407">
    <w:pPr>
      <w:pStyle w:val="Porat"/>
      <w:jc w:val="right"/>
    </w:pPr>
  </w:p>
  <w:p w:rsidR="00285407" w:rsidRDefault="0028540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AB" w:rsidRDefault="006360AB" w:rsidP="004F4EF3">
      <w:r>
        <w:separator/>
      </w:r>
    </w:p>
  </w:footnote>
  <w:footnote w:type="continuationSeparator" w:id="0">
    <w:p w:rsidR="006360AB" w:rsidRDefault="006360AB" w:rsidP="004F4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EF7" w:rsidRDefault="00153E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15303">
      <w:rPr>
        <w:noProof/>
      </w:rPr>
      <w:t>2</w:t>
    </w:r>
    <w:r>
      <w:fldChar w:fldCharType="end"/>
    </w:r>
  </w:p>
  <w:p w:rsidR="00153EF7" w:rsidRDefault="00153E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0179"/>
    <w:multiLevelType w:val="multilevel"/>
    <w:tmpl w:val="00CCD236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1800"/>
      </w:pPr>
      <w:rPr>
        <w:rFonts w:hint="default"/>
      </w:rPr>
    </w:lvl>
  </w:abstractNum>
  <w:abstractNum w:abstractNumId="1">
    <w:nsid w:val="0C8D31C4"/>
    <w:multiLevelType w:val="hybridMultilevel"/>
    <w:tmpl w:val="FE3A914C"/>
    <w:lvl w:ilvl="0" w:tplc="908027D2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E3DA2"/>
    <w:multiLevelType w:val="hybridMultilevel"/>
    <w:tmpl w:val="5770C7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12C8E"/>
    <w:multiLevelType w:val="hybridMultilevel"/>
    <w:tmpl w:val="5F7EF3FC"/>
    <w:lvl w:ilvl="0" w:tplc="9C6C7892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B94DF7"/>
    <w:multiLevelType w:val="hybridMultilevel"/>
    <w:tmpl w:val="675CCC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A294D"/>
    <w:multiLevelType w:val="hybridMultilevel"/>
    <w:tmpl w:val="A28C5780"/>
    <w:lvl w:ilvl="0" w:tplc="E3024A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96435ED"/>
    <w:multiLevelType w:val="hybridMultilevel"/>
    <w:tmpl w:val="1982F7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62B9E"/>
    <w:multiLevelType w:val="hybridMultilevel"/>
    <w:tmpl w:val="E92CC77C"/>
    <w:lvl w:ilvl="0" w:tplc="0427000F">
      <w:start w:val="1"/>
      <w:numFmt w:val="decimal"/>
      <w:lvlText w:val="%1."/>
      <w:lvlJc w:val="left"/>
      <w:pPr>
        <w:ind w:left="1141" w:hanging="360"/>
      </w:pPr>
    </w:lvl>
    <w:lvl w:ilvl="1" w:tplc="04270019" w:tentative="1">
      <w:start w:val="1"/>
      <w:numFmt w:val="lowerLetter"/>
      <w:lvlText w:val="%2."/>
      <w:lvlJc w:val="left"/>
      <w:pPr>
        <w:ind w:left="1861" w:hanging="360"/>
      </w:pPr>
    </w:lvl>
    <w:lvl w:ilvl="2" w:tplc="0427001B" w:tentative="1">
      <w:start w:val="1"/>
      <w:numFmt w:val="lowerRoman"/>
      <w:lvlText w:val="%3."/>
      <w:lvlJc w:val="right"/>
      <w:pPr>
        <w:ind w:left="2581" w:hanging="180"/>
      </w:pPr>
    </w:lvl>
    <w:lvl w:ilvl="3" w:tplc="0427000F" w:tentative="1">
      <w:start w:val="1"/>
      <w:numFmt w:val="decimal"/>
      <w:lvlText w:val="%4."/>
      <w:lvlJc w:val="left"/>
      <w:pPr>
        <w:ind w:left="3301" w:hanging="360"/>
      </w:pPr>
    </w:lvl>
    <w:lvl w:ilvl="4" w:tplc="04270019" w:tentative="1">
      <w:start w:val="1"/>
      <w:numFmt w:val="lowerLetter"/>
      <w:lvlText w:val="%5."/>
      <w:lvlJc w:val="left"/>
      <w:pPr>
        <w:ind w:left="4021" w:hanging="360"/>
      </w:pPr>
    </w:lvl>
    <w:lvl w:ilvl="5" w:tplc="0427001B" w:tentative="1">
      <w:start w:val="1"/>
      <w:numFmt w:val="lowerRoman"/>
      <w:lvlText w:val="%6."/>
      <w:lvlJc w:val="right"/>
      <w:pPr>
        <w:ind w:left="4741" w:hanging="180"/>
      </w:pPr>
    </w:lvl>
    <w:lvl w:ilvl="6" w:tplc="0427000F" w:tentative="1">
      <w:start w:val="1"/>
      <w:numFmt w:val="decimal"/>
      <w:lvlText w:val="%7."/>
      <w:lvlJc w:val="left"/>
      <w:pPr>
        <w:ind w:left="5461" w:hanging="360"/>
      </w:pPr>
    </w:lvl>
    <w:lvl w:ilvl="7" w:tplc="04270019" w:tentative="1">
      <w:start w:val="1"/>
      <w:numFmt w:val="lowerLetter"/>
      <w:lvlText w:val="%8."/>
      <w:lvlJc w:val="left"/>
      <w:pPr>
        <w:ind w:left="6181" w:hanging="360"/>
      </w:pPr>
    </w:lvl>
    <w:lvl w:ilvl="8" w:tplc="0427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>
    <w:nsid w:val="229D2CB7"/>
    <w:multiLevelType w:val="hybridMultilevel"/>
    <w:tmpl w:val="26D07698"/>
    <w:lvl w:ilvl="0" w:tplc="01626E7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61A43"/>
    <w:multiLevelType w:val="hybridMultilevel"/>
    <w:tmpl w:val="5F7EF3FC"/>
    <w:lvl w:ilvl="0" w:tplc="9C6C7892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784E8C"/>
    <w:multiLevelType w:val="hybridMultilevel"/>
    <w:tmpl w:val="2C1EE38C"/>
    <w:lvl w:ilvl="0" w:tplc="471207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818604C"/>
    <w:multiLevelType w:val="hybridMultilevel"/>
    <w:tmpl w:val="0752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B311A"/>
    <w:multiLevelType w:val="hybridMultilevel"/>
    <w:tmpl w:val="5F7EF3FC"/>
    <w:lvl w:ilvl="0" w:tplc="9C6C7892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467154"/>
    <w:multiLevelType w:val="hybridMultilevel"/>
    <w:tmpl w:val="471C4BEE"/>
    <w:lvl w:ilvl="0" w:tplc="044AF5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22D76"/>
    <w:multiLevelType w:val="hybridMultilevel"/>
    <w:tmpl w:val="52A86CD6"/>
    <w:lvl w:ilvl="0" w:tplc="41523846">
      <w:start w:val="1"/>
      <w:numFmt w:val="decimal"/>
      <w:lvlText w:val="(%1)"/>
      <w:lvlJc w:val="left"/>
      <w:pPr>
        <w:ind w:left="8870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6C5343"/>
    <w:multiLevelType w:val="hybridMultilevel"/>
    <w:tmpl w:val="AEE07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22C5E"/>
    <w:multiLevelType w:val="hybridMultilevel"/>
    <w:tmpl w:val="5F7EF3FC"/>
    <w:lvl w:ilvl="0" w:tplc="9C6C7892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6A1F08"/>
    <w:multiLevelType w:val="hybridMultilevel"/>
    <w:tmpl w:val="089CC1B4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834C2"/>
    <w:multiLevelType w:val="hybridMultilevel"/>
    <w:tmpl w:val="0752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A03E5"/>
    <w:multiLevelType w:val="hybridMultilevel"/>
    <w:tmpl w:val="5F0001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C090C"/>
    <w:multiLevelType w:val="hybridMultilevel"/>
    <w:tmpl w:val="08480F40"/>
    <w:lvl w:ilvl="0" w:tplc="042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63EE1"/>
    <w:multiLevelType w:val="hybridMultilevel"/>
    <w:tmpl w:val="2012A6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41030"/>
    <w:multiLevelType w:val="hybridMultilevel"/>
    <w:tmpl w:val="C4C41D9C"/>
    <w:lvl w:ilvl="0" w:tplc="D056FB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B2A01BC"/>
    <w:multiLevelType w:val="hybridMultilevel"/>
    <w:tmpl w:val="5F7EF3FC"/>
    <w:lvl w:ilvl="0" w:tplc="9C6C7892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A11FB"/>
    <w:multiLevelType w:val="hybridMultilevel"/>
    <w:tmpl w:val="07B05B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54B8E"/>
    <w:multiLevelType w:val="hybridMultilevel"/>
    <w:tmpl w:val="D62E21C0"/>
    <w:lvl w:ilvl="0" w:tplc="90DCE1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71DB2C83"/>
    <w:multiLevelType w:val="hybridMultilevel"/>
    <w:tmpl w:val="955A1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A1B38"/>
    <w:multiLevelType w:val="hybridMultilevel"/>
    <w:tmpl w:val="B4D03774"/>
    <w:lvl w:ilvl="0" w:tplc="49FEF47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C3A89"/>
    <w:multiLevelType w:val="hybridMultilevel"/>
    <w:tmpl w:val="9E42D4FC"/>
    <w:lvl w:ilvl="0" w:tplc="7A5EF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5582A"/>
    <w:multiLevelType w:val="hybridMultilevel"/>
    <w:tmpl w:val="0752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4"/>
  </w:num>
  <w:num w:numId="4">
    <w:abstractNumId w:val="6"/>
  </w:num>
  <w:num w:numId="5">
    <w:abstractNumId w:val="7"/>
  </w:num>
  <w:num w:numId="6">
    <w:abstractNumId w:val="21"/>
  </w:num>
  <w:num w:numId="7">
    <w:abstractNumId w:val="25"/>
  </w:num>
  <w:num w:numId="8">
    <w:abstractNumId w:val="10"/>
  </w:num>
  <w:num w:numId="9">
    <w:abstractNumId w:val="5"/>
  </w:num>
  <w:num w:numId="10">
    <w:abstractNumId w:val="17"/>
  </w:num>
  <w:num w:numId="11">
    <w:abstractNumId w:val="22"/>
  </w:num>
  <w:num w:numId="12">
    <w:abstractNumId w:val="2"/>
  </w:num>
  <w:num w:numId="13">
    <w:abstractNumId w:val="27"/>
  </w:num>
  <w:num w:numId="14">
    <w:abstractNumId w:val="1"/>
  </w:num>
  <w:num w:numId="15">
    <w:abstractNumId w:val="13"/>
  </w:num>
  <w:num w:numId="16">
    <w:abstractNumId w:val="19"/>
  </w:num>
  <w:num w:numId="17">
    <w:abstractNumId w:val="14"/>
  </w:num>
  <w:num w:numId="18">
    <w:abstractNumId w:val="11"/>
  </w:num>
  <w:num w:numId="19">
    <w:abstractNumId w:val="28"/>
  </w:num>
  <w:num w:numId="20">
    <w:abstractNumId w:val="29"/>
  </w:num>
  <w:num w:numId="21">
    <w:abstractNumId w:val="18"/>
  </w:num>
  <w:num w:numId="22">
    <w:abstractNumId w:val="26"/>
  </w:num>
  <w:num w:numId="23">
    <w:abstractNumId w:val="20"/>
  </w:num>
  <w:num w:numId="24">
    <w:abstractNumId w:val="15"/>
  </w:num>
  <w:num w:numId="25">
    <w:abstractNumId w:val="8"/>
  </w:num>
  <w:num w:numId="26">
    <w:abstractNumId w:val="9"/>
  </w:num>
  <w:num w:numId="27">
    <w:abstractNumId w:val="23"/>
  </w:num>
  <w:num w:numId="28">
    <w:abstractNumId w:val="16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5E"/>
    <w:rsid w:val="000011BB"/>
    <w:rsid w:val="00013021"/>
    <w:rsid w:val="000134A5"/>
    <w:rsid w:val="00013C68"/>
    <w:rsid w:val="00013FE5"/>
    <w:rsid w:val="00014367"/>
    <w:rsid w:val="00014DB2"/>
    <w:rsid w:val="0001563E"/>
    <w:rsid w:val="00015FAB"/>
    <w:rsid w:val="00017864"/>
    <w:rsid w:val="00017C1D"/>
    <w:rsid w:val="00017E1C"/>
    <w:rsid w:val="000201E1"/>
    <w:rsid w:val="000207DC"/>
    <w:rsid w:val="000213CF"/>
    <w:rsid w:val="0002310F"/>
    <w:rsid w:val="00023686"/>
    <w:rsid w:val="00023C3B"/>
    <w:rsid w:val="0002415A"/>
    <w:rsid w:val="000251AB"/>
    <w:rsid w:val="00027617"/>
    <w:rsid w:val="000338E8"/>
    <w:rsid w:val="00034473"/>
    <w:rsid w:val="000356DE"/>
    <w:rsid w:val="000374DA"/>
    <w:rsid w:val="00041D15"/>
    <w:rsid w:val="00042B4E"/>
    <w:rsid w:val="0004568E"/>
    <w:rsid w:val="00046D14"/>
    <w:rsid w:val="00052039"/>
    <w:rsid w:val="00052330"/>
    <w:rsid w:val="000530CE"/>
    <w:rsid w:val="00055DFD"/>
    <w:rsid w:val="00061369"/>
    <w:rsid w:val="00063AA4"/>
    <w:rsid w:val="00064C17"/>
    <w:rsid w:val="0006580E"/>
    <w:rsid w:val="00066CF4"/>
    <w:rsid w:val="000674FE"/>
    <w:rsid w:val="00072FB3"/>
    <w:rsid w:val="00073EE9"/>
    <w:rsid w:val="00075D2C"/>
    <w:rsid w:val="0007607E"/>
    <w:rsid w:val="00080AA2"/>
    <w:rsid w:val="0008185E"/>
    <w:rsid w:val="00082904"/>
    <w:rsid w:val="00082E32"/>
    <w:rsid w:val="000837B1"/>
    <w:rsid w:val="00084265"/>
    <w:rsid w:val="00092236"/>
    <w:rsid w:val="00093404"/>
    <w:rsid w:val="00093C20"/>
    <w:rsid w:val="0009619F"/>
    <w:rsid w:val="000A0105"/>
    <w:rsid w:val="000A06AB"/>
    <w:rsid w:val="000A1AA4"/>
    <w:rsid w:val="000A3B90"/>
    <w:rsid w:val="000A3CE4"/>
    <w:rsid w:val="000A3D01"/>
    <w:rsid w:val="000B3861"/>
    <w:rsid w:val="000B537C"/>
    <w:rsid w:val="000C3C0A"/>
    <w:rsid w:val="000C497C"/>
    <w:rsid w:val="000D281A"/>
    <w:rsid w:val="000D3C23"/>
    <w:rsid w:val="000E00A5"/>
    <w:rsid w:val="000E16D2"/>
    <w:rsid w:val="000E22BE"/>
    <w:rsid w:val="000E4867"/>
    <w:rsid w:val="000E4949"/>
    <w:rsid w:val="000E5088"/>
    <w:rsid w:val="000E53EA"/>
    <w:rsid w:val="000E6385"/>
    <w:rsid w:val="000E69A1"/>
    <w:rsid w:val="000E7032"/>
    <w:rsid w:val="000E75A4"/>
    <w:rsid w:val="000F104F"/>
    <w:rsid w:val="000F10EE"/>
    <w:rsid w:val="000F434B"/>
    <w:rsid w:val="000F5A2E"/>
    <w:rsid w:val="000F6C2D"/>
    <w:rsid w:val="000F7F2C"/>
    <w:rsid w:val="001002A3"/>
    <w:rsid w:val="0010155F"/>
    <w:rsid w:val="00102AD2"/>
    <w:rsid w:val="001031CE"/>
    <w:rsid w:val="001058AA"/>
    <w:rsid w:val="001074F4"/>
    <w:rsid w:val="00107774"/>
    <w:rsid w:val="0011308D"/>
    <w:rsid w:val="001144BF"/>
    <w:rsid w:val="00115078"/>
    <w:rsid w:val="00115C3F"/>
    <w:rsid w:val="001160F5"/>
    <w:rsid w:val="001163ED"/>
    <w:rsid w:val="001179AF"/>
    <w:rsid w:val="00121F8B"/>
    <w:rsid w:val="00124AE7"/>
    <w:rsid w:val="0013062C"/>
    <w:rsid w:val="00130D75"/>
    <w:rsid w:val="00131455"/>
    <w:rsid w:val="00132E01"/>
    <w:rsid w:val="0013301A"/>
    <w:rsid w:val="001363D9"/>
    <w:rsid w:val="00137517"/>
    <w:rsid w:val="001416D6"/>
    <w:rsid w:val="001427A8"/>
    <w:rsid w:val="00142A7E"/>
    <w:rsid w:val="00144C1A"/>
    <w:rsid w:val="001451FA"/>
    <w:rsid w:val="00145943"/>
    <w:rsid w:val="00145B88"/>
    <w:rsid w:val="00150102"/>
    <w:rsid w:val="00152AE8"/>
    <w:rsid w:val="00153993"/>
    <w:rsid w:val="00153EF7"/>
    <w:rsid w:val="00154190"/>
    <w:rsid w:val="00154D6B"/>
    <w:rsid w:val="001559D1"/>
    <w:rsid w:val="0015621A"/>
    <w:rsid w:val="00160B19"/>
    <w:rsid w:val="00160C67"/>
    <w:rsid w:val="001624E5"/>
    <w:rsid w:val="00162793"/>
    <w:rsid w:val="00163CDB"/>
    <w:rsid w:val="00172F1C"/>
    <w:rsid w:val="0017757C"/>
    <w:rsid w:val="00181BCE"/>
    <w:rsid w:val="00181F10"/>
    <w:rsid w:val="001839FA"/>
    <w:rsid w:val="00185F22"/>
    <w:rsid w:val="00187394"/>
    <w:rsid w:val="001919DA"/>
    <w:rsid w:val="00191E59"/>
    <w:rsid w:val="00192723"/>
    <w:rsid w:val="0019533C"/>
    <w:rsid w:val="001969E4"/>
    <w:rsid w:val="001A2D37"/>
    <w:rsid w:val="001A772F"/>
    <w:rsid w:val="001B2097"/>
    <w:rsid w:val="001B3A92"/>
    <w:rsid w:val="001B4BD2"/>
    <w:rsid w:val="001B5999"/>
    <w:rsid w:val="001C41DF"/>
    <w:rsid w:val="001C4C79"/>
    <w:rsid w:val="001C56C4"/>
    <w:rsid w:val="001C5C5A"/>
    <w:rsid w:val="001D1269"/>
    <w:rsid w:val="001D4FAE"/>
    <w:rsid w:val="001E0230"/>
    <w:rsid w:val="001E029C"/>
    <w:rsid w:val="001E1F4F"/>
    <w:rsid w:val="001F5DCD"/>
    <w:rsid w:val="001F64EE"/>
    <w:rsid w:val="001F6E39"/>
    <w:rsid w:val="00202926"/>
    <w:rsid w:val="00221ECC"/>
    <w:rsid w:val="0022240E"/>
    <w:rsid w:val="00222EFD"/>
    <w:rsid w:val="0022391A"/>
    <w:rsid w:val="00224210"/>
    <w:rsid w:val="002247F6"/>
    <w:rsid w:val="00224B3C"/>
    <w:rsid w:val="00226533"/>
    <w:rsid w:val="00226677"/>
    <w:rsid w:val="00226B5E"/>
    <w:rsid w:val="0023056B"/>
    <w:rsid w:val="00232621"/>
    <w:rsid w:val="002361FF"/>
    <w:rsid w:val="00241176"/>
    <w:rsid w:val="00243A9A"/>
    <w:rsid w:val="0024620C"/>
    <w:rsid w:val="00246CCD"/>
    <w:rsid w:val="00247B92"/>
    <w:rsid w:val="00250C1F"/>
    <w:rsid w:val="00251DBD"/>
    <w:rsid w:val="00253107"/>
    <w:rsid w:val="0025498E"/>
    <w:rsid w:val="0025760E"/>
    <w:rsid w:val="00262E4B"/>
    <w:rsid w:val="002646E7"/>
    <w:rsid w:val="00264B79"/>
    <w:rsid w:val="00271E6F"/>
    <w:rsid w:val="00274E6F"/>
    <w:rsid w:val="00275530"/>
    <w:rsid w:val="00275C42"/>
    <w:rsid w:val="0027633B"/>
    <w:rsid w:val="00276E03"/>
    <w:rsid w:val="0028015A"/>
    <w:rsid w:val="002807E1"/>
    <w:rsid w:val="002820F1"/>
    <w:rsid w:val="00285407"/>
    <w:rsid w:val="00286FCA"/>
    <w:rsid w:val="00290556"/>
    <w:rsid w:val="00293938"/>
    <w:rsid w:val="002961BE"/>
    <w:rsid w:val="0029791A"/>
    <w:rsid w:val="002A0098"/>
    <w:rsid w:val="002A4A96"/>
    <w:rsid w:val="002B157E"/>
    <w:rsid w:val="002B1E7D"/>
    <w:rsid w:val="002B3CEF"/>
    <w:rsid w:val="002B40B8"/>
    <w:rsid w:val="002B575D"/>
    <w:rsid w:val="002B588A"/>
    <w:rsid w:val="002B5D86"/>
    <w:rsid w:val="002B5FCB"/>
    <w:rsid w:val="002B6635"/>
    <w:rsid w:val="002B7266"/>
    <w:rsid w:val="002C13CD"/>
    <w:rsid w:val="002C288D"/>
    <w:rsid w:val="002C5060"/>
    <w:rsid w:val="002D0032"/>
    <w:rsid w:val="002D1288"/>
    <w:rsid w:val="002D3B77"/>
    <w:rsid w:val="002D3E6A"/>
    <w:rsid w:val="002D433A"/>
    <w:rsid w:val="002D4CDD"/>
    <w:rsid w:val="002D62D2"/>
    <w:rsid w:val="002D6DD0"/>
    <w:rsid w:val="002E1F12"/>
    <w:rsid w:val="002E3B78"/>
    <w:rsid w:val="002E5789"/>
    <w:rsid w:val="002E5F97"/>
    <w:rsid w:val="002F386E"/>
    <w:rsid w:val="002F4971"/>
    <w:rsid w:val="002F51AF"/>
    <w:rsid w:val="002F5F57"/>
    <w:rsid w:val="002F6AF1"/>
    <w:rsid w:val="003022CD"/>
    <w:rsid w:val="0030592C"/>
    <w:rsid w:val="00307855"/>
    <w:rsid w:val="0031042F"/>
    <w:rsid w:val="00315144"/>
    <w:rsid w:val="00315B44"/>
    <w:rsid w:val="00316588"/>
    <w:rsid w:val="00316657"/>
    <w:rsid w:val="00320DAE"/>
    <w:rsid w:val="00324103"/>
    <w:rsid w:val="00325CD1"/>
    <w:rsid w:val="00325D90"/>
    <w:rsid w:val="003308B6"/>
    <w:rsid w:val="00330A02"/>
    <w:rsid w:val="0033106E"/>
    <w:rsid w:val="00332E81"/>
    <w:rsid w:val="00333A90"/>
    <w:rsid w:val="0033469F"/>
    <w:rsid w:val="00336DA0"/>
    <w:rsid w:val="003372D3"/>
    <w:rsid w:val="00347D61"/>
    <w:rsid w:val="003501A6"/>
    <w:rsid w:val="00350572"/>
    <w:rsid w:val="00350BA1"/>
    <w:rsid w:val="0035153E"/>
    <w:rsid w:val="00352D66"/>
    <w:rsid w:val="00354E74"/>
    <w:rsid w:val="00355ABF"/>
    <w:rsid w:val="00355F64"/>
    <w:rsid w:val="00357004"/>
    <w:rsid w:val="00362D73"/>
    <w:rsid w:val="00365779"/>
    <w:rsid w:val="003662D7"/>
    <w:rsid w:val="00366A63"/>
    <w:rsid w:val="00370D00"/>
    <w:rsid w:val="00370F6B"/>
    <w:rsid w:val="003717F6"/>
    <w:rsid w:val="00372B83"/>
    <w:rsid w:val="00374007"/>
    <w:rsid w:val="00377929"/>
    <w:rsid w:val="00377E3A"/>
    <w:rsid w:val="00380999"/>
    <w:rsid w:val="00381A81"/>
    <w:rsid w:val="00381B09"/>
    <w:rsid w:val="00386901"/>
    <w:rsid w:val="00392C59"/>
    <w:rsid w:val="00397F7E"/>
    <w:rsid w:val="003A0913"/>
    <w:rsid w:val="003A10F7"/>
    <w:rsid w:val="003A18CA"/>
    <w:rsid w:val="003A2F34"/>
    <w:rsid w:val="003A7C9C"/>
    <w:rsid w:val="003B004A"/>
    <w:rsid w:val="003B088F"/>
    <w:rsid w:val="003B2703"/>
    <w:rsid w:val="003B46B4"/>
    <w:rsid w:val="003C00FA"/>
    <w:rsid w:val="003C4762"/>
    <w:rsid w:val="003C70A5"/>
    <w:rsid w:val="003D0047"/>
    <w:rsid w:val="003D60B4"/>
    <w:rsid w:val="003E2C9E"/>
    <w:rsid w:val="003F1BBC"/>
    <w:rsid w:val="003F2538"/>
    <w:rsid w:val="003F463C"/>
    <w:rsid w:val="003F5795"/>
    <w:rsid w:val="003F71EE"/>
    <w:rsid w:val="00401683"/>
    <w:rsid w:val="00405036"/>
    <w:rsid w:val="00407216"/>
    <w:rsid w:val="004117F2"/>
    <w:rsid w:val="00414645"/>
    <w:rsid w:val="00417C0C"/>
    <w:rsid w:val="00421391"/>
    <w:rsid w:val="00423AF2"/>
    <w:rsid w:val="0042487F"/>
    <w:rsid w:val="004254A7"/>
    <w:rsid w:val="00430BC5"/>
    <w:rsid w:val="00430C14"/>
    <w:rsid w:val="00432542"/>
    <w:rsid w:val="004328AC"/>
    <w:rsid w:val="004352EC"/>
    <w:rsid w:val="004426FC"/>
    <w:rsid w:val="00443D16"/>
    <w:rsid w:val="0044531E"/>
    <w:rsid w:val="00450801"/>
    <w:rsid w:val="00450C6B"/>
    <w:rsid w:val="0045795C"/>
    <w:rsid w:val="00460AAA"/>
    <w:rsid w:val="00461590"/>
    <w:rsid w:val="004617FB"/>
    <w:rsid w:val="00470E61"/>
    <w:rsid w:val="0047465A"/>
    <w:rsid w:val="00475E56"/>
    <w:rsid w:val="00480505"/>
    <w:rsid w:val="00480B06"/>
    <w:rsid w:val="00480CB6"/>
    <w:rsid w:val="0048137E"/>
    <w:rsid w:val="004821F3"/>
    <w:rsid w:val="004854E4"/>
    <w:rsid w:val="00486EA1"/>
    <w:rsid w:val="004872ED"/>
    <w:rsid w:val="004906FF"/>
    <w:rsid w:val="004919FB"/>
    <w:rsid w:val="00493464"/>
    <w:rsid w:val="004967FE"/>
    <w:rsid w:val="004976EF"/>
    <w:rsid w:val="00497721"/>
    <w:rsid w:val="004A2833"/>
    <w:rsid w:val="004A35B3"/>
    <w:rsid w:val="004B0AE2"/>
    <w:rsid w:val="004B1F61"/>
    <w:rsid w:val="004B32BD"/>
    <w:rsid w:val="004B57A3"/>
    <w:rsid w:val="004C02AD"/>
    <w:rsid w:val="004C0F48"/>
    <w:rsid w:val="004C351A"/>
    <w:rsid w:val="004C4DF0"/>
    <w:rsid w:val="004D2E04"/>
    <w:rsid w:val="004D6C62"/>
    <w:rsid w:val="004E0269"/>
    <w:rsid w:val="004E2792"/>
    <w:rsid w:val="004E31AA"/>
    <w:rsid w:val="004E7C82"/>
    <w:rsid w:val="004F48E1"/>
    <w:rsid w:val="004F4EF3"/>
    <w:rsid w:val="004F75C6"/>
    <w:rsid w:val="004F76F2"/>
    <w:rsid w:val="005004CB"/>
    <w:rsid w:val="00500BC9"/>
    <w:rsid w:val="00501B1C"/>
    <w:rsid w:val="00503042"/>
    <w:rsid w:val="00504432"/>
    <w:rsid w:val="0051244B"/>
    <w:rsid w:val="00514131"/>
    <w:rsid w:val="00516B4B"/>
    <w:rsid w:val="005174C3"/>
    <w:rsid w:val="005204F4"/>
    <w:rsid w:val="00521CBB"/>
    <w:rsid w:val="005232C6"/>
    <w:rsid w:val="00526266"/>
    <w:rsid w:val="005262CF"/>
    <w:rsid w:val="0052723F"/>
    <w:rsid w:val="005276BC"/>
    <w:rsid w:val="00530C4F"/>
    <w:rsid w:val="005315C2"/>
    <w:rsid w:val="00531617"/>
    <w:rsid w:val="00533275"/>
    <w:rsid w:val="005338B9"/>
    <w:rsid w:val="0053700F"/>
    <w:rsid w:val="00543430"/>
    <w:rsid w:val="00543BF2"/>
    <w:rsid w:val="005442F4"/>
    <w:rsid w:val="005515A8"/>
    <w:rsid w:val="00551B3A"/>
    <w:rsid w:val="005636E4"/>
    <w:rsid w:val="00564C95"/>
    <w:rsid w:val="005675E8"/>
    <w:rsid w:val="00571053"/>
    <w:rsid w:val="0057276E"/>
    <w:rsid w:val="00573508"/>
    <w:rsid w:val="00573A3C"/>
    <w:rsid w:val="005758C9"/>
    <w:rsid w:val="00577DA7"/>
    <w:rsid w:val="005829F1"/>
    <w:rsid w:val="00582E5A"/>
    <w:rsid w:val="00587ACE"/>
    <w:rsid w:val="00590277"/>
    <w:rsid w:val="005906C5"/>
    <w:rsid w:val="005912B9"/>
    <w:rsid w:val="00591EBD"/>
    <w:rsid w:val="00595106"/>
    <w:rsid w:val="0059538A"/>
    <w:rsid w:val="005A2A47"/>
    <w:rsid w:val="005A2CBD"/>
    <w:rsid w:val="005A58C0"/>
    <w:rsid w:val="005A5917"/>
    <w:rsid w:val="005A5A99"/>
    <w:rsid w:val="005A6624"/>
    <w:rsid w:val="005B3732"/>
    <w:rsid w:val="005B4EA8"/>
    <w:rsid w:val="005B539E"/>
    <w:rsid w:val="005B5C37"/>
    <w:rsid w:val="005B6B32"/>
    <w:rsid w:val="005B708D"/>
    <w:rsid w:val="005B71DB"/>
    <w:rsid w:val="005C4B00"/>
    <w:rsid w:val="005C71D9"/>
    <w:rsid w:val="005D0CF2"/>
    <w:rsid w:val="005D242D"/>
    <w:rsid w:val="005D2621"/>
    <w:rsid w:val="005D3D1E"/>
    <w:rsid w:val="005D4344"/>
    <w:rsid w:val="005E0A97"/>
    <w:rsid w:val="005E1E09"/>
    <w:rsid w:val="005E3C57"/>
    <w:rsid w:val="005E4C45"/>
    <w:rsid w:val="005E6290"/>
    <w:rsid w:val="005F1F2E"/>
    <w:rsid w:val="005F20DF"/>
    <w:rsid w:val="005F3ECE"/>
    <w:rsid w:val="005F5EA8"/>
    <w:rsid w:val="005F6846"/>
    <w:rsid w:val="005F7EC8"/>
    <w:rsid w:val="00602F74"/>
    <w:rsid w:val="006048F5"/>
    <w:rsid w:val="00615308"/>
    <w:rsid w:val="00621810"/>
    <w:rsid w:val="006223AB"/>
    <w:rsid w:val="00622C03"/>
    <w:rsid w:val="00622F3C"/>
    <w:rsid w:val="00630175"/>
    <w:rsid w:val="00630661"/>
    <w:rsid w:val="006308BA"/>
    <w:rsid w:val="006360AB"/>
    <w:rsid w:val="006368B2"/>
    <w:rsid w:val="00637C72"/>
    <w:rsid w:val="00637E29"/>
    <w:rsid w:val="00643D43"/>
    <w:rsid w:val="00645D1B"/>
    <w:rsid w:val="0065023F"/>
    <w:rsid w:val="00650AD5"/>
    <w:rsid w:val="00651456"/>
    <w:rsid w:val="00651AD8"/>
    <w:rsid w:val="00654FEC"/>
    <w:rsid w:val="00656DD3"/>
    <w:rsid w:val="006604EB"/>
    <w:rsid w:val="006614DD"/>
    <w:rsid w:val="00661A7F"/>
    <w:rsid w:val="00663BBF"/>
    <w:rsid w:val="00663E42"/>
    <w:rsid w:val="00664ED1"/>
    <w:rsid w:val="00667F13"/>
    <w:rsid w:val="0067413D"/>
    <w:rsid w:val="006748C9"/>
    <w:rsid w:val="00675396"/>
    <w:rsid w:val="00675F29"/>
    <w:rsid w:val="0068668E"/>
    <w:rsid w:val="00687A14"/>
    <w:rsid w:val="00692634"/>
    <w:rsid w:val="00693E6D"/>
    <w:rsid w:val="006A24E5"/>
    <w:rsid w:val="006A3C36"/>
    <w:rsid w:val="006A4DC5"/>
    <w:rsid w:val="006A5B07"/>
    <w:rsid w:val="006A7334"/>
    <w:rsid w:val="006B1319"/>
    <w:rsid w:val="006B391B"/>
    <w:rsid w:val="006B4BB7"/>
    <w:rsid w:val="006B6234"/>
    <w:rsid w:val="006B6C7F"/>
    <w:rsid w:val="006C587F"/>
    <w:rsid w:val="006C67B9"/>
    <w:rsid w:val="006D20FA"/>
    <w:rsid w:val="006D3679"/>
    <w:rsid w:val="006E2C8B"/>
    <w:rsid w:val="006E311A"/>
    <w:rsid w:val="006E315A"/>
    <w:rsid w:val="006F204C"/>
    <w:rsid w:val="006F239D"/>
    <w:rsid w:val="006F410A"/>
    <w:rsid w:val="006F6A5E"/>
    <w:rsid w:val="007117A4"/>
    <w:rsid w:val="00715B7F"/>
    <w:rsid w:val="0072146C"/>
    <w:rsid w:val="007274C7"/>
    <w:rsid w:val="0072755D"/>
    <w:rsid w:val="007319E0"/>
    <w:rsid w:val="00732371"/>
    <w:rsid w:val="00736294"/>
    <w:rsid w:val="00737939"/>
    <w:rsid w:val="00744B94"/>
    <w:rsid w:val="007453DD"/>
    <w:rsid w:val="007457B6"/>
    <w:rsid w:val="00747217"/>
    <w:rsid w:val="00747B0F"/>
    <w:rsid w:val="00751C2A"/>
    <w:rsid w:val="00754D43"/>
    <w:rsid w:val="00757145"/>
    <w:rsid w:val="0076039C"/>
    <w:rsid w:val="00762E84"/>
    <w:rsid w:val="007640C1"/>
    <w:rsid w:val="0076515A"/>
    <w:rsid w:val="007670A6"/>
    <w:rsid w:val="007714D0"/>
    <w:rsid w:val="007728D5"/>
    <w:rsid w:val="007752A9"/>
    <w:rsid w:val="0077565F"/>
    <w:rsid w:val="00776C7C"/>
    <w:rsid w:val="00777D87"/>
    <w:rsid w:val="00782992"/>
    <w:rsid w:val="00782A3A"/>
    <w:rsid w:val="00782FA3"/>
    <w:rsid w:val="0078594F"/>
    <w:rsid w:val="00785EA5"/>
    <w:rsid w:val="00785EB6"/>
    <w:rsid w:val="0078624A"/>
    <w:rsid w:val="00791685"/>
    <w:rsid w:val="0079257F"/>
    <w:rsid w:val="00792F97"/>
    <w:rsid w:val="007940AD"/>
    <w:rsid w:val="007968F2"/>
    <w:rsid w:val="00797F1C"/>
    <w:rsid w:val="007A1145"/>
    <w:rsid w:val="007A1CD0"/>
    <w:rsid w:val="007A4ECD"/>
    <w:rsid w:val="007A7622"/>
    <w:rsid w:val="007B0133"/>
    <w:rsid w:val="007B12DB"/>
    <w:rsid w:val="007B1607"/>
    <w:rsid w:val="007B58FB"/>
    <w:rsid w:val="007B645A"/>
    <w:rsid w:val="007B6EC0"/>
    <w:rsid w:val="007B7828"/>
    <w:rsid w:val="007C0FF0"/>
    <w:rsid w:val="007C2C7D"/>
    <w:rsid w:val="007C3326"/>
    <w:rsid w:val="007C47F0"/>
    <w:rsid w:val="007D65B0"/>
    <w:rsid w:val="007E4146"/>
    <w:rsid w:val="007E4A8B"/>
    <w:rsid w:val="007E6CA5"/>
    <w:rsid w:val="007F09F4"/>
    <w:rsid w:val="007F127D"/>
    <w:rsid w:val="007F1F50"/>
    <w:rsid w:val="007F4519"/>
    <w:rsid w:val="007F5AAF"/>
    <w:rsid w:val="007F7B28"/>
    <w:rsid w:val="007F7D26"/>
    <w:rsid w:val="008025D0"/>
    <w:rsid w:val="00805D68"/>
    <w:rsid w:val="00807464"/>
    <w:rsid w:val="008113B4"/>
    <w:rsid w:val="00812576"/>
    <w:rsid w:val="00813F19"/>
    <w:rsid w:val="008165D4"/>
    <w:rsid w:val="00817BCA"/>
    <w:rsid w:val="00822206"/>
    <w:rsid w:val="008230EC"/>
    <w:rsid w:val="008235FD"/>
    <w:rsid w:val="00824DA0"/>
    <w:rsid w:val="008250E2"/>
    <w:rsid w:val="00825950"/>
    <w:rsid w:val="00832CE4"/>
    <w:rsid w:val="00833FE8"/>
    <w:rsid w:val="00835E51"/>
    <w:rsid w:val="00840AC6"/>
    <w:rsid w:val="008430BA"/>
    <w:rsid w:val="008437A0"/>
    <w:rsid w:val="00843C65"/>
    <w:rsid w:val="00846FE1"/>
    <w:rsid w:val="00850166"/>
    <w:rsid w:val="008528CE"/>
    <w:rsid w:val="00855536"/>
    <w:rsid w:val="00856620"/>
    <w:rsid w:val="008617C7"/>
    <w:rsid w:val="00862BB8"/>
    <w:rsid w:val="00865A52"/>
    <w:rsid w:val="0086603F"/>
    <w:rsid w:val="008715BA"/>
    <w:rsid w:val="00873963"/>
    <w:rsid w:val="00875941"/>
    <w:rsid w:val="00875A87"/>
    <w:rsid w:val="00875B69"/>
    <w:rsid w:val="00875FE8"/>
    <w:rsid w:val="008761D4"/>
    <w:rsid w:val="0088364B"/>
    <w:rsid w:val="0088408B"/>
    <w:rsid w:val="008840E3"/>
    <w:rsid w:val="008849D8"/>
    <w:rsid w:val="00890E5B"/>
    <w:rsid w:val="008A0787"/>
    <w:rsid w:val="008A0B98"/>
    <w:rsid w:val="008B0E49"/>
    <w:rsid w:val="008B0F94"/>
    <w:rsid w:val="008B754F"/>
    <w:rsid w:val="008C1884"/>
    <w:rsid w:val="008C1BC7"/>
    <w:rsid w:val="008C268D"/>
    <w:rsid w:val="008C30EF"/>
    <w:rsid w:val="008D1C2B"/>
    <w:rsid w:val="008D40F6"/>
    <w:rsid w:val="008D4D6D"/>
    <w:rsid w:val="008D4F3E"/>
    <w:rsid w:val="008D550C"/>
    <w:rsid w:val="008D7546"/>
    <w:rsid w:val="008E45E3"/>
    <w:rsid w:val="008E54F6"/>
    <w:rsid w:val="008E56AF"/>
    <w:rsid w:val="008E7628"/>
    <w:rsid w:val="008E7684"/>
    <w:rsid w:val="008F34C1"/>
    <w:rsid w:val="008F4ED3"/>
    <w:rsid w:val="008F6BA7"/>
    <w:rsid w:val="008F733C"/>
    <w:rsid w:val="008F7D59"/>
    <w:rsid w:val="00900632"/>
    <w:rsid w:val="0090182D"/>
    <w:rsid w:val="00901ADE"/>
    <w:rsid w:val="00902969"/>
    <w:rsid w:val="00905760"/>
    <w:rsid w:val="00907A5C"/>
    <w:rsid w:val="00911B7E"/>
    <w:rsid w:val="00913185"/>
    <w:rsid w:val="00914351"/>
    <w:rsid w:val="00914578"/>
    <w:rsid w:val="009159DF"/>
    <w:rsid w:val="00915A3E"/>
    <w:rsid w:val="0091681F"/>
    <w:rsid w:val="00916D0B"/>
    <w:rsid w:val="00917FDB"/>
    <w:rsid w:val="009206A5"/>
    <w:rsid w:val="00921C46"/>
    <w:rsid w:val="00924A07"/>
    <w:rsid w:val="009379C7"/>
    <w:rsid w:val="00940828"/>
    <w:rsid w:val="009421DD"/>
    <w:rsid w:val="00943FC2"/>
    <w:rsid w:val="00944079"/>
    <w:rsid w:val="00945C38"/>
    <w:rsid w:val="0094630B"/>
    <w:rsid w:val="00951FDA"/>
    <w:rsid w:val="009530C0"/>
    <w:rsid w:val="009601AC"/>
    <w:rsid w:val="009614D0"/>
    <w:rsid w:val="0096269B"/>
    <w:rsid w:val="00963037"/>
    <w:rsid w:val="009653C5"/>
    <w:rsid w:val="00965455"/>
    <w:rsid w:val="00965879"/>
    <w:rsid w:val="009658C1"/>
    <w:rsid w:val="00970E6B"/>
    <w:rsid w:val="00972022"/>
    <w:rsid w:val="00974383"/>
    <w:rsid w:val="00985760"/>
    <w:rsid w:val="00985DCD"/>
    <w:rsid w:val="00987FE3"/>
    <w:rsid w:val="009920B0"/>
    <w:rsid w:val="00993215"/>
    <w:rsid w:val="00993E7B"/>
    <w:rsid w:val="009954A0"/>
    <w:rsid w:val="00997025"/>
    <w:rsid w:val="00997D74"/>
    <w:rsid w:val="009A02D3"/>
    <w:rsid w:val="009A2C22"/>
    <w:rsid w:val="009B2B1C"/>
    <w:rsid w:val="009B3D8E"/>
    <w:rsid w:val="009B50E6"/>
    <w:rsid w:val="009B7259"/>
    <w:rsid w:val="009B7449"/>
    <w:rsid w:val="009B75D0"/>
    <w:rsid w:val="009C3A4C"/>
    <w:rsid w:val="009C4395"/>
    <w:rsid w:val="009D039E"/>
    <w:rsid w:val="009D245B"/>
    <w:rsid w:val="009D3B91"/>
    <w:rsid w:val="009D5D95"/>
    <w:rsid w:val="009D7B09"/>
    <w:rsid w:val="009E5E48"/>
    <w:rsid w:val="009E7FAC"/>
    <w:rsid w:val="009F0932"/>
    <w:rsid w:val="009F255A"/>
    <w:rsid w:val="009F3D61"/>
    <w:rsid w:val="009F4499"/>
    <w:rsid w:val="009F4D17"/>
    <w:rsid w:val="00A0129E"/>
    <w:rsid w:val="00A03E6C"/>
    <w:rsid w:val="00A0543B"/>
    <w:rsid w:val="00A06283"/>
    <w:rsid w:val="00A07275"/>
    <w:rsid w:val="00A10F49"/>
    <w:rsid w:val="00A2007F"/>
    <w:rsid w:val="00A22DB6"/>
    <w:rsid w:val="00A233F5"/>
    <w:rsid w:val="00A2440E"/>
    <w:rsid w:val="00A25A23"/>
    <w:rsid w:val="00A315ED"/>
    <w:rsid w:val="00A319A9"/>
    <w:rsid w:val="00A323B7"/>
    <w:rsid w:val="00A338B1"/>
    <w:rsid w:val="00A357ED"/>
    <w:rsid w:val="00A36EDE"/>
    <w:rsid w:val="00A402C1"/>
    <w:rsid w:val="00A40AD8"/>
    <w:rsid w:val="00A43E16"/>
    <w:rsid w:val="00A47F38"/>
    <w:rsid w:val="00A5198A"/>
    <w:rsid w:val="00A51B15"/>
    <w:rsid w:val="00A52BAE"/>
    <w:rsid w:val="00A53096"/>
    <w:rsid w:val="00A53957"/>
    <w:rsid w:val="00A574BA"/>
    <w:rsid w:val="00A60BBA"/>
    <w:rsid w:val="00A6312F"/>
    <w:rsid w:val="00A63582"/>
    <w:rsid w:val="00A66BCB"/>
    <w:rsid w:val="00A674BD"/>
    <w:rsid w:val="00A7010E"/>
    <w:rsid w:val="00A80D55"/>
    <w:rsid w:val="00A8242F"/>
    <w:rsid w:val="00A82980"/>
    <w:rsid w:val="00A86768"/>
    <w:rsid w:val="00A86A25"/>
    <w:rsid w:val="00A90A1B"/>
    <w:rsid w:val="00A90E8B"/>
    <w:rsid w:val="00A97858"/>
    <w:rsid w:val="00A97D5C"/>
    <w:rsid w:val="00AA185A"/>
    <w:rsid w:val="00AA4460"/>
    <w:rsid w:val="00AA4B88"/>
    <w:rsid w:val="00AA69AE"/>
    <w:rsid w:val="00AB1C39"/>
    <w:rsid w:val="00AB3106"/>
    <w:rsid w:val="00AB36C9"/>
    <w:rsid w:val="00AB3951"/>
    <w:rsid w:val="00AB3FCA"/>
    <w:rsid w:val="00AB414E"/>
    <w:rsid w:val="00AB7426"/>
    <w:rsid w:val="00AB7A5C"/>
    <w:rsid w:val="00AC1C53"/>
    <w:rsid w:val="00AC2819"/>
    <w:rsid w:val="00AC4A1E"/>
    <w:rsid w:val="00AC5E28"/>
    <w:rsid w:val="00AC69AD"/>
    <w:rsid w:val="00AD0E2F"/>
    <w:rsid w:val="00AD3088"/>
    <w:rsid w:val="00AD4627"/>
    <w:rsid w:val="00AD540B"/>
    <w:rsid w:val="00AD6CFE"/>
    <w:rsid w:val="00AE0259"/>
    <w:rsid w:val="00AE2D7B"/>
    <w:rsid w:val="00AE34A0"/>
    <w:rsid w:val="00AE500C"/>
    <w:rsid w:val="00AE662B"/>
    <w:rsid w:val="00AF0B22"/>
    <w:rsid w:val="00AF56DF"/>
    <w:rsid w:val="00B03D28"/>
    <w:rsid w:val="00B043F4"/>
    <w:rsid w:val="00B06B8E"/>
    <w:rsid w:val="00B10E76"/>
    <w:rsid w:val="00B1235B"/>
    <w:rsid w:val="00B14CDD"/>
    <w:rsid w:val="00B156E2"/>
    <w:rsid w:val="00B176F0"/>
    <w:rsid w:val="00B231AF"/>
    <w:rsid w:val="00B23F49"/>
    <w:rsid w:val="00B255D6"/>
    <w:rsid w:val="00B2728E"/>
    <w:rsid w:val="00B32E6B"/>
    <w:rsid w:val="00B330D0"/>
    <w:rsid w:val="00B350CD"/>
    <w:rsid w:val="00B37D4B"/>
    <w:rsid w:val="00B409A2"/>
    <w:rsid w:val="00B426B6"/>
    <w:rsid w:val="00B43B52"/>
    <w:rsid w:val="00B47A28"/>
    <w:rsid w:val="00B51CD5"/>
    <w:rsid w:val="00B52115"/>
    <w:rsid w:val="00B54449"/>
    <w:rsid w:val="00B63336"/>
    <w:rsid w:val="00B6411D"/>
    <w:rsid w:val="00B65F59"/>
    <w:rsid w:val="00B66697"/>
    <w:rsid w:val="00B671EA"/>
    <w:rsid w:val="00B768F2"/>
    <w:rsid w:val="00B77825"/>
    <w:rsid w:val="00B81938"/>
    <w:rsid w:val="00B837B7"/>
    <w:rsid w:val="00B83B19"/>
    <w:rsid w:val="00B8628F"/>
    <w:rsid w:val="00B91443"/>
    <w:rsid w:val="00B9341D"/>
    <w:rsid w:val="00B94219"/>
    <w:rsid w:val="00B9722D"/>
    <w:rsid w:val="00BA3306"/>
    <w:rsid w:val="00BA3399"/>
    <w:rsid w:val="00BA3B67"/>
    <w:rsid w:val="00BA7295"/>
    <w:rsid w:val="00BA72CE"/>
    <w:rsid w:val="00BB22E8"/>
    <w:rsid w:val="00BB26D7"/>
    <w:rsid w:val="00BB2C97"/>
    <w:rsid w:val="00BC0EB8"/>
    <w:rsid w:val="00BC2CC5"/>
    <w:rsid w:val="00BC5422"/>
    <w:rsid w:val="00BC648D"/>
    <w:rsid w:val="00BC6E55"/>
    <w:rsid w:val="00BC6EC2"/>
    <w:rsid w:val="00BD013E"/>
    <w:rsid w:val="00BD10B1"/>
    <w:rsid w:val="00BD1313"/>
    <w:rsid w:val="00BD1488"/>
    <w:rsid w:val="00BD1D6C"/>
    <w:rsid w:val="00BD3249"/>
    <w:rsid w:val="00BD511D"/>
    <w:rsid w:val="00BE1323"/>
    <w:rsid w:val="00BE1684"/>
    <w:rsid w:val="00BE5374"/>
    <w:rsid w:val="00BE773B"/>
    <w:rsid w:val="00BF0AE1"/>
    <w:rsid w:val="00BF4FEE"/>
    <w:rsid w:val="00C0480B"/>
    <w:rsid w:val="00C06DBF"/>
    <w:rsid w:val="00C10DB3"/>
    <w:rsid w:val="00C130EF"/>
    <w:rsid w:val="00C147CD"/>
    <w:rsid w:val="00C15303"/>
    <w:rsid w:val="00C16564"/>
    <w:rsid w:val="00C16DC4"/>
    <w:rsid w:val="00C205F9"/>
    <w:rsid w:val="00C2078F"/>
    <w:rsid w:val="00C23130"/>
    <w:rsid w:val="00C25143"/>
    <w:rsid w:val="00C2551D"/>
    <w:rsid w:val="00C27812"/>
    <w:rsid w:val="00C30CE6"/>
    <w:rsid w:val="00C32466"/>
    <w:rsid w:val="00C359A6"/>
    <w:rsid w:val="00C41B81"/>
    <w:rsid w:val="00C4232C"/>
    <w:rsid w:val="00C42B2A"/>
    <w:rsid w:val="00C42C03"/>
    <w:rsid w:val="00C46484"/>
    <w:rsid w:val="00C501CB"/>
    <w:rsid w:val="00C5088C"/>
    <w:rsid w:val="00C53154"/>
    <w:rsid w:val="00C551A0"/>
    <w:rsid w:val="00C556DA"/>
    <w:rsid w:val="00C55B02"/>
    <w:rsid w:val="00C61AB2"/>
    <w:rsid w:val="00C644A9"/>
    <w:rsid w:val="00C66AB3"/>
    <w:rsid w:val="00C770D6"/>
    <w:rsid w:val="00C77F4F"/>
    <w:rsid w:val="00C80449"/>
    <w:rsid w:val="00C81187"/>
    <w:rsid w:val="00C84E63"/>
    <w:rsid w:val="00C91F9E"/>
    <w:rsid w:val="00C92EF8"/>
    <w:rsid w:val="00C957CC"/>
    <w:rsid w:val="00CA0567"/>
    <w:rsid w:val="00CA0D1A"/>
    <w:rsid w:val="00CA0E4F"/>
    <w:rsid w:val="00CA1A81"/>
    <w:rsid w:val="00CA6693"/>
    <w:rsid w:val="00CA7D33"/>
    <w:rsid w:val="00CB1D1C"/>
    <w:rsid w:val="00CB29CB"/>
    <w:rsid w:val="00CB361D"/>
    <w:rsid w:val="00CB4249"/>
    <w:rsid w:val="00CB5020"/>
    <w:rsid w:val="00CB5D2C"/>
    <w:rsid w:val="00CB64B1"/>
    <w:rsid w:val="00CB6704"/>
    <w:rsid w:val="00CC1F69"/>
    <w:rsid w:val="00CC28C1"/>
    <w:rsid w:val="00CC296A"/>
    <w:rsid w:val="00CC30F1"/>
    <w:rsid w:val="00CC5FD4"/>
    <w:rsid w:val="00CC6627"/>
    <w:rsid w:val="00CC74F0"/>
    <w:rsid w:val="00CD0BA5"/>
    <w:rsid w:val="00CD5DAA"/>
    <w:rsid w:val="00CD78E1"/>
    <w:rsid w:val="00CE0BEA"/>
    <w:rsid w:val="00CE27E3"/>
    <w:rsid w:val="00CE2C8C"/>
    <w:rsid w:val="00CE3149"/>
    <w:rsid w:val="00CE36C4"/>
    <w:rsid w:val="00CE3AED"/>
    <w:rsid w:val="00CE4C88"/>
    <w:rsid w:val="00CF262D"/>
    <w:rsid w:val="00CF299B"/>
    <w:rsid w:val="00CF4B13"/>
    <w:rsid w:val="00CF6267"/>
    <w:rsid w:val="00CF7161"/>
    <w:rsid w:val="00D013B3"/>
    <w:rsid w:val="00D015EA"/>
    <w:rsid w:val="00D12ACF"/>
    <w:rsid w:val="00D1700F"/>
    <w:rsid w:val="00D1773D"/>
    <w:rsid w:val="00D179C2"/>
    <w:rsid w:val="00D2182C"/>
    <w:rsid w:val="00D21FAE"/>
    <w:rsid w:val="00D227D7"/>
    <w:rsid w:val="00D24084"/>
    <w:rsid w:val="00D249C7"/>
    <w:rsid w:val="00D25AC6"/>
    <w:rsid w:val="00D264A6"/>
    <w:rsid w:val="00D27A59"/>
    <w:rsid w:val="00D27B07"/>
    <w:rsid w:val="00D30288"/>
    <w:rsid w:val="00D3644F"/>
    <w:rsid w:val="00D43B85"/>
    <w:rsid w:val="00D5310F"/>
    <w:rsid w:val="00D54A11"/>
    <w:rsid w:val="00D54BDA"/>
    <w:rsid w:val="00D603F1"/>
    <w:rsid w:val="00D60B1D"/>
    <w:rsid w:val="00D61347"/>
    <w:rsid w:val="00D6157D"/>
    <w:rsid w:val="00D6462B"/>
    <w:rsid w:val="00D650A5"/>
    <w:rsid w:val="00D72350"/>
    <w:rsid w:val="00D73307"/>
    <w:rsid w:val="00D752DB"/>
    <w:rsid w:val="00D77FE3"/>
    <w:rsid w:val="00D80CD6"/>
    <w:rsid w:val="00D84B01"/>
    <w:rsid w:val="00D850D3"/>
    <w:rsid w:val="00D87BC9"/>
    <w:rsid w:val="00D96E77"/>
    <w:rsid w:val="00DA161E"/>
    <w:rsid w:val="00DA4B27"/>
    <w:rsid w:val="00DA536C"/>
    <w:rsid w:val="00DA7D89"/>
    <w:rsid w:val="00DB0F49"/>
    <w:rsid w:val="00DB1034"/>
    <w:rsid w:val="00DB2DB4"/>
    <w:rsid w:val="00DC1285"/>
    <w:rsid w:val="00DC252E"/>
    <w:rsid w:val="00DC26CD"/>
    <w:rsid w:val="00DC2EC3"/>
    <w:rsid w:val="00DC4FB6"/>
    <w:rsid w:val="00DC5BB5"/>
    <w:rsid w:val="00DD28CC"/>
    <w:rsid w:val="00DD6269"/>
    <w:rsid w:val="00DE0160"/>
    <w:rsid w:val="00DE09E3"/>
    <w:rsid w:val="00DE1015"/>
    <w:rsid w:val="00DE4183"/>
    <w:rsid w:val="00DE45F6"/>
    <w:rsid w:val="00DE5489"/>
    <w:rsid w:val="00DE5CB1"/>
    <w:rsid w:val="00DF12AA"/>
    <w:rsid w:val="00DF2ACA"/>
    <w:rsid w:val="00DF440A"/>
    <w:rsid w:val="00DF7307"/>
    <w:rsid w:val="00DF7664"/>
    <w:rsid w:val="00DF7B0F"/>
    <w:rsid w:val="00DF7E5B"/>
    <w:rsid w:val="00E04EFA"/>
    <w:rsid w:val="00E058DD"/>
    <w:rsid w:val="00E07ABB"/>
    <w:rsid w:val="00E07E4D"/>
    <w:rsid w:val="00E105A0"/>
    <w:rsid w:val="00E1079E"/>
    <w:rsid w:val="00E12790"/>
    <w:rsid w:val="00E20117"/>
    <w:rsid w:val="00E25C0E"/>
    <w:rsid w:val="00E31CB8"/>
    <w:rsid w:val="00E3265C"/>
    <w:rsid w:val="00E328FC"/>
    <w:rsid w:val="00E33D70"/>
    <w:rsid w:val="00E351B8"/>
    <w:rsid w:val="00E35899"/>
    <w:rsid w:val="00E373EA"/>
    <w:rsid w:val="00E40690"/>
    <w:rsid w:val="00E4297D"/>
    <w:rsid w:val="00E500C1"/>
    <w:rsid w:val="00E51A02"/>
    <w:rsid w:val="00E52465"/>
    <w:rsid w:val="00E560F3"/>
    <w:rsid w:val="00E70F35"/>
    <w:rsid w:val="00E716D0"/>
    <w:rsid w:val="00E725EE"/>
    <w:rsid w:val="00E737E3"/>
    <w:rsid w:val="00E737FB"/>
    <w:rsid w:val="00E7474F"/>
    <w:rsid w:val="00E76CD9"/>
    <w:rsid w:val="00E83F93"/>
    <w:rsid w:val="00E85EDC"/>
    <w:rsid w:val="00E919AE"/>
    <w:rsid w:val="00E936D2"/>
    <w:rsid w:val="00E94243"/>
    <w:rsid w:val="00E94AE7"/>
    <w:rsid w:val="00E95340"/>
    <w:rsid w:val="00E97149"/>
    <w:rsid w:val="00EA2C90"/>
    <w:rsid w:val="00EA34EF"/>
    <w:rsid w:val="00EA5D46"/>
    <w:rsid w:val="00EA6A43"/>
    <w:rsid w:val="00EA7CA1"/>
    <w:rsid w:val="00EB0467"/>
    <w:rsid w:val="00EB1A88"/>
    <w:rsid w:val="00EB363C"/>
    <w:rsid w:val="00EB383E"/>
    <w:rsid w:val="00EB42FB"/>
    <w:rsid w:val="00EB51D5"/>
    <w:rsid w:val="00EB70FE"/>
    <w:rsid w:val="00EC2316"/>
    <w:rsid w:val="00EC2700"/>
    <w:rsid w:val="00EC36A1"/>
    <w:rsid w:val="00EC46D6"/>
    <w:rsid w:val="00EC4B05"/>
    <w:rsid w:val="00ED0C9A"/>
    <w:rsid w:val="00ED1B74"/>
    <w:rsid w:val="00ED3F8C"/>
    <w:rsid w:val="00ED54FA"/>
    <w:rsid w:val="00ED7549"/>
    <w:rsid w:val="00EE16AF"/>
    <w:rsid w:val="00EE5D62"/>
    <w:rsid w:val="00EF1F41"/>
    <w:rsid w:val="00EF515B"/>
    <w:rsid w:val="00EF6170"/>
    <w:rsid w:val="00EF671F"/>
    <w:rsid w:val="00F01392"/>
    <w:rsid w:val="00F02C46"/>
    <w:rsid w:val="00F0457A"/>
    <w:rsid w:val="00F05E09"/>
    <w:rsid w:val="00F0661D"/>
    <w:rsid w:val="00F066FA"/>
    <w:rsid w:val="00F11B2B"/>
    <w:rsid w:val="00F12165"/>
    <w:rsid w:val="00F1388C"/>
    <w:rsid w:val="00F154F1"/>
    <w:rsid w:val="00F15835"/>
    <w:rsid w:val="00F17626"/>
    <w:rsid w:val="00F22979"/>
    <w:rsid w:val="00F253B2"/>
    <w:rsid w:val="00F256C7"/>
    <w:rsid w:val="00F27C2F"/>
    <w:rsid w:val="00F31B8A"/>
    <w:rsid w:val="00F31CD5"/>
    <w:rsid w:val="00F3672F"/>
    <w:rsid w:val="00F40397"/>
    <w:rsid w:val="00F40970"/>
    <w:rsid w:val="00F43C4E"/>
    <w:rsid w:val="00F44B61"/>
    <w:rsid w:val="00F46009"/>
    <w:rsid w:val="00F467D8"/>
    <w:rsid w:val="00F46B33"/>
    <w:rsid w:val="00F51765"/>
    <w:rsid w:val="00F5279D"/>
    <w:rsid w:val="00F5289B"/>
    <w:rsid w:val="00F5330B"/>
    <w:rsid w:val="00F5657E"/>
    <w:rsid w:val="00F62CE6"/>
    <w:rsid w:val="00F652EF"/>
    <w:rsid w:val="00F74285"/>
    <w:rsid w:val="00F74969"/>
    <w:rsid w:val="00F779E1"/>
    <w:rsid w:val="00F847F1"/>
    <w:rsid w:val="00F864A2"/>
    <w:rsid w:val="00F9064B"/>
    <w:rsid w:val="00F91DDE"/>
    <w:rsid w:val="00F92BA5"/>
    <w:rsid w:val="00F92DE5"/>
    <w:rsid w:val="00F93561"/>
    <w:rsid w:val="00F94901"/>
    <w:rsid w:val="00F94A1B"/>
    <w:rsid w:val="00F96AD4"/>
    <w:rsid w:val="00FA0D92"/>
    <w:rsid w:val="00FA281F"/>
    <w:rsid w:val="00FA34F1"/>
    <w:rsid w:val="00FA5AA2"/>
    <w:rsid w:val="00FB0C35"/>
    <w:rsid w:val="00FB141B"/>
    <w:rsid w:val="00FB1833"/>
    <w:rsid w:val="00FB2EBF"/>
    <w:rsid w:val="00FB580C"/>
    <w:rsid w:val="00FB665A"/>
    <w:rsid w:val="00FB79FE"/>
    <w:rsid w:val="00FC7B6F"/>
    <w:rsid w:val="00FD1BAA"/>
    <w:rsid w:val="00FD799C"/>
    <w:rsid w:val="00FE4648"/>
    <w:rsid w:val="00FE4C89"/>
    <w:rsid w:val="00FE796D"/>
    <w:rsid w:val="00FF14CF"/>
    <w:rsid w:val="00FF183F"/>
    <w:rsid w:val="00FF3424"/>
    <w:rsid w:val="00FF3F48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7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577DA7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rsid w:val="00E04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CE36C4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033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qFormat/>
    <w:rsid w:val="00033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0338E8"/>
    <w:rPr>
      <w:b/>
      <w:bCs/>
    </w:rPr>
  </w:style>
  <w:style w:type="paragraph" w:styleId="Pagrindiniotekstotrauka2">
    <w:name w:val="Body Text Indent 2"/>
    <w:basedOn w:val="prastasis"/>
    <w:rsid w:val="007A4ECD"/>
    <w:pPr>
      <w:tabs>
        <w:tab w:val="left" w:pos="1200"/>
      </w:tabs>
      <w:ind w:firstLine="720"/>
      <w:jc w:val="both"/>
    </w:pPr>
    <w:rPr>
      <w:lang w:eastAsia="en-US"/>
    </w:rPr>
  </w:style>
  <w:style w:type="paragraph" w:customStyle="1" w:styleId="DiagramaDiagramaDiagramaCharCharDiagramaChar">
    <w:name w:val="Diagrama Diagrama Diagrama Char Char Diagrama Char"/>
    <w:basedOn w:val="prastasis"/>
    <w:rsid w:val="002D6D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113B4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8113B4"/>
    <w:rPr>
      <w:lang w:val="en-US" w:eastAsia="en-US"/>
    </w:rPr>
  </w:style>
  <w:style w:type="paragraph" w:customStyle="1" w:styleId="CharDiagramaCharCharDiagramaCharCharDiagrama">
    <w:name w:val="Char Diagrama Char Char Diagrama Char Char Diagrama"/>
    <w:basedOn w:val="prastasis"/>
    <w:rsid w:val="001539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as0">
    <w:name w:val="Tekstas"/>
    <w:basedOn w:val="prastasis"/>
    <w:rsid w:val="00F02C46"/>
    <w:pPr>
      <w:spacing w:before="40" w:after="40"/>
      <w:ind w:right="40" w:firstLine="1247"/>
      <w:jc w:val="both"/>
    </w:pPr>
    <w:rPr>
      <w:lang w:eastAsia="en-US"/>
    </w:rPr>
  </w:style>
  <w:style w:type="paragraph" w:customStyle="1" w:styleId="CharChar1CharCharCharChar">
    <w:name w:val="Char Char1 Char Char Char Char"/>
    <w:basedOn w:val="prastasis"/>
    <w:rsid w:val="00965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F4E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F4EF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F4E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F4EF3"/>
    <w:rPr>
      <w:sz w:val="24"/>
      <w:szCs w:val="24"/>
    </w:rPr>
  </w:style>
  <w:style w:type="character" w:customStyle="1" w:styleId="dpav">
    <w:name w:val="dpav"/>
    <w:rsid w:val="005F1F2E"/>
    <w:rPr>
      <w:sz w:val="26"/>
      <w:szCs w:val="26"/>
    </w:rPr>
  </w:style>
  <w:style w:type="paragraph" w:styleId="Sraopastraipa">
    <w:name w:val="List Paragraph"/>
    <w:basedOn w:val="prastasis"/>
    <w:uiPriority w:val="34"/>
    <w:qFormat/>
    <w:rsid w:val="001F5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nhideWhenUsed/>
    <w:rsid w:val="008A0787"/>
    <w:rPr>
      <w:color w:val="0000FF"/>
      <w:u w:val="single"/>
    </w:rPr>
  </w:style>
  <w:style w:type="paragraph" w:customStyle="1" w:styleId="ktpstrnum">
    <w:name w:val="ktpstrnum"/>
    <w:basedOn w:val="prastasis"/>
    <w:rsid w:val="0057276E"/>
    <w:pPr>
      <w:spacing w:before="100" w:beforeAutospacing="1" w:after="100" w:afterAutospacing="1"/>
    </w:pPr>
  </w:style>
  <w:style w:type="character" w:styleId="Puslapioinaosnuoroda">
    <w:name w:val="footnote reference"/>
    <w:uiPriority w:val="99"/>
    <w:semiHidden/>
    <w:unhideWhenUsed/>
    <w:rsid w:val="0057276E"/>
  </w:style>
  <w:style w:type="character" w:customStyle="1" w:styleId="apple-style-span">
    <w:name w:val="apple-style-span"/>
    <w:rsid w:val="0057276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C351A"/>
    <w:rPr>
      <w:rFonts w:ascii="Calibri" w:hAnsi="Calibri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4C351A"/>
    <w:rPr>
      <w:rFonts w:ascii="Calibri" w:hAnsi="Calibri"/>
    </w:rPr>
  </w:style>
  <w:style w:type="paragraph" w:customStyle="1" w:styleId="CM1">
    <w:name w:val="CM1"/>
    <w:basedOn w:val="prastasis"/>
    <w:next w:val="prastasis"/>
    <w:uiPriority w:val="99"/>
    <w:rsid w:val="008528CE"/>
    <w:pPr>
      <w:autoSpaceDE w:val="0"/>
      <w:autoSpaceDN w:val="0"/>
      <w:adjustRightInd w:val="0"/>
      <w:jc w:val="both"/>
    </w:pPr>
    <w:rPr>
      <w:rFonts w:ascii="EUAlbertina" w:eastAsia="Calibri" w:hAnsi="EUAlbertina"/>
      <w:lang w:val="en-US" w:eastAsia="en-US"/>
    </w:rPr>
  </w:style>
  <w:style w:type="paragraph" w:customStyle="1" w:styleId="tajtip">
    <w:name w:val="tajtip"/>
    <w:basedOn w:val="prastasis"/>
    <w:rsid w:val="00EB0467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042B4E"/>
    <w:rPr>
      <w:sz w:val="24"/>
      <w:szCs w:val="24"/>
    </w:rPr>
  </w:style>
  <w:style w:type="character" w:customStyle="1" w:styleId="normaltextrun">
    <w:name w:val="normaltextrun"/>
    <w:basedOn w:val="Numatytasispastraiposriftas"/>
    <w:rsid w:val="00ED1B74"/>
  </w:style>
  <w:style w:type="paragraph" w:customStyle="1" w:styleId="paragraph">
    <w:name w:val="paragraph"/>
    <w:basedOn w:val="prastasis"/>
    <w:rsid w:val="00ED1B74"/>
    <w:pPr>
      <w:spacing w:before="100" w:beforeAutospacing="1" w:after="100" w:afterAutospacing="1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ED1B74"/>
  </w:style>
  <w:style w:type="paragraph" w:styleId="prastasistinklapis">
    <w:name w:val="Normal (Web)"/>
    <w:basedOn w:val="prastasis"/>
    <w:uiPriority w:val="99"/>
    <w:unhideWhenUsed/>
    <w:rsid w:val="00E058DD"/>
    <w:pPr>
      <w:spacing w:before="100" w:beforeAutospacing="1" w:after="100" w:afterAutospacing="1"/>
    </w:pPr>
  </w:style>
  <w:style w:type="character" w:customStyle="1" w:styleId="eop">
    <w:name w:val="eop"/>
    <w:basedOn w:val="Numatytasispastraiposriftas"/>
    <w:qFormat/>
    <w:rsid w:val="00807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7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577DA7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rsid w:val="00E04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CE36C4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033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qFormat/>
    <w:rsid w:val="00033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0338E8"/>
    <w:rPr>
      <w:b/>
      <w:bCs/>
    </w:rPr>
  </w:style>
  <w:style w:type="paragraph" w:styleId="Pagrindiniotekstotrauka2">
    <w:name w:val="Body Text Indent 2"/>
    <w:basedOn w:val="prastasis"/>
    <w:rsid w:val="007A4ECD"/>
    <w:pPr>
      <w:tabs>
        <w:tab w:val="left" w:pos="1200"/>
      </w:tabs>
      <w:ind w:firstLine="720"/>
      <w:jc w:val="both"/>
    </w:pPr>
    <w:rPr>
      <w:lang w:eastAsia="en-US"/>
    </w:rPr>
  </w:style>
  <w:style w:type="paragraph" w:customStyle="1" w:styleId="DiagramaDiagramaDiagramaCharCharDiagramaChar">
    <w:name w:val="Diagrama Diagrama Diagrama Char Char Diagrama Char"/>
    <w:basedOn w:val="prastasis"/>
    <w:rsid w:val="002D6D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113B4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8113B4"/>
    <w:rPr>
      <w:lang w:val="en-US" w:eastAsia="en-US"/>
    </w:rPr>
  </w:style>
  <w:style w:type="paragraph" w:customStyle="1" w:styleId="CharDiagramaCharCharDiagramaCharCharDiagrama">
    <w:name w:val="Char Diagrama Char Char Diagrama Char Char Diagrama"/>
    <w:basedOn w:val="prastasis"/>
    <w:rsid w:val="001539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as0">
    <w:name w:val="Tekstas"/>
    <w:basedOn w:val="prastasis"/>
    <w:rsid w:val="00F02C46"/>
    <w:pPr>
      <w:spacing w:before="40" w:after="40"/>
      <w:ind w:right="40" w:firstLine="1247"/>
      <w:jc w:val="both"/>
    </w:pPr>
    <w:rPr>
      <w:lang w:eastAsia="en-US"/>
    </w:rPr>
  </w:style>
  <w:style w:type="paragraph" w:customStyle="1" w:styleId="CharChar1CharCharCharChar">
    <w:name w:val="Char Char1 Char Char Char Char"/>
    <w:basedOn w:val="prastasis"/>
    <w:rsid w:val="00965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F4E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F4EF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F4E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F4EF3"/>
    <w:rPr>
      <w:sz w:val="24"/>
      <w:szCs w:val="24"/>
    </w:rPr>
  </w:style>
  <w:style w:type="character" w:customStyle="1" w:styleId="dpav">
    <w:name w:val="dpav"/>
    <w:rsid w:val="005F1F2E"/>
    <w:rPr>
      <w:sz w:val="26"/>
      <w:szCs w:val="26"/>
    </w:rPr>
  </w:style>
  <w:style w:type="paragraph" w:styleId="Sraopastraipa">
    <w:name w:val="List Paragraph"/>
    <w:basedOn w:val="prastasis"/>
    <w:uiPriority w:val="34"/>
    <w:qFormat/>
    <w:rsid w:val="001F5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nhideWhenUsed/>
    <w:rsid w:val="008A0787"/>
    <w:rPr>
      <w:color w:val="0000FF"/>
      <w:u w:val="single"/>
    </w:rPr>
  </w:style>
  <w:style w:type="paragraph" w:customStyle="1" w:styleId="ktpstrnum">
    <w:name w:val="ktpstrnum"/>
    <w:basedOn w:val="prastasis"/>
    <w:rsid w:val="0057276E"/>
    <w:pPr>
      <w:spacing w:before="100" w:beforeAutospacing="1" w:after="100" w:afterAutospacing="1"/>
    </w:pPr>
  </w:style>
  <w:style w:type="character" w:styleId="Puslapioinaosnuoroda">
    <w:name w:val="footnote reference"/>
    <w:uiPriority w:val="99"/>
    <w:semiHidden/>
    <w:unhideWhenUsed/>
    <w:rsid w:val="0057276E"/>
  </w:style>
  <w:style w:type="character" w:customStyle="1" w:styleId="apple-style-span">
    <w:name w:val="apple-style-span"/>
    <w:rsid w:val="0057276E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C351A"/>
    <w:rPr>
      <w:rFonts w:ascii="Calibri" w:hAnsi="Calibri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4C351A"/>
    <w:rPr>
      <w:rFonts w:ascii="Calibri" w:hAnsi="Calibri"/>
    </w:rPr>
  </w:style>
  <w:style w:type="paragraph" w:customStyle="1" w:styleId="CM1">
    <w:name w:val="CM1"/>
    <w:basedOn w:val="prastasis"/>
    <w:next w:val="prastasis"/>
    <w:uiPriority w:val="99"/>
    <w:rsid w:val="008528CE"/>
    <w:pPr>
      <w:autoSpaceDE w:val="0"/>
      <w:autoSpaceDN w:val="0"/>
      <w:adjustRightInd w:val="0"/>
      <w:jc w:val="both"/>
    </w:pPr>
    <w:rPr>
      <w:rFonts w:ascii="EUAlbertina" w:eastAsia="Calibri" w:hAnsi="EUAlbertina"/>
      <w:lang w:val="en-US" w:eastAsia="en-US"/>
    </w:rPr>
  </w:style>
  <w:style w:type="paragraph" w:customStyle="1" w:styleId="tajtip">
    <w:name w:val="tajtip"/>
    <w:basedOn w:val="prastasis"/>
    <w:rsid w:val="00EB0467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042B4E"/>
    <w:rPr>
      <w:sz w:val="24"/>
      <w:szCs w:val="24"/>
    </w:rPr>
  </w:style>
  <w:style w:type="character" w:customStyle="1" w:styleId="normaltextrun">
    <w:name w:val="normaltextrun"/>
    <w:basedOn w:val="Numatytasispastraiposriftas"/>
    <w:rsid w:val="00ED1B74"/>
  </w:style>
  <w:style w:type="paragraph" w:customStyle="1" w:styleId="paragraph">
    <w:name w:val="paragraph"/>
    <w:basedOn w:val="prastasis"/>
    <w:rsid w:val="00ED1B74"/>
    <w:pPr>
      <w:spacing w:before="100" w:beforeAutospacing="1" w:after="100" w:afterAutospacing="1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ED1B74"/>
  </w:style>
  <w:style w:type="paragraph" w:styleId="prastasistinklapis">
    <w:name w:val="Normal (Web)"/>
    <w:basedOn w:val="prastasis"/>
    <w:uiPriority w:val="99"/>
    <w:unhideWhenUsed/>
    <w:rsid w:val="00E058DD"/>
    <w:pPr>
      <w:spacing w:before="100" w:beforeAutospacing="1" w:after="100" w:afterAutospacing="1"/>
    </w:pPr>
  </w:style>
  <w:style w:type="character" w:customStyle="1" w:styleId="eop">
    <w:name w:val="eop"/>
    <w:basedOn w:val="Numatytasispastraiposriftas"/>
    <w:qFormat/>
    <w:rsid w:val="0080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86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0576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9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043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5614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7320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477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1846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801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461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486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95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386">
      <w:bodyDiv w:val="1"/>
      <w:marLeft w:val="18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1109-381E-46C4-AC22-404C06FB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DERINIMO PAŽYMA</vt:lpstr>
      <vt:lpstr>DERINIMO PAŽYMA</vt:lpstr>
    </vt:vector>
  </TitlesOfParts>
  <Company>vpk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DERINIMO PAŽYMA</dc:title>
  <dc:creator>Joana Daukševič</dc:creator>
  <cp:lastModifiedBy>Joana Daukševič</cp:lastModifiedBy>
  <cp:revision>2</cp:revision>
  <cp:lastPrinted>2018-12-18T07:11:00Z</cp:lastPrinted>
  <dcterms:created xsi:type="dcterms:W3CDTF">2021-09-23T11:04:00Z</dcterms:created>
  <dcterms:modified xsi:type="dcterms:W3CDTF">2021-09-23T11:04:00Z</dcterms:modified>
</cp:coreProperties>
</file>