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E34" w:rsidRDefault="00044EDB" w:rsidP="006E38A0">
      <w:pPr>
        <w:spacing w:after="0" w:line="240" w:lineRule="auto"/>
        <w:jc w:val="center"/>
        <w:rPr>
          <w:rFonts w:ascii="Times New Roman" w:hAnsi="Times New Roman"/>
          <w:b/>
          <w:sz w:val="24"/>
          <w:szCs w:val="24"/>
        </w:rPr>
      </w:pPr>
      <w:bookmarkStart w:id="0" w:name="_GoBack"/>
      <w:bookmarkEnd w:id="0"/>
      <w:r>
        <w:rPr>
          <w:rFonts w:ascii="Times New Roman" w:hAnsi="Times New Roman"/>
          <w:b/>
          <w:sz w:val="24"/>
          <w:szCs w:val="24"/>
        </w:rPr>
        <w:t>DERINIMO PAŽYMA</w:t>
      </w:r>
    </w:p>
    <w:p w:rsidR="00FD4DFF" w:rsidRPr="00AA42F2" w:rsidRDefault="00AA42F2" w:rsidP="001E2147">
      <w:pPr>
        <w:spacing w:after="0" w:line="240" w:lineRule="auto"/>
        <w:jc w:val="center"/>
        <w:rPr>
          <w:rFonts w:ascii="Times New Roman" w:hAnsi="Times New Roman"/>
          <w:b/>
          <w:sz w:val="24"/>
          <w:szCs w:val="24"/>
        </w:rPr>
      </w:pPr>
      <w:r w:rsidRPr="00AA42F2">
        <w:rPr>
          <w:rFonts w:ascii="Times New Roman" w:hAnsi="Times New Roman"/>
          <w:b/>
          <w:sz w:val="24"/>
          <w:szCs w:val="24"/>
        </w:rPr>
        <w:t>dėl</w:t>
      </w:r>
      <w:r w:rsidR="009055FD" w:rsidRPr="00AA42F2">
        <w:rPr>
          <w:rFonts w:ascii="Times New Roman" w:hAnsi="Times New Roman"/>
          <w:b/>
          <w:sz w:val="24"/>
          <w:szCs w:val="24"/>
        </w:rPr>
        <w:t xml:space="preserve"> </w:t>
      </w:r>
      <w:r w:rsidRPr="00AA42F2">
        <w:rPr>
          <w:rFonts w:ascii="Times New Roman" w:hAnsi="Times New Roman"/>
          <w:b/>
          <w:sz w:val="24"/>
          <w:szCs w:val="24"/>
        </w:rPr>
        <w:t>Vyriausybės nutarimo „Dėl Lietuvos Respublikos Vyriausybės 2009 m. gruodžio 16 d. nutarimo Nr. 1725 „Dėl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 pakeitimo“ projekto</w:t>
      </w:r>
    </w:p>
    <w:p w:rsidR="006E38A0" w:rsidRDefault="006E38A0" w:rsidP="006E38A0">
      <w:pPr>
        <w:spacing w:after="0" w:line="240" w:lineRule="auto"/>
        <w:jc w:val="center"/>
        <w:rPr>
          <w:rFonts w:ascii="Times New Roman" w:hAnsi="Times New Roman"/>
          <w:sz w:val="24"/>
          <w:szCs w:val="24"/>
        </w:rPr>
      </w:pP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536"/>
        <w:gridCol w:w="8789"/>
      </w:tblGrid>
      <w:tr w:rsidR="003F6F3F" w:rsidRPr="00A84BE1" w:rsidTr="00067B82">
        <w:trPr>
          <w:trHeight w:val="626"/>
        </w:trPr>
        <w:tc>
          <w:tcPr>
            <w:tcW w:w="1843" w:type="dxa"/>
          </w:tcPr>
          <w:p w:rsidR="003F6F3F" w:rsidRPr="0059468B" w:rsidRDefault="003F6F3F" w:rsidP="00A84BE1">
            <w:pPr>
              <w:jc w:val="center"/>
              <w:rPr>
                <w:rFonts w:ascii="Times New Roman" w:hAnsi="Times New Roman"/>
                <w:b/>
                <w:sz w:val="24"/>
                <w:szCs w:val="24"/>
              </w:rPr>
            </w:pPr>
            <w:r w:rsidRPr="0059468B">
              <w:rPr>
                <w:rFonts w:ascii="Times New Roman" w:hAnsi="Times New Roman"/>
                <w:b/>
                <w:sz w:val="24"/>
                <w:szCs w:val="24"/>
              </w:rPr>
              <w:t>Institucijos pavadinimas</w:t>
            </w:r>
          </w:p>
        </w:tc>
        <w:tc>
          <w:tcPr>
            <w:tcW w:w="4536" w:type="dxa"/>
          </w:tcPr>
          <w:p w:rsidR="003F6F3F" w:rsidRPr="0059468B" w:rsidRDefault="003F6F3F" w:rsidP="00A84BE1">
            <w:pPr>
              <w:jc w:val="center"/>
              <w:rPr>
                <w:rFonts w:ascii="Times New Roman" w:hAnsi="Times New Roman"/>
                <w:b/>
                <w:sz w:val="24"/>
                <w:szCs w:val="24"/>
              </w:rPr>
            </w:pPr>
            <w:r w:rsidRPr="0059468B">
              <w:rPr>
                <w:rFonts w:ascii="Times New Roman" w:hAnsi="Times New Roman"/>
                <w:b/>
                <w:sz w:val="24"/>
                <w:szCs w:val="24"/>
              </w:rPr>
              <w:t>Pastabos ir pasiūlymai</w:t>
            </w:r>
          </w:p>
        </w:tc>
        <w:tc>
          <w:tcPr>
            <w:tcW w:w="8789" w:type="dxa"/>
          </w:tcPr>
          <w:p w:rsidR="003F6F3F" w:rsidRPr="0059468B" w:rsidRDefault="0059468B" w:rsidP="0059468B">
            <w:pPr>
              <w:jc w:val="center"/>
              <w:rPr>
                <w:rFonts w:ascii="Times New Roman" w:hAnsi="Times New Roman"/>
                <w:b/>
                <w:sz w:val="24"/>
                <w:szCs w:val="24"/>
              </w:rPr>
            </w:pPr>
            <w:r w:rsidRPr="0059468B">
              <w:rPr>
                <w:rFonts w:ascii="Times New Roman" w:hAnsi="Times New Roman"/>
                <w:b/>
                <w:sz w:val="24"/>
                <w:szCs w:val="24"/>
              </w:rPr>
              <w:t>P</w:t>
            </w:r>
            <w:r w:rsidR="003F6F3F" w:rsidRPr="0059468B">
              <w:rPr>
                <w:rFonts w:ascii="Times New Roman" w:hAnsi="Times New Roman"/>
                <w:b/>
                <w:sz w:val="24"/>
                <w:szCs w:val="24"/>
              </w:rPr>
              <w:t>astab</w:t>
            </w:r>
            <w:r w:rsidRPr="0059468B">
              <w:rPr>
                <w:rFonts w:ascii="Times New Roman" w:hAnsi="Times New Roman"/>
                <w:b/>
                <w:sz w:val="24"/>
                <w:szCs w:val="24"/>
              </w:rPr>
              <w:t>ų</w:t>
            </w:r>
            <w:r w:rsidR="003F6F3F" w:rsidRPr="0059468B">
              <w:rPr>
                <w:rFonts w:ascii="Times New Roman" w:hAnsi="Times New Roman"/>
                <w:b/>
                <w:sz w:val="24"/>
                <w:szCs w:val="24"/>
              </w:rPr>
              <w:t xml:space="preserve"> ir pasiūlym</w:t>
            </w:r>
            <w:r w:rsidRPr="0059468B">
              <w:rPr>
                <w:rFonts w:ascii="Times New Roman" w:hAnsi="Times New Roman"/>
                <w:b/>
                <w:sz w:val="24"/>
                <w:szCs w:val="24"/>
              </w:rPr>
              <w:t>ų vertinimas</w:t>
            </w:r>
          </w:p>
        </w:tc>
      </w:tr>
      <w:tr w:rsidR="00EA1437" w:rsidRPr="00A84BE1" w:rsidTr="003A09CF">
        <w:trPr>
          <w:trHeight w:val="3868"/>
        </w:trPr>
        <w:tc>
          <w:tcPr>
            <w:tcW w:w="1843" w:type="dxa"/>
            <w:vMerge w:val="restart"/>
          </w:tcPr>
          <w:p w:rsidR="00EA1437" w:rsidRDefault="00394ED6" w:rsidP="008607EB">
            <w:pPr>
              <w:spacing w:after="0" w:line="240" w:lineRule="auto"/>
              <w:jc w:val="center"/>
              <w:rPr>
                <w:rFonts w:ascii="Times New Roman" w:hAnsi="Times New Roman"/>
                <w:sz w:val="24"/>
                <w:szCs w:val="24"/>
              </w:rPr>
            </w:pPr>
            <w:r>
              <w:rPr>
                <w:rFonts w:ascii="Times New Roman" w:hAnsi="Times New Roman"/>
                <w:sz w:val="24"/>
                <w:szCs w:val="24"/>
              </w:rPr>
              <w:t>Respublikiniai būsto valdymo ir priežiūros rūmai</w:t>
            </w:r>
          </w:p>
          <w:p w:rsidR="00394ED6" w:rsidRPr="005F21CE" w:rsidRDefault="00394ED6" w:rsidP="008607EB">
            <w:pPr>
              <w:spacing w:after="0" w:line="240" w:lineRule="auto"/>
              <w:jc w:val="center"/>
              <w:rPr>
                <w:rFonts w:ascii="Times New Roman" w:hAnsi="Times New Roman"/>
                <w:sz w:val="24"/>
                <w:szCs w:val="24"/>
              </w:rPr>
            </w:pPr>
            <w:r>
              <w:rPr>
                <w:rFonts w:ascii="Times New Roman" w:hAnsi="Times New Roman"/>
                <w:sz w:val="24"/>
                <w:szCs w:val="24"/>
              </w:rPr>
              <w:t>2020-11-27 Nr. 1524-20-65</w:t>
            </w:r>
          </w:p>
        </w:tc>
        <w:tc>
          <w:tcPr>
            <w:tcW w:w="4536" w:type="dxa"/>
          </w:tcPr>
          <w:p w:rsidR="00EA1437" w:rsidRPr="005F21CE" w:rsidRDefault="004D5198" w:rsidP="00EA37F8">
            <w:pPr>
              <w:jc w:val="both"/>
              <w:rPr>
                <w:rFonts w:ascii="Times New Roman" w:hAnsi="Times New Roman"/>
                <w:sz w:val="24"/>
                <w:szCs w:val="24"/>
              </w:rPr>
            </w:pPr>
            <w:r>
              <w:rPr>
                <w:rFonts w:ascii="Times New Roman" w:hAnsi="Times New Roman"/>
                <w:sz w:val="24"/>
                <w:szCs w:val="24"/>
              </w:rPr>
              <w:t>Siūloma 53.1 papunktyje</w:t>
            </w:r>
            <w:r w:rsidR="00394ED6" w:rsidRPr="00394ED6">
              <w:rPr>
                <w:rFonts w:ascii="Times New Roman" w:hAnsi="Times New Roman"/>
                <w:sz w:val="24"/>
                <w:szCs w:val="24"/>
              </w:rPr>
              <w:t xml:space="preserve"> </w:t>
            </w:r>
            <w:r>
              <w:rPr>
                <w:rFonts w:ascii="Times New Roman" w:hAnsi="Times New Roman"/>
                <w:sz w:val="24"/>
                <w:szCs w:val="24"/>
              </w:rPr>
              <w:t>neišbraukti žodžio</w:t>
            </w:r>
            <w:r w:rsidR="00394ED6" w:rsidRPr="00394ED6">
              <w:rPr>
                <w:rFonts w:ascii="Times New Roman" w:hAnsi="Times New Roman"/>
                <w:sz w:val="24"/>
                <w:szCs w:val="24"/>
              </w:rPr>
              <w:t xml:space="preserve"> </w:t>
            </w:r>
            <w:r>
              <w:rPr>
                <w:rFonts w:ascii="Times New Roman" w:hAnsi="Times New Roman"/>
                <w:sz w:val="24"/>
                <w:szCs w:val="24"/>
              </w:rPr>
              <w:t>,,</w:t>
            </w:r>
            <w:r w:rsidR="00394ED6" w:rsidRPr="00394ED6">
              <w:rPr>
                <w:rFonts w:ascii="Times New Roman" w:hAnsi="Times New Roman"/>
                <w:sz w:val="24"/>
                <w:szCs w:val="24"/>
              </w:rPr>
              <w:t>mėnesinės</w:t>
            </w:r>
            <w:r>
              <w:rPr>
                <w:rFonts w:ascii="Times New Roman" w:hAnsi="Times New Roman"/>
                <w:sz w:val="24"/>
                <w:szCs w:val="24"/>
              </w:rPr>
              <w:t>“ įmokos dydį. Manoma</w:t>
            </w:r>
            <w:r w:rsidR="00394ED6" w:rsidRPr="00394ED6">
              <w:rPr>
                <w:rFonts w:ascii="Times New Roman" w:hAnsi="Times New Roman"/>
                <w:sz w:val="24"/>
                <w:szCs w:val="24"/>
              </w:rPr>
              <w:t>, kad tokiu būdu bus neaišku ir netikslu, kaip tada bus nustatomas projekto įgyvendinimo administravimo įmokos dydis. Ar tokiu atveju, projekto administratorius turės teisę siūlyti jam nustatyti metinį įmokos dydį, ar vis tiek turės siūlyti mėnesinį įmokos dydį. Būsto rūmų nuomone, šią dalį reikėtų patikslinti, kad nekiltų nesklandumų projekto administratoriams numatant įmokos dydžius.</w:t>
            </w:r>
          </w:p>
        </w:tc>
        <w:tc>
          <w:tcPr>
            <w:tcW w:w="8789" w:type="dxa"/>
          </w:tcPr>
          <w:p w:rsidR="00A82B57" w:rsidRDefault="00394ED6" w:rsidP="00A82B57">
            <w:pPr>
              <w:spacing w:after="0" w:line="240" w:lineRule="auto"/>
              <w:jc w:val="both"/>
              <w:rPr>
                <w:rFonts w:ascii="Times New Roman" w:hAnsi="Times New Roman"/>
                <w:b/>
                <w:sz w:val="24"/>
                <w:szCs w:val="24"/>
              </w:rPr>
            </w:pPr>
            <w:r>
              <w:rPr>
                <w:rFonts w:ascii="Times New Roman" w:hAnsi="Times New Roman"/>
                <w:b/>
                <w:sz w:val="24"/>
                <w:szCs w:val="24"/>
              </w:rPr>
              <w:t xml:space="preserve">Neatsižvelgta. </w:t>
            </w:r>
          </w:p>
          <w:p w:rsidR="00394ED6" w:rsidRPr="00394ED6" w:rsidRDefault="00EA37F8" w:rsidP="00EA37F8">
            <w:pPr>
              <w:spacing w:after="0" w:line="240" w:lineRule="auto"/>
              <w:jc w:val="both"/>
              <w:rPr>
                <w:rFonts w:ascii="Times New Roman" w:hAnsi="Times New Roman"/>
                <w:sz w:val="24"/>
                <w:szCs w:val="24"/>
              </w:rPr>
            </w:pPr>
            <w:r>
              <w:rPr>
                <w:rFonts w:ascii="Times New Roman" w:hAnsi="Times New Roman"/>
                <w:sz w:val="24"/>
                <w:szCs w:val="24"/>
              </w:rPr>
              <w:t xml:space="preserve">Nutarimo 2.1.2 papunktyje nustatyta, kad </w:t>
            </w:r>
            <w:r w:rsidRPr="00EA37F8">
              <w:rPr>
                <w:rFonts w:ascii="Times New Roman" w:hAnsi="Times New Roman"/>
                <w:sz w:val="24"/>
                <w:szCs w:val="24"/>
              </w:rPr>
              <w:t>daugiabučio namo atnaujinimo (modernizavimo) projekto įgyv</w:t>
            </w:r>
            <w:r>
              <w:rPr>
                <w:rFonts w:ascii="Times New Roman" w:hAnsi="Times New Roman"/>
                <w:sz w:val="24"/>
                <w:szCs w:val="24"/>
              </w:rPr>
              <w:t xml:space="preserve">endinimo administravimo išlaidos neturi viršyti </w:t>
            </w:r>
            <w:r w:rsidRPr="00EA37F8">
              <w:rPr>
                <w:rFonts w:ascii="Times New Roman" w:hAnsi="Times New Roman"/>
                <w:sz w:val="24"/>
                <w:szCs w:val="24"/>
              </w:rPr>
              <w:t>3,50 euro (be PVM) jeigu numatoma pasiekti C ar B pas</w:t>
            </w:r>
            <w:r>
              <w:rPr>
                <w:rFonts w:ascii="Times New Roman" w:hAnsi="Times New Roman"/>
                <w:sz w:val="24"/>
                <w:szCs w:val="24"/>
              </w:rPr>
              <w:t>tato energinio naudingumo klasę ir</w:t>
            </w:r>
            <w:r w:rsidRPr="00EA37F8">
              <w:rPr>
                <w:rFonts w:ascii="Times New Roman" w:hAnsi="Times New Roman"/>
                <w:sz w:val="24"/>
                <w:szCs w:val="24"/>
              </w:rPr>
              <w:t xml:space="preserve"> 4,50 euro (be PVM) vienam kvadratiniam metrui buto naudingojo ar kitų patalpų bendrojo ploto per visą projekto įgyvendinimo laikotarpį, jeigu numatoma pasiekti A ar aukštesnę past</w:t>
            </w:r>
            <w:r>
              <w:rPr>
                <w:rFonts w:ascii="Times New Roman" w:hAnsi="Times New Roman"/>
                <w:sz w:val="24"/>
                <w:szCs w:val="24"/>
              </w:rPr>
              <w:t xml:space="preserve">ato energinio naudingumo klasę. Nutarimu patvirtintose Taisyklėse nustatyta, kad valstybės parama projektui administruoti teikiama 51 punkte nurodytomis dalimis už faktiškai </w:t>
            </w:r>
            <w:r w:rsidR="00394ED6" w:rsidRPr="00394ED6">
              <w:rPr>
                <w:rFonts w:ascii="Times New Roman" w:hAnsi="Times New Roman"/>
                <w:sz w:val="24"/>
                <w:szCs w:val="24"/>
              </w:rPr>
              <w:t>suteiktas projekto įgyvendinimo administravimo paslaugas</w:t>
            </w:r>
            <w:r>
              <w:rPr>
                <w:rFonts w:ascii="Times New Roman" w:hAnsi="Times New Roman"/>
                <w:sz w:val="24"/>
                <w:szCs w:val="24"/>
              </w:rPr>
              <w:t>.</w:t>
            </w:r>
            <w:r w:rsidR="00394ED6" w:rsidRPr="00394ED6">
              <w:rPr>
                <w:rFonts w:ascii="Times New Roman" w:hAnsi="Times New Roman"/>
                <w:sz w:val="24"/>
                <w:szCs w:val="24"/>
              </w:rPr>
              <w:t xml:space="preserve"> </w:t>
            </w:r>
          </w:p>
        </w:tc>
      </w:tr>
      <w:tr w:rsidR="00EA1437" w:rsidRPr="00A84BE1" w:rsidTr="00D02858">
        <w:trPr>
          <w:trHeight w:val="1833"/>
        </w:trPr>
        <w:tc>
          <w:tcPr>
            <w:tcW w:w="1843" w:type="dxa"/>
            <w:vMerge/>
          </w:tcPr>
          <w:p w:rsidR="00EA1437" w:rsidRDefault="00EA1437" w:rsidP="008607EB">
            <w:pPr>
              <w:spacing w:after="0" w:line="240" w:lineRule="auto"/>
              <w:jc w:val="center"/>
              <w:rPr>
                <w:rFonts w:ascii="Times New Roman" w:hAnsi="Times New Roman"/>
                <w:sz w:val="24"/>
                <w:szCs w:val="24"/>
              </w:rPr>
            </w:pPr>
          </w:p>
        </w:tc>
        <w:tc>
          <w:tcPr>
            <w:tcW w:w="4536" w:type="dxa"/>
          </w:tcPr>
          <w:p w:rsidR="00EA37F8" w:rsidRPr="00AF330C" w:rsidRDefault="004D5198" w:rsidP="00EA37F8">
            <w:pPr>
              <w:spacing w:after="0" w:line="240" w:lineRule="auto"/>
              <w:jc w:val="both"/>
              <w:rPr>
                <w:rFonts w:ascii="Times New Roman" w:hAnsi="Times New Roman"/>
                <w:sz w:val="24"/>
                <w:szCs w:val="24"/>
              </w:rPr>
            </w:pPr>
            <w:r w:rsidRPr="00AF330C">
              <w:rPr>
                <w:rFonts w:ascii="Times New Roman" w:hAnsi="Times New Roman"/>
                <w:sz w:val="24"/>
                <w:szCs w:val="24"/>
              </w:rPr>
              <w:t>Siūloma daugiabučių namų atnaujinimo (modernizavimo) projektų įgyvendinimo terminą pratęsti ir projektams,</w:t>
            </w:r>
            <w:r w:rsidR="00EA37F8" w:rsidRPr="00AF330C">
              <w:rPr>
                <w:rFonts w:ascii="Times New Roman" w:hAnsi="Times New Roman"/>
                <w:sz w:val="24"/>
                <w:szCs w:val="24"/>
              </w:rPr>
              <w:t xml:space="preserve"> kurie pradėti po 2017 m. lapkričio 1 d. </w:t>
            </w:r>
          </w:p>
          <w:p w:rsidR="00D02858" w:rsidRPr="00AF330C" w:rsidRDefault="00D02858" w:rsidP="00D02858">
            <w:pPr>
              <w:spacing w:after="0" w:line="240" w:lineRule="auto"/>
              <w:jc w:val="both"/>
              <w:rPr>
                <w:rFonts w:ascii="Times New Roman" w:hAnsi="Times New Roman"/>
                <w:sz w:val="24"/>
                <w:szCs w:val="24"/>
              </w:rPr>
            </w:pPr>
            <w:r w:rsidRPr="00AF330C">
              <w:rPr>
                <w:rFonts w:ascii="Times New Roman" w:hAnsi="Times New Roman"/>
                <w:sz w:val="24"/>
                <w:szCs w:val="24"/>
              </w:rPr>
              <w:t xml:space="preserve">Nėra aišku ką apima sąvoka projektas. Teisės aktuose projektas yra suprantamas kaip dokumentas, t.y. viena iš renovacijos proceso dalių, reikalingas pačiai renovacijai atlikti ((taip jis suprantamas ir pagal Valstybės paramos daugiabučiams namams atnaujinti (modernizuoti) teikimo ir daugiabučių namų atnaujinimo </w:t>
            </w:r>
            <w:r w:rsidRPr="00AF330C">
              <w:rPr>
                <w:rFonts w:ascii="Times New Roman" w:hAnsi="Times New Roman"/>
                <w:sz w:val="24"/>
                <w:szCs w:val="24"/>
              </w:rPr>
              <w:lastRenderedPageBreak/>
              <w:t xml:space="preserve">(modernizavimo) projektų įgyvendinimo priežiūros taisykles bei LR Statybos įstatymą). Šiuo atveju, nėra aišku ar minimas projektas apima visus renovacijos proceso dokumentus (investicinį planą ir pan.) ar tik patį techninį darbo projektą. </w:t>
            </w:r>
          </w:p>
          <w:p w:rsidR="00EA37F8" w:rsidRPr="00AF330C" w:rsidRDefault="00EA37F8" w:rsidP="00EA37F8">
            <w:pPr>
              <w:spacing w:after="0" w:line="240" w:lineRule="auto"/>
              <w:jc w:val="both"/>
              <w:rPr>
                <w:rFonts w:ascii="Times New Roman" w:hAnsi="Times New Roman"/>
                <w:sz w:val="24"/>
                <w:szCs w:val="24"/>
              </w:rPr>
            </w:pPr>
          </w:p>
          <w:p w:rsidR="00EA1437" w:rsidRPr="00AF330C" w:rsidRDefault="00EA1437" w:rsidP="00067B82">
            <w:pPr>
              <w:spacing w:after="0" w:line="240" w:lineRule="auto"/>
              <w:jc w:val="both"/>
              <w:rPr>
                <w:rFonts w:ascii="Times New Roman" w:hAnsi="Times New Roman"/>
                <w:sz w:val="24"/>
                <w:szCs w:val="24"/>
              </w:rPr>
            </w:pPr>
          </w:p>
        </w:tc>
        <w:tc>
          <w:tcPr>
            <w:tcW w:w="8789" w:type="dxa"/>
          </w:tcPr>
          <w:p w:rsidR="00EA1437" w:rsidRPr="00AF330C" w:rsidRDefault="00E10861" w:rsidP="008607EB">
            <w:pPr>
              <w:spacing w:after="0" w:line="240" w:lineRule="auto"/>
              <w:jc w:val="both"/>
              <w:rPr>
                <w:rFonts w:ascii="Times New Roman" w:hAnsi="Times New Roman"/>
                <w:b/>
                <w:sz w:val="24"/>
                <w:szCs w:val="24"/>
              </w:rPr>
            </w:pPr>
            <w:r w:rsidRPr="00AF330C">
              <w:rPr>
                <w:rFonts w:ascii="Times New Roman" w:hAnsi="Times New Roman"/>
                <w:b/>
                <w:sz w:val="24"/>
                <w:szCs w:val="24"/>
              </w:rPr>
              <w:lastRenderedPageBreak/>
              <w:t>Neatsižvelgta.</w:t>
            </w:r>
          </w:p>
          <w:p w:rsidR="00E10861" w:rsidRPr="00AF330C" w:rsidRDefault="003A09CF" w:rsidP="003A09CF">
            <w:pPr>
              <w:spacing w:after="0" w:line="240" w:lineRule="auto"/>
              <w:jc w:val="both"/>
              <w:rPr>
                <w:rFonts w:ascii="Times New Roman" w:hAnsi="Times New Roman"/>
                <w:bCs/>
                <w:sz w:val="24"/>
                <w:szCs w:val="24"/>
              </w:rPr>
            </w:pPr>
            <w:r w:rsidRPr="00AF330C">
              <w:rPr>
                <w:rFonts w:ascii="Times New Roman" w:hAnsi="Times New Roman"/>
                <w:sz w:val="24"/>
                <w:szCs w:val="24"/>
              </w:rPr>
              <w:t xml:space="preserve">Nutarimo projektu aptariami iki 2017 m. lapkričio 1 d. parengti daugiabučio namo atnaujinimo (modernizavimo) projektai, kurių įgyvendinimo sąlygos aptartos </w:t>
            </w:r>
            <w:r w:rsidRPr="00AF330C">
              <w:rPr>
                <w:rFonts w:ascii="Times New Roman" w:hAnsi="Times New Roman"/>
                <w:bCs/>
                <w:sz w:val="24"/>
                <w:szCs w:val="24"/>
              </w:rPr>
              <w:t>Lietuvos Respublikos valstybės paramos daugiabučiams namams atnaujinti (modernizuoti) įstatymo Nr. I-2455 pakeitimo įstatymą Nr. XIII-498 2 straipsnio nuostatose, kuriose nustatyta, kad Projektai parengti iki minėto įstatymo įsigaliojimo dienos baigiami rengti pagal Valstybės paramos daugiabučiams namams atnaujinti (modernizuoti) įstatymo redakciją, galiojusią iki 2017-11-01. Visiems kitiems projektams, kurie parengti po 2017-11-01 taikoma nauja, šiuo metu galiojanti, Valstybės paramos daugiabučiams namams atnaujinti (modernizuoti) įstatymo redakcija ir jį įgyvendinantys teisės aktai, kurių pagrindu sudaromos valstybės paramos teikimo sutartys.</w:t>
            </w:r>
          </w:p>
          <w:p w:rsidR="00D02858" w:rsidRPr="00AF330C" w:rsidRDefault="00D02858" w:rsidP="003A09CF">
            <w:pPr>
              <w:spacing w:after="0" w:line="240" w:lineRule="auto"/>
              <w:jc w:val="both"/>
              <w:rPr>
                <w:rFonts w:ascii="Times New Roman" w:hAnsi="Times New Roman"/>
                <w:bCs/>
                <w:sz w:val="24"/>
                <w:szCs w:val="24"/>
              </w:rPr>
            </w:pPr>
            <w:r w:rsidRPr="00AF330C">
              <w:rPr>
                <w:rFonts w:ascii="Times New Roman" w:hAnsi="Times New Roman"/>
                <w:bCs/>
                <w:sz w:val="24"/>
                <w:szCs w:val="24"/>
              </w:rPr>
              <w:t xml:space="preserve">Statybos įstatymo 2 straipsnyje nustatyta, kad Statinio projektas – normatyvinių statybos </w:t>
            </w:r>
            <w:r w:rsidRPr="00AF330C">
              <w:rPr>
                <w:rFonts w:ascii="Times New Roman" w:hAnsi="Times New Roman"/>
                <w:bCs/>
                <w:sz w:val="24"/>
                <w:szCs w:val="24"/>
              </w:rPr>
              <w:lastRenderedPageBreak/>
              <w:t>techninių dokumentų nustatytos sudėties dokumentų, kuriuose pateikiami statytojo sumanyto statinio sprendiniai (statinio projekto dalys, skaičiavimai, brėžiniai), skirtų statybą leidžiančiam dokumentui gauti, statybai vykdyti ir statybos užbaigimo procedūroms atlikti, visuma.</w:t>
            </w:r>
          </w:p>
          <w:p w:rsidR="00D02858" w:rsidRPr="00AF330C" w:rsidRDefault="0041113D" w:rsidP="00D02858">
            <w:pPr>
              <w:spacing w:after="0" w:line="240" w:lineRule="auto"/>
              <w:jc w:val="both"/>
              <w:rPr>
                <w:rFonts w:ascii="Times New Roman" w:hAnsi="Times New Roman"/>
                <w:sz w:val="24"/>
                <w:szCs w:val="24"/>
                <w:lang w:val="en-GB"/>
              </w:rPr>
            </w:pPr>
            <w:r w:rsidRPr="00AF330C">
              <w:rPr>
                <w:rFonts w:ascii="Times New Roman" w:hAnsi="Times New Roman"/>
                <w:sz w:val="24"/>
                <w:szCs w:val="24"/>
              </w:rPr>
              <w:t>Statybos techniniame reglamente STR 1.04.04:2017 „Statinio  projektavimas,</w:t>
            </w:r>
            <w:r w:rsidRPr="00AF330C">
              <w:rPr>
                <w:rFonts w:ascii="Times New Roman" w:hAnsi="Times New Roman"/>
                <w:sz w:val="24"/>
                <w:szCs w:val="24"/>
                <w:lang w:val="en-GB"/>
              </w:rPr>
              <w:t xml:space="preserve"> </w:t>
            </w:r>
            <w:r w:rsidRPr="00AF330C">
              <w:rPr>
                <w:rFonts w:ascii="Times New Roman" w:hAnsi="Times New Roman"/>
                <w:sz w:val="24"/>
                <w:szCs w:val="24"/>
              </w:rPr>
              <w:t>projekto ekspertizė“ nustatyta, kad</w:t>
            </w:r>
            <w:r w:rsidRPr="00AF330C">
              <w:rPr>
                <w:rFonts w:ascii="Times New Roman" w:hAnsi="Times New Roman"/>
                <w:sz w:val="24"/>
                <w:szCs w:val="24"/>
                <w:lang w:val="en-GB"/>
              </w:rPr>
              <w:t xml:space="preserve"> </w:t>
            </w:r>
            <w:r w:rsidR="00D02858" w:rsidRPr="00AF330C">
              <w:rPr>
                <w:rFonts w:ascii="Times New Roman" w:hAnsi="Times New Roman"/>
                <w:sz w:val="24"/>
                <w:szCs w:val="24"/>
              </w:rPr>
              <w:t>pastato atnaujinimo (modernizavimo)  projektas rengiamas dviem etapais:</w:t>
            </w:r>
            <w:r w:rsidRPr="00AF330C">
              <w:rPr>
                <w:color w:val="000000"/>
              </w:rPr>
              <w:t xml:space="preserve"> i</w:t>
            </w:r>
            <w:r w:rsidRPr="00AF330C">
              <w:rPr>
                <w:rFonts w:ascii="Times New Roman" w:hAnsi="Times New Roman"/>
                <w:sz w:val="24"/>
                <w:szCs w:val="24"/>
              </w:rPr>
              <w:t>nvesticijų planas (ar investicijų projektas) ir techninis darbo projektas.</w:t>
            </w:r>
          </w:p>
          <w:p w:rsidR="00D02858" w:rsidRPr="00AF330C" w:rsidRDefault="00D02858" w:rsidP="0041113D">
            <w:pPr>
              <w:spacing w:after="0" w:line="240" w:lineRule="auto"/>
              <w:jc w:val="both"/>
              <w:rPr>
                <w:rFonts w:ascii="Times New Roman" w:hAnsi="Times New Roman"/>
                <w:b/>
                <w:sz w:val="24"/>
                <w:szCs w:val="24"/>
              </w:rPr>
            </w:pPr>
            <w:bookmarkStart w:id="1" w:name="part_b87aa3c1658e4add813e49da3f85c014"/>
            <w:bookmarkEnd w:id="1"/>
          </w:p>
        </w:tc>
      </w:tr>
      <w:tr w:rsidR="005514C6" w:rsidRPr="00A84BE1" w:rsidTr="0041113D">
        <w:trPr>
          <w:trHeight w:val="626"/>
        </w:trPr>
        <w:tc>
          <w:tcPr>
            <w:tcW w:w="1843" w:type="dxa"/>
            <w:tcBorders>
              <w:bottom w:val="single" w:sz="4" w:space="0" w:color="auto"/>
            </w:tcBorders>
          </w:tcPr>
          <w:p w:rsidR="005514C6" w:rsidRDefault="005514C6" w:rsidP="008607EB">
            <w:pPr>
              <w:spacing w:after="0" w:line="240" w:lineRule="auto"/>
              <w:jc w:val="center"/>
              <w:rPr>
                <w:rFonts w:ascii="Times New Roman" w:hAnsi="Times New Roman"/>
                <w:sz w:val="24"/>
                <w:szCs w:val="24"/>
              </w:rPr>
            </w:pPr>
          </w:p>
        </w:tc>
        <w:tc>
          <w:tcPr>
            <w:tcW w:w="4536" w:type="dxa"/>
          </w:tcPr>
          <w:p w:rsidR="005514C6" w:rsidRPr="00AF330C" w:rsidRDefault="005514C6" w:rsidP="005514C6">
            <w:pPr>
              <w:spacing w:after="0" w:line="240" w:lineRule="auto"/>
              <w:jc w:val="both"/>
              <w:rPr>
                <w:rFonts w:ascii="Times New Roman" w:hAnsi="Times New Roman"/>
                <w:sz w:val="24"/>
                <w:szCs w:val="24"/>
              </w:rPr>
            </w:pPr>
            <w:r w:rsidRPr="00AF330C">
              <w:rPr>
                <w:rFonts w:ascii="Times New Roman" w:hAnsi="Times New Roman"/>
                <w:sz w:val="24"/>
                <w:szCs w:val="24"/>
              </w:rPr>
              <w:t xml:space="preserve">Siūloma patikslinti Projekte dėstomo 2.5 papunkčio sakinio struktūrą dalyje </w:t>
            </w:r>
            <w:r w:rsidRPr="00AF330C">
              <w:rPr>
                <w:rFonts w:ascii="Times New Roman" w:hAnsi="Times New Roman"/>
                <w:i/>
                <w:iCs/>
                <w:sz w:val="24"/>
                <w:szCs w:val="24"/>
              </w:rPr>
              <w:t>„&lt;...&gt; privalo motyvuoti, raštu informuoti&lt;...&gt;“.</w:t>
            </w:r>
            <w:r w:rsidRPr="00AF330C">
              <w:rPr>
                <w:rFonts w:ascii="Times New Roman" w:hAnsi="Times New Roman"/>
                <w:sz w:val="24"/>
                <w:szCs w:val="24"/>
              </w:rPr>
              <w:t xml:space="preserve"> </w:t>
            </w:r>
          </w:p>
        </w:tc>
        <w:tc>
          <w:tcPr>
            <w:tcW w:w="8789" w:type="dxa"/>
          </w:tcPr>
          <w:p w:rsidR="005514C6" w:rsidRPr="00AF330C" w:rsidRDefault="005514C6" w:rsidP="008607EB">
            <w:pPr>
              <w:spacing w:after="0" w:line="240" w:lineRule="auto"/>
              <w:jc w:val="both"/>
              <w:rPr>
                <w:rFonts w:ascii="Times New Roman" w:hAnsi="Times New Roman"/>
                <w:b/>
                <w:sz w:val="24"/>
                <w:szCs w:val="24"/>
              </w:rPr>
            </w:pPr>
            <w:r w:rsidRPr="00AF330C">
              <w:rPr>
                <w:rFonts w:ascii="Times New Roman" w:hAnsi="Times New Roman"/>
                <w:b/>
                <w:sz w:val="24"/>
                <w:szCs w:val="24"/>
              </w:rPr>
              <w:t xml:space="preserve">Atsižvelgta. </w:t>
            </w:r>
          </w:p>
          <w:p w:rsidR="005514C6" w:rsidRPr="00AF330C" w:rsidRDefault="005514C6" w:rsidP="008607EB">
            <w:pPr>
              <w:spacing w:after="0" w:line="240" w:lineRule="auto"/>
              <w:jc w:val="both"/>
              <w:rPr>
                <w:rFonts w:ascii="Times New Roman" w:hAnsi="Times New Roman"/>
                <w:sz w:val="24"/>
                <w:szCs w:val="24"/>
              </w:rPr>
            </w:pPr>
            <w:r w:rsidRPr="00AF330C">
              <w:rPr>
                <w:rFonts w:ascii="Times New Roman" w:hAnsi="Times New Roman"/>
                <w:sz w:val="24"/>
                <w:szCs w:val="24"/>
              </w:rPr>
              <w:t>2.5. papunkčio nuostata patikslinta.</w:t>
            </w:r>
          </w:p>
        </w:tc>
      </w:tr>
      <w:tr w:rsidR="00067B82" w:rsidRPr="00A84BE1" w:rsidTr="0041113D">
        <w:trPr>
          <w:trHeight w:val="626"/>
        </w:trPr>
        <w:tc>
          <w:tcPr>
            <w:tcW w:w="1843" w:type="dxa"/>
            <w:tcBorders>
              <w:bottom w:val="nil"/>
            </w:tcBorders>
          </w:tcPr>
          <w:p w:rsidR="00067B82" w:rsidRDefault="006351F0" w:rsidP="008607EB">
            <w:pPr>
              <w:spacing w:after="0" w:line="240" w:lineRule="auto"/>
              <w:jc w:val="center"/>
              <w:rPr>
                <w:rFonts w:ascii="Times New Roman" w:hAnsi="Times New Roman"/>
                <w:sz w:val="24"/>
                <w:szCs w:val="24"/>
              </w:rPr>
            </w:pPr>
            <w:r>
              <w:rPr>
                <w:rFonts w:ascii="Times New Roman" w:hAnsi="Times New Roman"/>
                <w:sz w:val="24"/>
                <w:szCs w:val="24"/>
              </w:rPr>
              <w:t>Lietuvos savivaldybių asociacija</w:t>
            </w:r>
          </w:p>
          <w:p w:rsidR="006351F0" w:rsidRDefault="006351F0" w:rsidP="008607EB">
            <w:pPr>
              <w:spacing w:after="0" w:line="240" w:lineRule="auto"/>
              <w:jc w:val="center"/>
              <w:rPr>
                <w:rFonts w:ascii="Times New Roman" w:hAnsi="Times New Roman"/>
                <w:sz w:val="24"/>
                <w:szCs w:val="24"/>
              </w:rPr>
            </w:pPr>
            <w:r>
              <w:rPr>
                <w:rFonts w:ascii="Times New Roman" w:hAnsi="Times New Roman"/>
                <w:sz w:val="24"/>
                <w:szCs w:val="24"/>
              </w:rPr>
              <w:t>2020-12-01</w:t>
            </w:r>
          </w:p>
          <w:p w:rsidR="006351F0" w:rsidRDefault="006351F0" w:rsidP="008607EB">
            <w:pPr>
              <w:spacing w:after="0" w:line="240" w:lineRule="auto"/>
              <w:jc w:val="center"/>
              <w:rPr>
                <w:rFonts w:ascii="Times New Roman" w:hAnsi="Times New Roman"/>
                <w:sz w:val="24"/>
                <w:szCs w:val="24"/>
              </w:rPr>
            </w:pPr>
            <w:r>
              <w:rPr>
                <w:rFonts w:ascii="Times New Roman" w:hAnsi="Times New Roman"/>
                <w:sz w:val="24"/>
                <w:szCs w:val="24"/>
              </w:rPr>
              <w:t>Nr. (21)-SD-808</w:t>
            </w:r>
          </w:p>
        </w:tc>
        <w:tc>
          <w:tcPr>
            <w:tcW w:w="4536" w:type="dxa"/>
          </w:tcPr>
          <w:p w:rsidR="00067B82" w:rsidRPr="00067B82" w:rsidRDefault="006351F0" w:rsidP="006351F0">
            <w:pPr>
              <w:numPr>
                <w:ilvl w:val="0"/>
                <w:numId w:val="8"/>
              </w:numPr>
              <w:spacing w:after="0" w:line="240" w:lineRule="auto"/>
              <w:ind w:left="34"/>
              <w:jc w:val="both"/>
              <w:rPr>
                <w:rFonts w:ascii="Times New Roman" w:hAnsi="Times New Roman"/>
                <w:sz w:val="24"/>
                <w:szCs w:val="24"/>
              </w:rPr>
            </w:pPr>
            <w:r w:rsidRPr="006351F0">
              <w:rPr>
                <w:rFonts w:ascii="Times New Roman" w:hAnsi="Times New Roman"/>
                <w:sz w:val="24"/>
                <w:szCs w:val="24"/>
                <w:lang w:val="en-US"/>
              </w:rPr>
              <w:t xml:space="preserve">Kai </w:t>
            </w:r>
            <w:r w:rsidRPr="006351F0">
              <w:rPr>
                <w:rFonts w:ascii="Times New Roman" w:hAnsi="Times New Roman"/>
                <w:sz w:val="24"/>
                <w:szCs w:val="24"/>
              </w:rPr>
              <w:t xml:space="preserve">kurios savivaldybės kelia klausimą </w:t>
            </w:r>
            <w:proofErr w:type="gramStart"/>
            <w:r w:rsidRPr="006351F0">
              <w:rPr>
                <w:rFonts w:ascii="Times New Roman" w:hAnsi="Times New Roman"/>
                <w:sz w:val="24"/>
                <w:szCs w:val="24"/>
              </w:rPr>
              <w:t>dėl</w:t>
            </w:r>
            <w:proofErr w:type="gramEnd"/>
            <w:r w:rsidRPr="006351F0">
              <w:rPr>
                <w:rFonts w:ascii="Times New Roman" w:hAnsi="Times New Roman"/>
                <w:sz w:val="24"/>
                <w:szCs w:val="24"/>
              </w:rPr>
              <w:t xml:space="preserve"> Projekto </w:t>
            </w:r>
            <w:r w:rsidRPr="006351F0">
              <w:rPr>
                <w:rFonts w:ascii="Times New Roman" w:hAnsi="Times New Roman"/>
                <w:sz w:val="24"/>
                <w:szCs w:val="24"/>
                <w:lang w:val="en-US"/>
              </w:rPr>
              <w:t xml:space="preserve">1.1 </w:t>
            </w:r>
            <w:r w:rsidRPr="006351F0">
              <w:rPr>
                <w:rFonts w:ascii="Times New Roman" w:hAnsi="Times New Roman"/>
                <w:sz w:val="24"/>
                <w:szCs w:val="24"/>
              </w:rPr>
              <w:t>papunktyje pateiktos formulės tikslingumo</w:t>
            </w:r>
            <w:r>
              <w:rPr>
                <w:rFonts w:ascii="Times New Roman" w:hAnsi="Times New Roman"/>
                <w:sz w:val="24"/>
                <w:szCs w:val="24"/>
              </w:rPr>
              <w:t xml:space="preserve"> ir siūlo atsisakyti minėtos</w:t>
            </w:r>
            <w:r w:rsidRPr="006351F0">
              <w:rPr>
                <w:rFonts w:ascii="Times New Roman" w:hAnsi="Times New Roman"/>
                <w:sz w:val="24"/>
                <w:szCs w:val="24"/>
              </w:rPr>
              <w:t xml:space="preserve"> formulė</w:t>
            </w:r>
            <w:r>
              <w:rPr>
                <w:rFonts w:ascii="Times New Roman" w:hAnsi="Times New Roman"/>
                <w:sz w:val="24"/>
                <w:szCs w:val="24"/>
              </w:rPr>
              <w:t>s.</w:t>
            </w:r>
            <w:r w:rsidRPr="006351F0">
              <w:rPr>
                <w:rFonts w:ascii="Times New Roman" w:hAnsi="Times New Roman"/>
                <w:sz w:val="24"/>
                <w:szCs w:val="24"/>
              </w:rPr>
              <w:t xml:space="preserve"> </w:t>
            </w:r>
          </w:p>
        </w:tc>
        <w:tc>
          <w:tcPr>
            <w:tcW w:w="8789" w:type="dxa"/>
          </w:tcPr>
          <w:p w:rsidR="008A4A32" w:rsidRDefault="006351F0" w:rsidP="00437E31">
            <w:pPr>
              <w:spacing w:after="0" w:line="240" w:lineRule="auto"/>
              <w:jc w:val="both"/>
              <w:rPr>
                <w:rFonts w:ascii="Times New Roman" w:hAnsi="Times New Roman"/>
                <w:b/>
                <w:sz w:val="24"/>
                <w:szCs w:val="24"/>
              </w:rPr>
            </w:pPr>
            <w:r w:rsidRPr="006351F0">
              <w:rPr>
                <w:rFonts w:ascii="Times New Roman" w:hAnsi="Times New Roman"/>
                <w:b/>
                <w:sz w:val="24"/>
                <w:szCs w:val="24"/>
              </w:rPr>
              <w:t>Neatsižvelgta.</w:t>
            </w:r>
          </w:p>
          <w:p w:rsidR="0021343F" w:rsidRPr="00A63F1C" w:rsidRDefault="00A63F1C" w:rsidP="0021343F">
            <w:pPr>
              <w:spacing w:after="0" w:line="240" w:lineRule="auto"/>
              <w:jc w:val="both"/>
              <w:rPr>
                <w:rFonts w:ascii="Times New Roman" w:hAnsi="Times New Roman"/>
                <w:sz w:val="24"/>
                <w:szCs w:val="24"/>
              </w:rPr>
            </w:pPr>
            <w:r w:rsidRPr="00A63F1C">
              <w:rPr>
                <w:rFonts w:ascii="Times New Roman" w:hAnsi="Times New Roman"/>
                <w:sz w:val="24"/>
                <w:szCs w:val="24"/>
              </w:rPr>
              <w:t>Didžiausios įmokos apskaičiavimo tvarka nustatyta vadovaujantis Lietuvos Respublikos valstybės paramos daugiabučiams namams atnaujinti (modernizuoti) įstatymo 6 straipsnio nuostatomis.</w:t>
            </w:r>
          </w:p>
        </w:tc>
      </w:tr>
      <w:tr w:rsidR="0041113D" w:rsidRPr="00A84BE1" w:rsidTr="0041113D">
        <w:trPr>
          <w:trHeight w:val="626"/>
        </w:trPr>
        <w:tc>
          <w:tcPr>
            <w:tcW w:w="1843" w:type="dxa"/>
            <w:tcBorders>
              <w:top w:val="nil"/>
            </w:tcBorders>
          </w:tcPr>
          <w:p w:rsidR="0041113D" w:rsidRDefault="0041113D" w:rsidP="008607EB">
            <w:pPr>
              <w:spacing w:after="0" w:line="240" w:lineRule="auto"/>
              <w:jc w:val="center"/>
              <w:rPr>
                <w:rFonts w:ascii="Times New Roman" w:hAnsi="Times New Roman"/>
                <w:sz w:val="24"/>
                <w:szCs w:val="24"/>
              </w:rPr>
            </w:pPr>
          </w:p>
        </w:tc>
        <w:tc>
          <w:tcPr>
            <w:tcW w:w="4536" w:type="dxa"/>
          </w:tcPr>
          <w:p w:rsidR="0041113D" w:rsidRPr="00AF330C" w:rsidRDefault="0041113D" w:rsidP="0041113D">
            <w:pPr>
              <w:numPr>
                <w:ilvl w:val="0"/>
                <w:numId w:val="8"/>
              </w:numPr>
              <w:spacing w:after="0" w:line="240" w:lineRule="auto"/>
              <w:ind w:left="34"/>
              <w:jc w:val="both"/>
              <w:rPr>
                <w:rFonts w:ascii="Times New Roman" w:hAnsi="Times New Roman"/>
                <w:sz w:val="24"/>
                <w:szCs w:val="24"/>
                <w:lang w:val="en-US"/>
              </w:rPr>
            </w:pPr>
            <w:r w:rsidRPr="00AF330C">
              <w:rPr>
                <w:rFonts w:ascii="Times New Roman" w:hAnsi="Times New Roman"/>
                <w:sz w:val="24"/>
                <w:szCs w:val="24"/>
              </w:rPr>
              <w:t>Siūlo patikslinti</w:t>
            </w:r>
            <w:r w:rsidRPr="00AF330C">
              <w:rPr>
                <w:rFonts w:ascii="Times New Roman" w:hAnsi="Times New Roman"/>
                <w:sz w:val="24"/>
                <w:szCs w:val="24"/>
                <w:lang w:val="en-US"/>
              </w:rPr>
              <w:t xml:space="preserve"> </w:t>
            </w:r>
            <w:r w:rsidRPr="00AF330C">
              <w:rPr>
                <w:rFonts w:ascii="Times New Roman" w:hAnsi="Times New Roman"/>
                <w:sz w:val="24"/>
                <w:szCs w:val="24"/>
              </w:rPr>
              <w:t xml:space="preserve">Projekto </w:t>
            </w:r>
            <w:r w:rsidRPr="00AF330C">
              <w:rPr>
                <w:rFonts w:ascii="Times New Roman" w:hAnsi="Times New Roman"/>
                <w:sz w:val="24"/>
                <w:szCs w:val="24"/>
                <w:lang w:val="en-US"/>
              </w:rPr>
              <w:t xml:space="preserve">1.2 </w:t>
            </w:r>
            <w:r w:rsidRPr="00AF330C">
              <w:rPr>
                <w:rFonts w:ascii="Times New Roman" w:hAnsi="Times New Roman"/>
                <w:sz w:val="24"/>
                <w:szCs w:val="24"/>
              </w:rPr>
              <w:t>papunktyje pateiktą formuluotę „projekto administratorius privalo motyvuoti, raštu informuoti apie šį sprendimą Agentūrą &lt;...&gt;“</w:t>
            </w:r>
          </w:p>
        </w:tc>
        <w:tc>
          <w:tcPr>
            <w:tcW w:w="8789" w:type="dxa"/>
          </w:tcPr>
          <w:p w:rsidR="0041113D" w:rsidRPr="00AF330C" w:rsidRDefault="0041113D" w:rsidP="0041113D">
            <w:pPr>
              <w:spacing w:after="0" w:line="240" w:lineRule="auto"/>
              <w:jc w:val="both"/>
              <w:rPr>
                <w:rFonts w:ascii="Times New Roman" w:hAnsi="Times New Roman"/>
                <w:b/>
                <w:sz w:val="24"/>
                <w:szCs w:val="24"/>
              </w:rPr>
            </w:pPr>
            <w:r w:rsidRPr="00AF330C">
              <w:rPr>
                <w:rFonts w:ascii="Times New Roman" w:hAnsi="Times New Roman"/>
                <w:b/>
                <w:sz w:val="24"/>
                <w:szCs w:val="24"/>
              </w:rPr>
              <w:t xml:space="preserve">Atsižvelgta. </w:t>
            </w:r>
          </w:p>
          <w:p w:rsidR="0041113D" w:rsidRPr="00AF330C" w:rsidRDefault="0041113D" w:rsidP="0041113D">
            <w:pPr>
              <w:spacing w:after="0" w:line="240" w:lineRule="auto"/>
              <w:jc w:val="both"/>
              <w:rPr>
                <w:rFonts w:ascii="Times New Roman" w:hAnsi="Times New Roman"/>
                <w:sz w:val="24"/>
                <w:szCs w:val="24"/>
              </w:rPr>
            </w:pPr>
            <w:r w:rsidRPr="00AF330C">
              <w:rPr>
                <w:rFonts w:ascii="Times New Roman" w:hAnsi="Times New Roman"/>
                <w:sz w:val="24"/>
                <w:szCs w:val="24"/>
              </w:rPr>
              <w:t>2.5. papunkčio nuostata patikslinta.</w:t>
            </w:r>
          </w:p>
        </w:tc>
      </w:tr>
      <w:tr w:rsidR="00067B82" w:rsidRPr="00A84BE1" w:rsidTr="00CC1E69">
        <w:trPr>
          <w:trHeight w:val="626"/>
        </w:trPr>
        <w:tc>
          <w:tcPr>
            <w:tcW w:w="1843" w:type="dxa"/>
            <w:tcBorders>
              <w:bottom w:val="single" w:sz="4" w:space="0" w:color="auto"/>
            </w:tcBorders>
          </w:tcPr>
          <w:p w:rsidR="00067B82" w:rsidRDefault="004D5198" w:rsidP="008607EB">
            <w:pPr>
              <w:spacing w:after="0" w:line="240" w:lineRule="auto"/>
              <w:jc w:val="center"/>
              <w:rPr>
                <w:rFonts w:ascii="Times New Roman" w:hAnsi="Times New Roman"/>
                <w:sz w:val="24"/>
                <w:szCs w:val="24"/>
              </w:rPr>
            </w:pPr>
            <w:r>
              <w:rPr>
                <w:rFonts w:ascii="Times New Roman" w:hAnsi="Times New Roman"/>
                <w:sz w:val="24"/>
                <w:szCs w:val="24"/>
              </w:rPr>
              <w:t>Lietuvos savivaldybių komunalinių įmonių asociacija</w:t>
            </w:r>
          </w:p>
          <w:p w:rsidR="004D5198" w:rsidRDefault="004D5198" w:rsidP="008607EB">
            <w:pPr>
              <w:spacing w:after="0" w:line="240" w:lineRule="auto"/>
              <w:jc w:val="center"/>
              <w:rPr>
                <w:rFonts w:ascii="Times New Roman" w:hAnsi="Times New Roman"/>
                <w:sz w:val="24"/>
                <w:szCs w:val="24"/>
              </w:rPr>
            </w:pPr>
            <w:r>
              <w:rPr>
                <w:rFonts w:ascii="Times New Roman" w:hAnsi="Times New Roman"/>
                <w:sz w:val="24"/>
                <w:szCs w:val="24"/>
              </w:rPr>
              <w:t>2020-11-27</w:t>
            </w:r>
          </w:p>
          <w:p w:rsidR="004D5198" w:rsidRDefault="004D5198" w:rsidP="008607EB">
            <w:pPr>
              <w:spacing w:after="0" w:line="240" w:lineRule="auto"/>
              <w:jc w:val="center"/>
              <w:rPr>
                <w:rFonts w:ascii="Times New Roman" w:hAnsi="Times New Roman"/>
                <w:sz w:val="24"/>
                <w:szCs w:val="24"/>
              </w:rPr>
            </w:pPr>
            <w:r>
              <w:rPr>
                <w:rFonts w:ascii="Times New Roman" w:hAnsi="Times New Roman"/>
                <w:sz w:val="24"/>
                <w:szCs w:val="24"/>
              </w:rPr>
              <w:t>Nr. 1-S.I-2020.23</w:t>
            </w:r>
          </w:p>
        </w:tc>
        <w:tc>
          <w:tcPr>
            <w:tcW w:w="4536" w:type="dxa"/>
            <w:tcBorders>
              <w:bottom w:val="single" w:sz="4" w:space="0" w:color="auto"/>
            </w:tcBorders>
          </w:tcPr>
          <w:p w:rsidR="00067B82" w:rsidRPr="00067B82" w:rsidRDefault="007C56AA" w:rsidP="00067B82">
            <w:pPr>
              <w:spacing w:after="0" w:line="240" w:lineRule="auto"/>
              <w:jc w:val="both"/>
              <w:rPr>
                <w:rFonts w:ascii="Times New Roman" w:hAnsi="Times New Roman"/>
                <w:sz w:val="24"/>
                <w:szCs w:val="24"/>
              </w:rPr>
            </w:pPr>
            <w:r>
              <w:rPr>
                <w:rFonts w:ascii="Times New Roman" w:hAnsi="Times New Roman"/>
                <w:sz w:val="24"/>
                <w:szCs w:val="24"/>
              </w:rPr>
              <w:t>Siūloma 53.1 papunktyje įrašyti, kad butų ir kitų patalpų savininkų pritarimas administravimo įmokos dydžiui būtų ataskaitos pateikimo metu.</w:t>
            </w:r>
          </w:p>
        </w:tc>
        <w:tc>
          <w:tcPr>
            <w:tcW w:w="8789" w:type="dxa"/>
          </w:tcPr>
          <w:p w:rsidR="008A4A32" w:rsidRDefault="007C56AA" w:rsidP="008A4A32">
            <w:pPr>
              <w:spacing w:after="0" w:line="240" w:lineRule="auto"/>
              <w:jc w:val="both"/>
              <w:rPr>
                <w:rFonts w:ascii="Times New Roman" w:hAnsi="Times New Roman"/>
                <w:b/>
                <w:sz w:val="24"/>
                <w:szCs w:val="24"/>
              </w:rPr>
            </w:pPr>
            <w:r w:rsidRPr="007C56AA">
              <w:rPr>
                <w:rFonts w:ascii="Times New Roman" w:hAnsi="Times New Roman"/>
                <w:b/>
                <w:sz w:val="24"/>
                <w:szCs w:val="24"/>
              </w:rPr>
              <w:t>Neatsižvelgta.</w:t>
            </w:r>
          </w:p>
          <w:p w:rsidR="007C56AA" w:rsidRPr="007C56AA" w:rsidRDefault="007C56AA" w:rsidP="00D818B2">
            <w:pPr>
              <w:spacing w:after="0" w:line="240" w:lineRule="auto"/>
              <w:jc w:val="both"/>
              <w:rPr>
                <w:rFonts w:ascii="Times New Roman" w:hAnsi="Times New Roman"/>
                <w:sz w:val="24"/>
                <w:szCs w:val="24"/>
              </w:rPr>
            </w:pPr>
            <w:r w:rsidRPr="007C56AA">
              <w:rPr>
                <w:rFonts w:ascii="Times New Roman" w:hAnsi="Times New Roman"/>
                <w:sz w:val="24"/>
                <w:szCs w:val="24"/>
              </w:rPr>
              <w:t xml:space="preserve">Projekto administravimo </w:t>
            </w:r>
            <w:r w:rsidR="00D818B2">
              <w:rPr>
                <w:rFonts w:ascii="Times New Roman" w:hAnsi="Times New Roman"/>
                <w:sz w:val="24"/>
                <w:szCs w:val="24"/>
              </w:rPr>
              <w:t xml:space="preserve">išlaidos, kurios apskaičiuojamos įvertinus Vyriausybės nustatytus </w:t>
            </w:r>
            <w:r w:rsidRPr="007C56AA">
              <w:rPr>
                <w:rFonts w:ascii="Times New Roman" w:hAnsi="Times New Roman"/>
                <w:sz w:val="24"/>
                <w:szCs w:val="24"/>
              </w:rPr>
              <w:t>dyd</w:t>
            </w:r>
            <w:r w:rsidR="00D818B2">
              <w:rPr>
                <w:rFonts w:ascii="Times New Roman" w:hAnsi="Times New Roman"/>
                <w:sz w:val="24"/>
                <w:szCs w:val="24"/>
              </w:rPr>
              <w:t>žius, nurodomos daugiabučio namo atnaujinimo (modernizavimo) investicijų plane, kurį nustatyta tvarka tvirtina</w:t>
            </w:r>
            <w:r w:rsidRPr="007C56AA">
              <w:rPr>
                <w:rFonts w:ascii="Times New Roman" w:hAnsi="Times New Roman"/>
                <w:sz w:val="24"/>
                <w:szCs w:val="24"/>
              </w:rPr>
              <w:t xml:space="preserve"> butų ir kitų patalpų savininkai</w:t>
            </w:r>
            <w:r w:rsidR="00D818B2">
              <w:rPr>
                <w:rFonts w:ascii="Times New Roman" w:hAnsi="Times New Roman"/>
                <w:sz w:val="24"/>
                <w:szCs w:val="24"/>
              </w:rPr>
              <w:t>,</w:t>
            </w:r>
            <w:r w:rsidRPr="007C56AA">
              <w:rPr>
                <w:rFonts w:ascii="Times New Roman" w:hAnsi="Times New Roman"/>
                <w:sz w:val="24"/>
                <w:szCs w:val="24"/>
              </w:rPr>
              <w:t xml:space="preserve"> priim</w:t>
            </w:r>
            <w:r w:rsidR="00D818B2">
              <w:rPr>
                <w:rFonts w:ascii="Times New Roman" w:hAnsi="Times New Roman"/>
                <w:sz w:val="24"/>
                <w:szCs w:val="24"/>
              </w:rPr>
              <w:t>dami</w:t>
            </w:r>
            <w:r w:rsidRPr="007C56AA">
              <w:rPr>
                <w:rFonts w:ascii="Times New Roman" w:hAnsi="Times New Roman"/>
                <w:sz w:val="24"/>
                <w:szCs w:val="24"/>
              </w:rPr>
              <w:t xml:space="preserve"> sprendimą atnaujinti </w:t>
            </w:r>
            <w:r w:rsidR="007E5ACB">
              <w:rPr>
                <w:rFonts w:ascii="Times New Roman" w:hAnsi="Times New Roman"/>
                <w:sz w:val="24"/>
                <w:szCs w:val="24"/>
              </w:rPr>
              <w:t>(modernizuoti) daugiabutį namą.</w:t>
            </w:r>
          </w:p>
        </w:tc>
      </w:tr>
      <w:tr w:rsidR="00B72FE4" w:rsidRPr="00A84BE1" w:rsidTr="00CC1E69">
        <w:trPr>
          <w:trHeight w:val="626"/>
        </w:trPr>
        <w:tc>
          <w:tcPr>
            <w:tcW w:w="1843" w:type="dxa"/>
            <w:tcBorders>
              <w:bottom w:val="single" w:sz="4" w:space="0" w:color="auto"/>
            </w:tcBorders>
          </w:tcPr>
          <w:p w:rsidR="00B72FE4" w:rsidRDefault="00B72FE4" w:rsidP="008607EB">
            <w:pPr>
              <w:spacing w:after="0" w:line="240" w:lineRule="auto"/>
              <w:jc w:val="center"/>
              <w:rPr>
                <w:rFonts w:ascii="Times New Roman" w:hAnsi="Times New Roman"/>
                <w:sz w:val="24"/>
                <w:szCs w:val="24"/>
              </w:rPr>
            </w:pPr>
            <w:r>
              <w:rPr>
                <w:rFonts w:ascii="Times New Roman" w:hAnsi="Times New Roman"/>
                <w:sz w:val="24"/>
                <w:szCs w:val="24"/>
              </w:rPr>
              <w:t>Teisingumo ministerija</w:t>
            </w:r>
          </w:p>
          <w:p w:rsidR="00B72FE4" w:rsidRDefault="00B72FE4" w:rsidP="008607EB">
            <w:pPr>
              <w:spacing w:after="0" w:line="240" w:lineRule="auto"/>
              <w:jc w:val="center"/>
              <w:rPr>
                <w:rFonts w:ascii="Times New Roman" w:hAnsi="Times New Roman"/>
                <w:sz w:val="24"/>
                <w:szCs w:val="24"/>
              </w:rPr>
            </w:pPr>
            <w:r>
              <w:rPr>
                <w:rFonts w:ascii="Times New Roman" w:hAnsi="Times New Roman"/>
                <w:sz w:val="24"/>
                <w:szCs w:val="24"/>
              </w:rPr>
              <w:t>2020-12-04</w:t>
            </w:r>
          </w:p>
          <w:p w:rsidR="00B72FE4" w:rsidRDefault="00B72FE4" w:rsidP="008607EB">
            <w:pPr>
              <w:spacing w:after="0" w:line="240" w:lineRule="auto"/>
              <w:jc w:val="center"/>
              <w:rPr>
                <w:rFonts w:ascii="Times New Roman" w:hAnsi="Times New Roman"/>
                <w:sz w:val="24"/>
                <w:szCs w:val="24"/>
              </w:rPr>
            </w:pPr>
            <w:r>
              <w:rPr>
                <w:rFonts w:ascii="Times New Roman" w:hAnsi="Times New Roman"/>
                <w:sz w:val="24"/>
                <w:szCs w:val="24"/>
              </w:rPr>
              <w:t>Nr. (1.6E)2T-1697</w:t>
            </w:r>
          </w:p>
        </w:tc>
        <w:tc>
          <w:tcPr>
            <w:tcW w:w="4536" w:type="dxa"/>
            <w:tcBorders>
              <w:bottom w:val="single" w:sz="4" w:space="0" w:color="auto"/>
            </w:tcBorders>
          </w:tcPr>
          <w:p w:rsidR="00B72FE4" w:rsidRPr="00747181" w:rsidRDefault="00B72FE4" w:rsidP="00067B82">
            <w:pPr>
              <w:spacing w:after="0" w:line="240" w:lineRule="auto"/>
              <w:jc w:val="both"/>
              <w:rPr>
                <w:rFonts w:ascii="Times New Roman" w:hAnsi="Times New Roman"/>
                <w:sz w:val="24"/>
                <w:szCs w:val="24"/>
              </w:rPr>
            </w:pPr>
            <w:r w:rsidRPr="00747181">
              <w:rPr>
                <w:rFonts w:ascii="Times New Roman" w:hAnsi="Times New Roman"/>
                <w:sz w:val="24"/>
                <w:szCs w:val="24"/>
              </w:rPr>
              <w:t>Lydimojoje medžiagoje prašoma pagrįsti kodėl vietoj šiuo metu esančios pareigos</w:t>
            </w:r>
            <w:r w:rsidRPr="00747181">
              <w:rPr>
                <w:rFonts w:ascii="Times New Roman" w:hAnsi="Times New Roman"/>
                <w:i/>
                <w:iCs/>
                <w:sz w:val="24"/>
                <w:szCs w:val="24"/>
              </w:rPr>
              <w:t xml:space="preserve"> </w:t>
            </w:r>
            <w:r w:rsidRPr="00747181">
              <w:rPr>
                <w:rFonts w:ascii="Times New Roman" w:hAnsi="Times New Roman"/>
                <w:iCs/>
                <w:sz w:val="24"/>
                <w:szCs w:val="24"/>
              </w:rPr>
              <w:t>suderinti sprendimą su agentūra</w:t>
            </w:r>
            <w:r w:rsidRPr="00747181">
              <w:rPr>
                <w:rFonts w:ascii="Times New Roman" w:hAnsi="Times New Roman"/>
                <w:i/>
                <w:iCs/>
                <w:sz w:val="24"/>
                <w:szCs w:val="24"/>
              </w:rPr>
              <w:t xml:space="preserve">, </w:t>
            </w:r>
            <w:r w:rsidRPr="00747181">
              <w:rPr>
                <w:rFonts w:ascii="Times New Roman" w:hAnsi="Times New Roman"/>
                <w:sz w:val="24"/>
                <w:szCs w:val="24"/>
              </w:rPr>
              <w:t xml:space="preserve">siūloma nustatyti pareigą </w:t>
            </w:r>
            <w:r w:rsidRPr="00747181">
              <w:rPr>
                <w:rFonts w:ascii="Times New Roman" w:hAnsi="Times New Roman"/>
                <w:iCs/>
                <w:sz w:val="24"/>
                <w:szCs w:val="24"/>
              </w:rPr>
              <w:t>tik informuoti</w:t>
            </w:r>
            <w:r w:rsidRPr="00747181">
              <w:rPr>
                <w:rFonts w:ascii="Times New Roman" w:hAnsi="Times New Roman"/>
                <w:sz w:val="24"/>
                <w:szCs w:val="24"/>
              </w:rPr>
              <w:t xml:space="preserve"> agentūrą.</w:t>
            </w:r>
          </w:p>
        </w:tc>
        <w:tc>
          <w:tcPr>
            <w:tcW w:w="8789" w:type="dxa"/>
          </w:tcPr>
          <w:p w:rsidR="00B72FE4" w:rsidRPr="00747181" w:rsidRDefault="00B72FE4" w:rsidP="008A4A32">
            <w:pPr>
              <w:spacing w:after="0" w:line="240" w:lineRule="auto"/>
              <w:jc w:val="both"/>
              <w:rPr>
                <w:rFonts w:ascii="Times New Roman" w:hAnsi="Times New Roman"/>
                <w:b/>
                <w:sz w:val="24"/>
                <w:szCs w:val="24"/>
              </w:rPr>
            </w:pPr>
            <w:r w:rsidRPr="00747181">
              <w:rPr>
                <w:rFonts w:ascii="Times New Roman" w:hAnsi="Times New Roman"/>
                <w:b/>
                <w:sz w:val="24"/>
                <w:szCs w:val="24"/>
              </w:rPr>
              <w:t>Atsižvelgta.</w:t>
            </w:r>
          </w:p>
          <w:p w:rsidR="00B72FE4" w:rsidRPr="00747181" w:rsidRDefault="00B72FE4" w:rsidP="008A4A32">
            <w:pPr>
              <w:spacing w:after="0" w:line="240" w:lineRule="auto"/>
              <w:jc w:val="both"/>
              <w:rPr>
                <w:rFonts w:ascii="Times New Roman" w:hAnsi="Times New Roman"/>
                <w:sz w:val="24"/>
                <w:szCs w:val="24"/>
              </w:rPr>
            </w:pPr>
            <w:r w:rsidRPr="00747181">
              <w:rPr>
                <w:rFonts w:ascii="Times New Roman" w:hAnsi="Times New Roman"/>
                <w:sz w:val="24"/>
                <w:szCs w:val="24"/>
              </w:rPr>
              <w:t>Pagrindimas teikiamas lydimajame rašte.</w:t>
            </w:r>
          </w:p>
        </w:tc>
      </w:tr>
      <w:tr w:rsidR="00B72FE4" w:rsidRPr="00A84BE1" w:rsidTr="00CC1E69">
        <w:trPr>
          <w:trHeight w:val="626"/>
        </w:trPr>
        <w:tc>
          <w:tcPr>
            <w:tcW w:w="1843" w:type="dxa"/>
            <w:tcBorders>
              <w:top w:val="single" w:sz="4" w:space="0" w:color="auto"/>
              <w:bottom w:val="nil"/>
            </w:tcBorders>
          </w:tcPr>
          <w:p w:rsidR="00B72FE4" w:rsidRDefault="00B72FE4" w:rsidP="008607EB">
            <w:pPr>
              <w:spacing w:after="0" w:line="240" w:lineRule="auto"/>
              <w:jc w:val="center"/>
              <w:rPr>
                <w:rFonts w:ascii="Times New Roman" w:hAnsi="Times New Roman"/>
                <w:sz w:val="24"/>
                <w:szCs w:val="24"/>
              </w:rPr>
            </w:pPr>
          </w:p>
        </w:tc>
        <w:tc>
          <w:tcPr>
            <w:tcW w:w="4536" w:type="dxa"/>
            <w:tcBorders>
              <w:top w:val="single" w:sz="4" w:space="0" w:color="auto"/>
            </w:tcBorders>
          </w:tcPr>
          <w:p w:rsidR="00B72FE4" w:rsidRPr="00747181" w:rsidRDefault="00B72FE4" w:rsidP="00067B82">
            <w:pPr>
              <w:spacing w:after="0" w:line="240" w:lineRule="auto"/>
              <w:jc w:val="both"/>
              <w:rPr>
                <w:rFonts w:ascii="Times New Roman" w:hAnsi="Times New Roman"/>
                <w:sz w:val="24"/>
                <w:szCs w:val="24"/>
              </w:rPr>
            </w:pPr>
            <w:r w:rsidRPr="00747181">
              <w:rPr>
                <w:rFonts w:ascii="Times New Roman" w:hAnsi="Times New Roman"/>
                <w:sz w:val="24"/>
                <w:szCs w:val="24"/>
              </w:rPr>
              <w:t xml:space="preserve">Lydimojoje medžiagoje prašoma pagrįsti kodėl atsisakoma nuostatos, kad „darbų kaina nustatoma </w:t>
            </w:r>
            <w:r w:rsidRPr="00747181">
              <w:rPr>
                <w:rFonts w:ascii="Times New Roman" w:hAnsi="Times New Roman"/>
                <w:iCs/>
                <w:sz w:val="24"/>
                <w:szCs w:val="24"/>
              </w:rPr>
              <w:t>pagal kiekvieną investicijų plane numatytą priemonę</w:t>
            </w:r>
            <w:r w:rsidRPr="00747181">
              <w:rPr>
                <w:rFonts w:ascii="Times New Roman" w:hAnsi="Times New Roman"/>
                <w:sz w:val="24"/>
                <w:szCs w:val="24"/>
              </w:rPr>
              <w:t>“</w:t>
            </w:r>
          </w:p>
        </w:tc>
        <w:tc>
          <w:tcPr>
            <w:tcW w:w="8789" w:type="dxa"/>
          </w:tcPr>
          <w:p w:rsidR="00B72FE4" w:rsidRPr="00747181" w:rsidRDefault="00B72FE4" w:rsidP="00B72FE4">
            <w:pPr>
              <w:spacing w:after="0" w:line="240" w:lineRule="auto"/>
              <w:jc w:val="both"/>
              <w:rPr>
                <w:rFonts w:ascii="Times New Roman" w:hAnsi="Times New Roman"/>
                <w:b/>
                <w:sz w:val="24"/>
                <w:szCs w:val="24"/>
              </w:rPr>
            </w:pPr>
            <w:r w:rsidRPr="00747181">
              <w:rPr>
                <w:rFonts w:ascii="Times New Roman" w:hAnsi="Times New Roman"/>
                <w:b/>
                <w:sz w:val="24"/>
                <w:szCs w:val="24"/>
              </w:rPr>
              <w:t>Atsižvelgta.</w:t>
            </w:r>
          </w:p>
          <w:p w:rsidR="00B72FE4" w:rsidRPr="00747181" w:rsidRDefault="00B72FE4" w:rsidP="00B72FE4">
            <w:pPr>
              <w:spacing w:after="0" w:line="240" w:lineRule="auto"/>
              <w:jc w:val="both"/>
              <w:rPr>
                <w:rFonts w:ascii="Times New Roman" w:hAnsi="Times New Roman"/>
                <w:sz w:val="24"/>
                <w:szCs w:val="24"/>
              </w:rPr>
            </w:pPr>
            <w:r w:rsidRPr="00747181">
              <w:rPr>
                <w:rFonts w:ascii="Times New Roman" w:hAnsi="Times New Roman"/>
                <w:sz w:val="24"/>
                <w:szCs w:val="24"/>
              </w:rPr>
              <w:t>Pagrindimas teikiamas lydimajame rašte.</w:t>
            </w:r>
          </w:p>
        </w:tc>
      </w:tr>
      <w:tr w:rsidR="00B72FE4" w:rsidRPr="00A84BE1" w:rsidTr="00A9700C">
        <w:trPr>
          <w:trHeight w:val="626"/>
        </w:trPr>
        <w:tc>
          <w:tcPr>
            <w:tcW w:w="1843" w:type="dxa"/>
            <w:tcBorders>
              <w:top w:val="nil"/>
              <w:bottom w:val="nil"/>
            </w:tcBorders>
          </w:tcPr>
          <w:p w:rsidR="00B72FE4" w:rsidRDefault="00B72FE4" w:rsidP="008607EB">
            <w:pPr>
              <w:spacing w:after="0" w:line="240" w:lineRule="auto"/>
              <w:jc w:val="center"/>
              <w:rPr>
                <w:rFonts w:ascii="Times New Roman" w:hAnsi="Times New Roman"/>
                <w:sz w:val="24"/>
                <w:szCs w:val="24"/>
              </w:rPr>
            </w:pPr>
          </w:p>
        </w:tc>
        <w:tc>
          <w:tcPr>
            <w:tcW w:w="4536" w:type="dxa"/>
          </w:tcPr>
          <w:p w:rsidR="00B72FE4" w:rsidRPr="00747181" w:rsidRDefault="00B72FE4" w:rsidP="00B72FE4">
            <w:pPr>
              <w:spacing w:after="0" w:line="240" w:lineRule="auto"/>
              <w:jc w:val="both"/>
              <w:rPr>
                <w:rFonts w:ascii="Times New Roman" w:hAnsi="Times New Roman"/>
                <w:sz w:val="24"/>
                <w:szCs w:val="24"/>
              </w:rPr>
            </w:pPr>
            <w:r w:rsidRPr="00747181">
              <w:rPr>
                <w:rFonts w:ascii="Times New Roman" w:hAnsi="Times New Roman"/>
                <w:sz w:val="24"/>
                <w:szCs w:val="24"/>
              </w:rPr>
              <w:t>Lydimojoje medžiagoje prašoma pagrįsti kodėl pagal siūloma pratęsti terminą iki 2017 m. lapkričio 1 d. parengtiems daugiabučių namų atnaujinimo (modernizavimo) projektams, kuriems įgyvendinti iki šio nutarimo įsigaliojimo dienos sudaryta statybos rangos darbų sutartis ir kredito sutartis, ir kurių įgyvendinimo terminas baigiasi 2020 m. gruodžio 31 d.</w:t>
            </w:r>
          </w:p>
        </w:tc>
        <w:tc>
          <w:tcPr>
            <w:tcW w:w="8789" w:type="dxa"/>
          </w:tcPr>
          <w:p w:rsidR="00A9700C" w:rsidRPr="00747181" w:rsidRDefault="00A9700C" w:rsidP="00A9700C">
            <w:pPr>
              <w:spacing w:after="0" w:line="240" w:lineRule="auto"/>
              <w:jc w:val="both"/>
              <w:rPr>
                <w:rFonts w:ascii="Times New Roman" w:hAnsi="Times New Roman"/>
                <w:b/>
                <w:sz w:val="24"/>
                <w:szCs w:val="24"/>
              </w:rPr>
            </w:pPr>
            <w:r w:rsidRPr="00747181">
              <w:rPr>
                <w:rFonts w:ascii="Times New Roman" w:hAnsi="Times New Roman"/>
                <w:b/>
                <w:sz w:val="24"/>
                <w:szCs w:val="24"/>
              </w:rPr>
              <w:t>Atsižvelgta.</w:t>
            </w:r>
          </w:p>
          <w:p w:rsidR="00B72FE4" w:rsidRPr="00747181" w:rsidRDefault="00A9700C" w:rsidP="00A9700C">
            <w:pPr>
              <w:spacing w:after="0" w:line="240" w:lineRule="auto"/>
              <w:jc w:val="both"/>
              <w:rPr>
                <w:rFonts w:ascii="Times New Roman" w:hAnsi="Times New Roman"/>
                <w:sz w:val="24"/>
                <w:szCs w:val="24"/>
              </w:rPr>
            </w:pPr>
            <w:r w:rsidRPr="00747181">
              <w:rPr>
                <w:rFonts w:ascii="Times New Roman" w:hAnsi="Times New Roman"/>
                <w:sz w:val="24"/>
                <w:szCs w:val="24"/>
              </w:rPr>
              <w:t>Pagrindimas teikiamas lydimajame rašte.</w:t>
            </w:r>
          </w:p>
        </w:tc>
      </w:tr>
      <w:tr w:rsidR="00A9700C" w:rsidRPr="00A84BE1" w:rsidTr="002431DE">
        <w:trPr>
          <w:trHeight w:val="626"/>
        </w:trPr>
        <w:tc>
          <w:tcPr>
            <w:tcW w:w="1843" w:type="dxa"/>
            <w:tcBorders>
              <w:top w:val="nil"/>
              <w:bottom w:val="nil"/>
            </w:tcBorders>
          </w:tcPr>
          <w:p w:rsidR="00A9700C" w:rsidRDefault="00A9700C" w:rsidP="008607EB">
            <w:pPr>
              <w:spacing w:after="0" w:line="240" w:lineRule="auto"/>
              <w:jc w:val="center"/>
              <w:rPr>
                <w:rFonts w:ascii="Times New Roman" w:hAnsi="Times New Roman"/>
                <w:sz w:val="24"/>
                <w:szCs w:val="24"/>
              </w:rPr>
            </w:pPr>
          </w:p>
        </w:tc>
        <w:tc>
          <w:tcPr>
            <w:tcW w:w="4536" w:type="dxa"/>
          </w:tcPr>
          <w:p w:rsidR="00A9700C" w:rsidRPr="00747181" w:rsidRDefault="00A9700C" w:rsidP="00A9700C">
            <w:pPr>
              <w:spacing w:after="0" w:line="240" w:lineRule="auto"/>
              <w:jc w:val="both"/>
              <w:rPr>
                <w:rFonts w:ascii="Times New Roman" w:hAnsi="Times New Roman"/>
                <w:sz w:val="24"/>
                <w:szCs w:val="24"/>
              </w:rPr>
            </w:pPr>
            <w:r w:rsidRPr="00747181">
              <w:rPr>
                <w:rFonts w:ascii="Times New Roman" w:hAnsi="Times New Roman"/>
                <w:sz w:val="24"/>
                <w:szCs w:val="24"/>
              </w:rPr>
              <w:t xml:space="preserve">Dėl Projekte dėstomo Taisyklių 21 p. nuostatos: siekiant teisinio reguliavimo nuoseklumo Taisyklėse neturėtų būti įtvirtinamos atskiros materialiosios teisės normos, reglamentuojančios, kokiais atvejais galėtų būti keičiama valstybės paramos sutartis, neaišku, ar nuostata, kad investicijų planas nėra keičiamas yra taisyklė, t. y. kad jis neturėtų būti keičiamas, Taip pat diskutuotinas nuostatos suderinamumas su kitomis Taisyklių 21 p. nuostatomis. </w:t>
            </w:r>
          </w:p>
        </w:tc>
        <w:tc>
          <w:tcPr>
            <w:tcW w:w="8789" w:type="dxa"/>
          </w:tcPr>
          <w:p w:rsidR="00A9700C" w:rsidRPr="00747181" w:rsidRDefault="00A9700C" w:rsidP="00A9700C">
            <w:pPr>
              <w:spacing w:after="0" w:line="240" w:lineRule="auto"/>
              <w:jc w:val="both"/>
              <w:rPr>
                <w:rFonts w:ascii="Times New Roman" w:hAnsi="Times New Roman"/>
                <w:b/>
                <w:sz w:val="24"/>
                <w:szCs w:val="24"/>
              </w:rPr>
            </w:pPr>
            <w:r w:rsidRPr="00747181">
              <w:rPr>
                <w:rFonts w:ascii="Times New Roman" w:hAnsi="Times New Roman"/>
                <w:b/>
                <w:sz w:val="24"/>
                <w:szCs w:val="24"/>
              </w:rPr>
              <w:t>Atsižvelgta.</w:t>
            </w:r>
          </w:p>
          <w:p w:rsidR="00A9700C" w:rsidRPr="00747181" w:rsidRDefault="00A9700C" w:rsidP="00A9700C">
            <w:pPr>
              <w:spacing w:after="0" w:line="240" w:lineRule="auto"/>
              <w:jc w:val="both"/>
              <w:rPr>
                <w:rFonts w:ascii="Times New Roman" w:hAnsi="Times New Roman"/>
                <w:sz w:val="24"/>
                <w:szCs w:val="24"/>
              </w:rPr>
            </w:pPr>
            <w:r w:rsidRPr="00747181">
              <w:rPr>
                <w:rFonts w:ascii="Times New Roman" w:hAnsi="Times New Roman"/>
                <w:sz w:val="24"/>
                <w:szCs w:val="24"/>
              </w:rPr>
              <w:t>Projekte dėstomo Taisyklių 21 punkto nuostatos atsisakyta.</w:t>
            </w:r>
          </w:p>
        </w:tc>
      </w:tr>
      <w:tr w:rsidR="002431DE" w:rsidRPr="00A84BE1" w:rsidTr="00CC1E69">
        <w:trPr>
          <w:trHeight w:val="626"/>
        </w:trPr>
        <w:tc>
          <w:tcPr>
            <w:tcW w:w="1843" w:type="dxa"/>
            <w:tcBorders>
              <w:top w:val="nil"/>
              <w:bottom w:val="single" w:sz="4" w:space="0" w:color="auto"/>
            </w:tcBorders>
          </w:tcPr>
          <w:p w:rsidR="002431DE" w:rsidRDefault="002431DE" w:rsidP="008607EB">
            <w:pPr>
              <w:spacing w:after="0" w:line="240" w:lineRule="auto"/>
              <w:jc w:val="center"/>
              <w:rPr>
                <w:rFonts w:ascii="Times New Roman" w:hAnsi="Times New Roman"/>
                <w:sz w:val="24"/>
                <w:szCs w:val="24"/>
              </w:rPr>
            </w:pPr>
          </w:p>
        </w:tc>
        <w:tc>
          <w:tcPr>
            <w:tcW w:w="4536" w:type="dxa"/>
            <w:tcBorders>
              <w:bottom w:val="single" w:sz="4" w:space="0" w:color="auto"/>
            </w:tcBorders>
          </w:tcPr>
          <w:p w:rsidR="002431DE" w:rsidRPr="00747181" w:rsidRDefault="002431DE" w:rsidP="002431DE">
            <w:pPr>
              <w:spacing w:after="0" w:line="240" w:lineRule="auto"/>
              <w:jc w:val="both"/>
              <w:rPr>
                <w:rFonts w:ascii="Times New Roman" w:hAnsi="Times New Roman"/>
                <w:sz w:val="24"/>
                <w:szCs w:val="24"/>
              </w:rPr>
            </w:pPr>
            <w:r w:rsidRPr="00747181">
              <w:rPr>
                <w:rFonts w:ascii="Times New Roman" w:hAnsi="Times New Roman"/>
                <w:sz w:val="24"/>
                <w:szCs w:val="24"/>
              </w:rPr>
              <w:t xml:space="preserve">Projekte dėstomame Taisyklių 24 p. siūloma pavesti agentūros direktoriui patvirtinti statybos rangos darbų priėmimo ir perdavimo akto formą, </w:t>
            </w:r>
            <w:r w:rsidRPr="00747181">
              <w:rPr>
                <w:rFonts w:ascii="Times New Roman" w:hAnsi="Times New Roman"/>
                <w:i/>
                <w:iCs/>
                <w:sz w:val="24"/>
                <w:szCs w:val="24"/>
              </w:rPr>
              <w:t xml:space="preserve">t. y. </w:t>
            </w:r>
            <w:r w:rsidRPr="00747181">
              <w:rPr>
                <w:rFonts w:ascii="Times New Roman" w:hAnsi="Times New Roman"/>
                <w:sz w:val="24"/>
                <w:szCs w:val="24"/>
              </w:rPr>
              <w:t xml:space="preserve">iš esmės </w:t>
            </w:r>
            <w:r w:rsidRPr="00747181">
              <w:rPr>
                <w:rFonts w:ascii="Times New Roman" w:hAnsi="Times New Roman"/>
                <w:i/>
                <w:iCs/>
                <w:sz w:val="24"/>
                <w:szCs w:val="24"/>
              </w:rPr>
              <w:t xml:space="preserve">priimti norminį administracinį aktą. </w:t>
            </w:r>
            <w:r w:rsidRPr="00747181">
              <w:rPr>
                <w:rFonts w:ascii="Times New Roman" w:hAnsi="Times New Roman"/>
                <w:sz w:val="24"/>
                <w:szCs w:val="24"/>
              </w:rPr>
              <w:t xml:space="preserve">Tokia nuostata neatitiktų Lietuvos Respublikos viešojo administravimo įstatymo (toliau – VAĮ) 5 str. 2 d. 2 p. nuostatų. </w:t>
            </w:r>
          </w:p>
        </w:tc>
        <w:tc>
          <w:tcPr>
            <w:tcW w:w="8789" w:type="dxa"/>
          </w:tcPr>
          <w:p w:rsidR="002431DE" w:rsidRPr="00747181" w:rsidRDefault="002431DE" w:rsidP="00A9700C">
            <w:pPr>
              <w:spacing w:after="0" w:line="240" w:lineRule="auto"/>
              <w:jc w:val="both"/>
              <w:rPr>
                <w:rFonts w:ascii="Times New Roman" w:hAnsi="Times New Roman"/>
                <w:b/>
                <w:sz w:val="24"/>
                <w:szCs w:val="24"/>
              </w:rPr>
            </w:pPr>
            <w:r w:rsidRPr="00747181">
              <w:rPr>
                <w:rFonts w:ascii="Times New Roman" w:hAnsi="Times New Roman"/>
                <w:b/>
                <w:sz w:val="24"/>
                <w:szCs w:val="24"/>
              </w:rPr>
              <w:t>Atsižvelgta.</w:t>
            </w:r>
          </w:p>
          <w:p w:rsidR="002431DE" w:rsidRPr="00747181" w:rsidRDefault="002431DE" w:rsidP="00A9700C">
            <w:pPr>
              <w:spacing w:after="0" w:line="240" w:lineRule="auto"/>
              <w:jc w:val="both"/>
              <w:rPr>
                <w:rFonts w:ascii="Times New Roman" w:hAnsi="Times New Roman"/>
                <w:sz w:val="24"/>
                <w:szCs w:val="24"/>
              </w:rPr>
            </w:pPr>
            <w:r w:rsidRPr="00747181">
              <w:rPr>
                <w:rFonts w:ascii="Times New Roman" w:hAnsi="Times New Roman"/>
                <w:sz w:val="24"/>
                <w:szCs w:val="24"/>
              </w:rPr>
              <w:t>Projekte dėstomo Taisyklių 24 punkto nuostatos atsisakyta.</w:t>
            </w:r>
          </w:p>
        </w:tc>
      </w:tr>
      <w:tr w:rsidR="002431DE" w:rsidRPr="00A84BE1" w:rsidTr="00CC1E69">
        <w:trPr>
          <w:trHeight w:val="626"/>
        </w:trPr>
        <w:tc>
          <w:tcPr>
            <w:tcW w:w="1843" w:type="dxa"/>
            <w:tcBorders>
              <w:top w:val="single" w:sz="4" w:space="0" w:color="auto"/>
              <w:bottom w:val="nil"/>
            </w:tcBorders>
          </w:tcPr>
          <w:p w:rsidR="002431DE" w:rsidRDefault="002431DE" w:rsidP="008607EB">
            <w:pPr>
              <w:spacing w:after="0" w:line="240" w:lineRule="auto"/>
              <w:jc w:val="center"/>
              <w:rPr>
                <w:rFonts w:ascii="Times New Roman" w:hAnsi="Times New Roman"/>
                <w:sz w:val="24"/>
                <w:szCs w:val="24"/>
              </w:rPr>
            </w:pPr>
          </w:p>
        </w:tc>
        <w:tc>
          <w:tcPr>
            <w:tcW w:w="4536" w:type="dxa"/>
            <w:tcBorders>
              <w:top w:val="single" w:sz="4" w:space="0" w:color="auto"/>
            </w:tcBorders>
          </w:tcPr>
          <w:p w:rsidR="002431DE" w:rsidRPr="00747181" w:rsidRDefault="002431DE" w:rsidP="002431DE">
            <w:pPr>
              <w:spacing w:after="0" w:line="240" w:lineRule="auto"/>
              <w:jc w:val="both"/>
              <w:rPr>
                <w:rFonts w:ascii="Times New Roman" w:hAnsi="Times New Roman"/>
                <w:sz w:val="24"/>
                <w:szCs w:val="24"/>
              </w:rPr>
            </w:pPr>
            <w:r w:rsidRPr="00747181">
              <w:rPr>
                <w:rFonts w:ascii="Times New Roman" w:hAnsi="Times New Roman"/>
                <w:sz w:val="24"/>
                <w:szCs w:val="24"/>
              </w:rPr>
              <w:t xml:space="preserve">Projekte dėstomame Taisyklių 39.2 p. siūloma prie valstybės paramos </w:t>
            </w:r>
            <w:r w:rsidRPr="00747181">
              <w:rPr>
                <w:rFonts w:ascii="Times New Roman" w:hAnsi="Times New Roman"/>
                <w:i/>
                <w:iCs/>
                <w:sz w:val="24"/>
                <w:szCs w:val="24"/>
              </w:rPr>
              <w:t>projektui parengti</w:t>
            </w:r>
            <w:r w:rsidRPr="00747181">
              <w:rPr>
                <w:rFonts w:ascii="Times New Roman" w:hAnsi="Times New Roman"/>
                <w:sz w:val="24"/>
                <w:szCs w:val="24"/>
              </w:rPr>
              <w:t xml:space="preserve"> priskirti, be kita ko, ir pastato sandarumo matavimo, reikalingo pastato energinio naudingumo sertifikatui parengti, išlaidų kompensavimą. Viena vertus, lydimojoje medžiagoje nėra pagrįstas keitimo poreikis (apsiribojama tik nuostatų įtvirtinimo konstatavimu), kita vertus, nėra pagrįsta, ar tokie pastato sandarumo matavimai gali būti priskirti prie projekto</w:t>
            </w:r>
            <w:r w:rsidRPr="00747181">
              <w:rPr>
                <w:rFonts w:ascii="Times New Roman" w:hAnsi="Times New Roman"/>
                <w:i/>
                <w:iCs/>
                <w:sz w:val="24"/>
                <w:szCs w:val="24"/>
              </w:rPr>
              <w:t xml:space="preserve"> parengimo </w:t>
            </w:r>
            <w:r w:rsidRPr="00747181">
              <w:rPr>
                <w:rFonts w:ascii="Times New Roman" w:hAnsi="Times New Roman"/>
                <w:sz w:val="24"/>
                <w:szCs w:val="24"/>
              </w:rPr>
              <w:t xml:space="preserve">Lietuvos Respublikos valstybės paramos daugiabučiams namams atnaujinti (modernizuoti) įstatymo 3 str. 1 d. 1 ir 2 p. (šiuose punktuose nustatyti paramos teikimo </w:t>
            </w:r>
            <w:r w:rsidRPr="00747181">
              <w:rPr>
                <w:rFonts w:ascii="Times New Roman" w:hAnsi="Times New Roman"/>
                <w:i/>
                <w:iCs/>
                <w:sz w:val="24"/>
                <w:szCs w:val="24"/>
              </w:rPr>
              <w:t>projektui parengti</w:t>
            </w:r>
            <w:r w:rsidRPr="00747181">
              <w:rPr>
                <w:rFonts w:ascii="Times New Roman" w:hAnsi="Times New Roman"/>
                <w:sz w:val="24"/>
                <w:szCs w:val="24"/>
              </w:rPr>
              <w:t xml:space="preserve"> atvejai) nuostatų kontekste.</w:t>
            </w:r>
          </w:p>
          <w:p w:rsidR="002431DE" w:rsidRPr="00747181" w:rsidRDefault="002431DE" w:rsidP="002431DE">
            <w:pPr>
              <w:spacing w:after="0" w:line="240" w:lineRule="auto"/>
              <w:jc w:val="both"/>
              <w:rPr>
                <w:rFonts w:ascii="Times New Roman" w:hAnsi="Times New Roman"/>
                <w:sz w:val="24"/>
                <w:szCs w:val="24"/>
              </w:rPr>
            </w:pPr>
          </w:p>
        </w:tc>
        <w:tc>
          <w:tcPr>
            <w:tcW w:w="8789" w:type="dxa"/>
          </w:tcPr>
          <w:p w:rsidR="002431DE" w:rsidRPr="00747181" w:rsidRDefault="002431DE" w:rsidP="00A9700C">
            <w:pPr>
              <w:spacing w:after="0" w:line="240" w:lineRule="auto"/>
              <w:jc w:val="both"/>
              <w:rPr>
                <w:rFonts w:ascii="Times New Roman" w:hAnsi="Times New Roman"/>
                <w:b/>
                <w:sz w:val="24"/>
                <w:szCs w:val="24"/>
              </w:rPr>
            </w:pPr>
            <w:r w:rsidRPr="00747181">
              <w:rPr>
                <w:rFonts w:ascii="Times New Roman" w:hAnsi="Times New Roman"/>
                <w:b/>
                <w:sz w:val="24"/>
                <w:szCs w:val="24"/>
              </w:rPr>
              <w:t>Atsižvelgta.</w:t>
            </w:r>
          </w:p>
          <w:p w:rsidR="002431DE" w:rsidRPr="00747181" w:rsidRDefault="002431DE" w:rsidP="00A9700C">
            <w:pPr>
              <w:spacing w:after="0" w:line="240" w:lineRule="auto"/>
              <w:jc w:val="both"/>
              <w:rPr>
                <w:rFonts w:ascii="Times New Roman" w:hAnsi="Times New Roman"/>
                <w:sz w:val="24"/>
                <w:szCs w:val="24"/>
              </w:rPr>
            </w:pPr>
            <w:r w:rsidRPr="00747181">
              <w:rPr>
                <w:rFonts w:ascii="Times New Roman" w:hAnsi="Times New Roman"/>
                <w:sz w:val="24"/>
                <w:szCs w:val="24"/>
              </w:rPr>
              <w:t>Projekte dėstomame Taisyklių 39.2 papunkčio nuostata patikslinta, nurodant, kad ,,pastato energinio naudingumo sertifikato (įskaitant pastato sandarumo matavimo išlaidas),</w:t>
            </w:r>
            <w:r w:rsidRPr="00747181">
              <w:rPr>
                <w:rFonts w:ascii="Times New Roman" w:eastAsia="Times New Roman" w:hAnsi="Times New Roman"/>
                <w:sz w:val="24"/>
                <w:szCs w:val="24"/>
                <w:lang w:eastAsia="lt-LT"/>
              </w:rPr>
              <w:t xml:space="preserve"> </w:t>
            </w:r>
            <w:r w:rsidRPr="00747181">
              <w:rPr>
                <w:rFonts w:ascii="Times New Roman" w:hAnsi="Times New Roman"/>
                <w:sz w:val="24"/>
                <w:szCs w:val="24"/>
              </w:rPr>
              <w:t>parengto ir išduoto po atnaujinimo (modernizavimo) priemonių įgyvendinimo, parengimo išlaidas“.</w:t>
            </w:r>
          </w:p>
        </w:tc>
      </w:tr>
      <w:tr w:rsidR="00F52A00" w:rsidRPr="00F52A00" w:rsidTr="002431DE">
        <w:trPr>
          <w:trHeight w:val="626"/>
        </w:trPr>
        <w:tc>
          <w:tcPr>
            <w:tcW w:w="1843" w:type="dxa"/>
            <w:tcBorders>
              <w:top w:val="nil"/>
              <w:bottom w:val="nil"/>
            </w:tcBorders>
          </w:tcPr>
          <w:p w:rsidR="002431DE" w:rsidRPr="00F52A00" w:rsidRDefault="002431DE" w:rsidP="008607EB">
            <w:pPr>
              <w:spacing w:after="0" w:line="240" w:lineRule="auto"/>
              <w:jc w:val="center"/>
              <w:rPr>
                <w:rFonts w:ascii="Times New Roman" w:hAnsi="Times New Roman"/>
                <w:color w:val="FF0000"/>
                <w:sz w:val="24"/>
                <w:szCs w:val="24"/>
              </w:rPr>
            </w:pPr>
          </w:p>
        </w:tc>
        <w:tc>
          <w:tcPr>
            <w:tcW w:w="4536" w:type="dxa"/>
          </w:tcPr>
          <w:p w:rsidR="002431DE" w:rsidRPr="00747181" w:rsidRDefault="002431DE" w:rsidP="002431DE">
            <w:pPr>
              <w:spacing w:after="0" w:line="240" w:lineRule="auto"/>
              <w:jc w:val="both"/>
              <w:rPr>
                <w:rFonts w:ascii="Times New Roman" w:hAnsi="Times New Roman"/>
                <w:sz w:val="24"/>
                <w:szCs w:val="24"/>
              </w:rPr>
            </w:pPr>
            <w:r w:rsidRPr="00747181">
              <w:rPr>
                <w:rFonts w:ascii="Times New Roman" w:hAnsi="Times New Roman"/>
                <w:sz w:val="24"/>
                <w:szCs w:val="24"/>
              </w:rPr>
              <w:t>Siūlytina Projekto 3.1 p. kaip perteklinius išbraukti žodžius „kuriuo keičiamas Valstybės paramos daugiabučiams namams atnaujinti (modernizuoti) teikimo ir daugiabučių namų atnaujinimo (modernizavimo) projektų įgyvendinimo priežiūros taisyklių 39.2 papunktis“.</w:t>
            </w:r>
          </w:p>
          <w:p w:rsidR="002431DE" w:rsidRPr="00747181" w:rsidRDefault="002431DE" w:rsidP="002431DE">
            <w:pPr>
              <w:spacing w:after="0" w:line="240" w:lineRule="auto"/>
              <w:jc w:val="both"/>
              <w:rPr>
                <w:rFonts w:ascii="Times New Roman" w:hAnsi="Times New Roman"/>
                <w:sz w:val="24"/>
                <w:szCs w:val="24"/>
              </w:rPr>
            </w:pPr>
          </w:p>
        </w:tc>
        <w:tc>
          <w:tcPr>
            <w:tcW w:w="8789" w:type="dxa"/>
          </w:tcPr>
          <w:p w:rsidR="002431DE" w:rsidRPr="00747181" w:rsidRDefault="002431DE" w:rsidP="00A9700C">
            <w:pPr>
              <w:spacing w:after="0" w:line="240" w:lineRule="auto"/>
              <w:jc w:val="both"/>
              <w:rPr>
                <w:rFonts w:ascii="Times New Roman" w:hAnsi="Times New Roman"/>
                <w:b/>
                <w:sz w:val="24"/>
                <w:szCs w:val="24"/>
              </w:rPr>
            </w:pPr>
            <w:r w:rsidRPr="00747181">
              <w:rPr>
                <w:rFonts w:ascii="Times New Roman" w:hAnsi="Times New Roman"/>
                <w:b/>
                <w:sz w:val="24"/>
                <w:szCs w:val="24"/>
              </w:rPr>
              <w:t>Atsižvelgta.</w:t>
            </w:r>
          </w:p>
          <w:p w:rsidR="002431DE" w:rsidRPr="00747181" w:rsidRDefault="002431DE" w:rsidP="00A9700C">
            <w:pPr>
              <w:spacing w:after="0" w:line="240" w:lineRule="auto"/>
              <w:jc w:val="both"/>
              <w:rPr>
                <w:rFonts w:ascii="Times New Roman" w:hAnsi="Times New Roman"/>
                <w:sz w:val="24"/>
                <w:szCs w:val="24"/>
              </w:rPr>
            </w:pPr>
            <w:r w:rsidRPr="00747181">
              <w:rPr>
                <w:rFonts w:ascii="Times New Roman" w:hAnsi="Times New Roman"/>
                <w:sz w:val="24"/>
                <w:szCs w:val="24"/>
              </w:rPr>
              <w:t>Projekto 3.1 papunktis koreguotas, atsižvelgiant į pastabą.</w:t>
            </w:r>
          </w:p>
        </w:tc>
      </w:tr>
      <w:tr w:rsidR="00F52A00" w:rsidRPr="00F52A00" w:rsidTr="00CC1E69">
        <w:trPr>
          <w:trHeight w:val="626"/>
        </w:trPr>
        <w:tc>
          <w:tcPr>
            <w:tcW w:w="1843" w:type="dxa"/>
            <w:tcBorders>
              <w:top w:val="nil"/>
              <w:bottom w:val="single" w:sz="4" w:space="0" w:color="auto"/>
            </w:tcBorders>
          </w:tcPr>
          <w:p w:rsidR="002431DE" w:rsidRPr="00F52A00" w:rsidRDefault="002431DE" w:rsidP="008607EB">
            <w:pPr>
              <w:spacing w:after="0" w:line="240" w:lineRule="auto"/>
              <w:jc w:val="center"/>
              <w:rPr>
                <w:rFonts w:ascii="Times New Roman" w:hAnsi="Times New Roman"/>
                <w:color w:val="FF0000"/>
                <w:sz w:val="24"/>
                <w:szCs w:val="24"/>
                <w:highlight w:val="yellow"/>
              </w:rPr>
            </w:pPr>
          </w:p>
        </w:tc>
        <w:tc>
          <w:tcPr>
            <w:tcW w:w="4536" w:type="dxa"/>
            <w:tcBorders>
              <w:bottom w:val="single" w:sz="4" w:space="0" w:color="auto"/>
            </w:tcBorders>
          </w:tcPr>
          <w:p w:rsidR="002431DE" w:rsidRPr="00747181" w:rsidRDefault="002431DE" w:rsidP="002431DE">
            <w:pPr>
              <w:spacing w:after="0" w:line="240" w:lineRule="auto"/>
              <w:jc w:val="both"/>
              <w:rPr>
                <w:rFonts w:ascii="Times New Roman" w:hAnsi="Times New Roman"/>
                <w:sz w:val="24"/>
                <w:szCs w:val="24"/>
              </w:rPr>
            </w:pPr>
            <w:r w:rsidRPr="00747181">
              <w:rPr>
                <w:rFonts w:ascii="Times New Roman" w:hAnsi="Times New Roman"/>
                <w:sz w:val="24"/>
                <w:szCs w:val="24"/>
              </w:rPr>
              <w:t xml:space="preserve">Projekto 3.1 p. veikiausiai siekta nustatyti, kad naujos Taisyklių 39.2 p. nuostatos būtų taikomos </w:t>
            </w:r>
            <w:r w:rsidRPr="00747181">
              <w:rPr>
                <w:rFonts w:ascii="Times New Roman" w:hAnsi="Times New Roman"/>
                <w:i/>
                <w:iCs/>
                <w:sz w:val="24"/>
                <w:szCs w:val="24"/>
              </w:rPr>
              <w:t xml:space="preserve">taip pat ir </w:t>
            </w:r>
            <w:r w:rsidRPr="00747181">
              <w:rPr>
                <w:rFonts w:ascii="Times New Roman" w:hAnsi="Times New Roman"/>
                <w:sz w:val="24"/>
                <w:szCs w:val="24"/>
              </w:rPr>
              <w:t xml:space="preserve">daugiabučio namo atnaujinimo (modernizavimo) projektams, parengtiems ir/ar vykdomiems iki šio nutarimo įsigaliojimo dienos, nes iš siūlomos Projekto 3.1 p. redakcijos galima būtų suprasti, kad naujai rengiamiems projektams naujų nuostatų taikymas </w:t>
            </w:r>
            <w:r w:rsidRPr="00747181">
              <w:rPr>
                <w:rFonts w:ascii="Times New Roman" w:hAnsi="Times New Roman"/>
                <w:sz w:val="24"/>
                <w:szCs w:val="24"/>
              </w:rPr>
              <w:lastRenderedPageBreak/>
              <w:t>negalimas</w:t>
            </w:r>
          </w:p>
        </w:tc>
        <w:tc>
          <w:tcPr>
            <w:tcW w:w="8789" w:type="dxa"/>
          </w:tcPr>
          <w:p w:rsidR="002431DE" w:rsidRPr="00747181" w:rsidRDefault="002431DE" w:rsidP="00A9700C">
            <w:pPr>
              <w:spacing w:after="0" w:line="240" w:lineRule="auto"/>
              <w:jc w:val="both"/>
              <w:rPr>
                <w:rFonts w:ascii="Times New Roman" w:hAnsi="Times New Roman"/>
                <w:b/>
                <w:sz w:val="24"/>
                <w:szCs w:val="24"/>
              </w:rPr>
            </w:pPr>
            <w:r w:rsidRPr="00747181">
              <w:rPr>
                <w:rFonts w:ascii="Times New Roman" w:hAnsi="Times New Roman"/>
                <w:b/>
                <w:sz w:val="24"/>
                <w:szCs w:val="24"/>
              </w:rPr>
              <w:lastRenderedPageBreak/>
              <w:t>Atsižvelgta.</w:t>
            </w:r>
          </w:p>
          <w:p w:rsidR="002431DE" w:rsidRPr="00747181" w:rsidRDefault="002431DE" w:rsidP="00A9700C">
            <w:pPr>
              <w:spacing w:after="0" w:line="240" w:lineRule="auto"/>
              <w:jc w:val="both"/>
              <w:rPr>
                <w:rFonts w:ascii="Times New Roman" w:hAnsi="Times New Roman"/>
                <w:sz w:val="24"/>
                <w:szCs w:val="24"/>
              </w:rPr>
            </w:pPr>
            <w:r w:rsidRPr="00747181">
              <w:rPr>
                <w:rFonts w:ascii="Times New Roman" w:hAnsi="Times New Roman"/>
                <w:sz w:val="24"/>
                <w:szCs w:val="24"/>
              </w:rPr>
              <w:t>Projekto 3.1 papunktis koreguotas, atsižvelgiant į pastabą.</w:t>
            </w:r>
          </w:p>
        </w:tc>
      </w:tr>
      <w:tr w:rsidR="00F52A00" w:rsidRPr="00F52A00" w:rsidTr="00F52A00">
        <w:trPr>
          <w:trHeight w:val="626"/>
        </w:trPr>
        <w:tc>
          <w:tcPr>
            <w:tcW w:w="1843" w:type="dxa"/>
            <w:tcBorders>
              <w:top w:val="single" w:sz="4" w:space="0" w:color="auto"/>
              <w:bottom w:val="single" w:sz="4" w:space="0" w:color="auto"/>
            </w:tcBorders>
          </w:tcPr>
          <w:p w:rsidR="005514C6" w:rsidRPr="00F52A00" w:rsidRDefault="005514C6" w:rsidP="008607EB">
            <w:pPr>
              <w:spacing w:after="0" w:line="240" w:lineRule="auto"/>
              <w:jc w:val="center"/>
              <w:rPr>
                <w:rFonts w:ascii="Times New Roman" w:hAnsi="Times New Roman"/>
                <w:color w:val="FF0000"/>
                <w:sz w:val="24"/>
                <w:szCs w:val="24"/>
                <w:highlight w:val="yellow"/>
              </w:rPr>
            </w:pPr>
          </w:p>
        </w:tc>
        <w:tc>
          <w:tcPr>
            <w:tcW w:w="4536" w:type="dxa"/>
            <w:tcBorders>
              <w:top w:val="single" w:sz="4" w:space="0" w:color="auto"/>
              <w:bottom w:val="single" w:sz="4" w:space="0" w:color="auto"/>
            </w:tcBorders>
          </w:tcPr>
          <w:p w:rsidR="005514C6" w:rsidRPr="00747181" w:rsidRDefault="005514C6" w:rsidP="005514C6">
            <w:pPr>
              <w:spacing w:after="0" w:line="240" w:lineRule="auto"/>
              <w:jc w:val="both"/>
              <w:rPr>
                <w:rFonts w:ascii="Times New Roman" w:hAnsi="Times New Roman"/>
                <w:sz w:val="24"/>
                <w:szCs w:val="24"/>
              </w:rPr>
            </w:pPr>
            <w:r w:rsidRPr="00747181">
              <w:rPr>
                <w:rFonts w:ascii="Times New Roman" w:hAnsi="Times New Roman"/>
                <w:sz w:val="24"/>
                <w:szCs w:val="24"/>
              </w:rPr>
              <w:t xml:space="preserve">Prašoma Projekto lydimojoje medžiagoje atskleisti (kartu įvertinant ir Projekto pildymo poreikį), kokia tvarka bus įgyvendinamos Projekto 3.1 p. nuostatos jau parengtiems ir vykdomiems  projektams, dėl kurių finansavimo jau priimti savininkų sprendimai (ar turėtų būti priimami nauji savininkų sprendimai dėl finansavimo apimties, keičiamos jau sudarytos valstybės paramos sutartys). </w:t>
            </w:r>
          </w:p>
          <w:p w:rsidR="005514C6" w:rsidRPr="00747181" w:rsidRDefault="005514C6" w:rsidP="002431DE">
            <w:pPr>
              <w:spacing w:after="0" w:line="240" w:lineRule="auto"/>
              <w:jc w:val="both"/>
              <w:rPr>
                <w:rFonts w:ascii="Times New Roman" w:hAnsi="Times New Roman"/>
                <w:sz w:val="24"/>
                <w:szCs w:val="24"/>
              </w:rPr>
            </w:pPr>
          </w:p>
        </w:tc>
        <w:tc>
          <w:tcPr>
            <w:tcW w:w="8789" w:type="dxa"/>
          </w:tcPr>
          <w:p w:rsidR="005514C6" w:rsidRPr="00747181" w:rsidRDefault="005514C6" w:rsidP="00A9700C">
            <w:pPr>
              <w:spacing w:after="0" w:line="240" w:lineRule="auto"/>
              <w:jc w:val="both"/>
              <w:rPr>
                <w:rFonts w:ascii="Times New Roman" w:hAnsi="Times New Roman"/>
                <w:b/>
                <w:sz w:val="24"/>
                <w:szCs w:val="24"/>
              </w:rPr>
            </w:pPr>
            <w:r w:rsidRPr="00747181">
              <w:rPr>
                <w:rFonts w:ascii="Times New Roman" w:hAnsi="Times New Roman"/>
                <w:b/>
                <w:sz w:val="24"/>
                <w:szCs w:val="24"/>
              </w:rPr>
              <w:t>Atsižvelgta.</w:t>
            </w:r>
          </w:p>
          <w:p w:rsidR="005514C6" w:rsidRPr="00747181" w:rsidRDefault="005514C6" w:rsidP="00A9700C">
            <w:pPr>
              <w:spacing w:after="0" w:line="240" w:lineRule="auto"/>
              <w:jc w:val="both"/>
              <w:rPr>
                <w:rFonts w:ascii="Times New Roman" w:hAnsi="Times New Roman"/>
                <w:sz w:val="24"/>
                <w:szCs w:val="24"/>
              </w:rPr>
            </w:pPr>
            <w:r w:rsidRPr="00747181">
              <w:rPr>
                <w:rFonts w:ascii="Times New Roman" w:hAnsi="Times New Roman"/>
                <w:sz w:val="24"/>
                <w:szCs w:val="24"/>
              </w:rPr>
              <w:t>Paaiškinimas teikiamas lydimojoje medžiagoje.</w:t>
            </w:r>
          </w:p>
        </w:tc>
      </w:tr>
    </w:tbl>
    <w:p w:rsidR="00987CE2" w:rsidRPr="00F52A00" w:rsidRDefault="00987CE2" w:rsidP="00FD4DFF">
      <w:pPr>
        <w:ind w:right="-739"/>
        <w:jc w:val="both"/>
        <w:rPr>
          <w:rFonts w:ascii="Times New Roman" w:hAnsi="Times New Roman"/>
          <w:color w:val="FF0000"/>
          <w:sz w:val="24"/>
          <w:szCs w:val="24"/>
        </w:rPr>
      </w:pPr>
    </w:p>
    <w:sectPr w:rsidR="00987CE2" w:rsidRPr="00F52A00" w:rsidSect="00011E32">
      <w:headerReference w:type="default" r:id="rId9"/>
      <w:pgSz w:w="16838" w:h="11906" w:orient="landscape"/>
      <w:pgMar w:top="851"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60D" w:rsidRDefault="00B8560D" w:rsidP="002431DE">
      <w:pPr>
        <w:spacing w:after="0" w:line="240" w:lineRule="auto"/>
      </w:pPr>
      <w:r>
        <w:separator/>
      </w:r>
    </w:p>
  </w:endnote>
  <w:endnote w:type="continuationSeparator" w:id="0">
    <w:p w:rsidR="00B8560D" w:rsidRDefault="00B8560D" w:rsidP="00243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60D" w:rsidRDefault="00B8560D" w:rsidP="002431DE">
      <w:pPr>
        <w:spacing w:after="0" w:line="240" w:lineRule="auto"/>
      </w:pPr>
      <w:r>
        <w:separator/>
      </w:r>
    </w:p>
  </w:footnote>
  <w:footnote w:type="continuationSeparator" w:id="0">
    <w:p w:rsidR="00B8560D" w:rsidRDefault="00B8560D" w:rsidP="002431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E32" w:rsidRDefault="00011E32">
    <w:pPr>
      <w:pStyle w:val="Header"/>
      <w:jc w:val="center"/>
    </w:pPr>
    <w:r>
      <w:fldChar w:fldCharType="begin"/>
    </w:r>
    <w:r>
      <w:instrText xml:space="preserve"> PAGE   \* MERGEFORMAT </w:instrText>
    </w:r>
    <w:r>
      <w:fldChar w:fldCharType="separate"/>
    </w:r>
    <w:r w:rsidR="00BD37CB">
      <w:rPr>
        <w:noProof/>
      </w:rPr>
      <w:t>5</w:t>
    </w:r>
    <w:r>
      <w:rPr>
        <w:noProof/>
      </w:rPr>
      <w:fldChar w:fldCharType="end"/>
    </w:r>
  </w:p>
  <w:p w:rsidR="00011E32" w:rsidRDefault="00011E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65F89"/>
    <w:multiLevelType w:val="hybridMultilevel"/>
    <w:tmpl w:val="A6E0819E"/>
    <w:lvl w:ilvl="0" w:tplc="0427000F">
      <w:start w:val="1"/>
      <w:numFmt w:val="decimal"/>
      <w:lvlText w:val="%1."/>
      <w:lvlJc w:val="left"/>
      <w:pPr>
        <w:ind w:left="3478" w:hanging="360"/>
      </w:pPr>
    </w:lvl>
    <w:lvl w:ilvl="1" w:tplc="04270019" w:tentative="1">
      <w:start w:val="1"/>
      <w:numFmt w:val="lowerLetter"/>
      <w:lvlText w:val="%2."/>
      <w:lvlJc w:val="left"/>
      <w:pPr>
        <w:ind w:left="4198" w:hanging="360"/>
      </w:pPr>
    </w:lvl>
    <w:lvl w:ilvl="2" w:tplc="0427001B" w:tentative="1">
      <w:start w:val="1"/>
      <w:numFmt w:val="lowerRoman"/>
      <w:lvlText w:val="%3."/>
      <w:lvlJc w:val="right"/>
      <w:pPr>
        <w:ind w:left="4918" w:hanging="180"/>
      </w:pPr>
    </w:lvl>
    <w:lvl w:ilvl="3" w:tplc="0427000F" w:tentative="1">
      <w:start w:val="1"/>
      <w:numFmt w:val="decimal"/>
      <w:lvlText w:val="%4."/>
      <w:lvlJc w:val="left"/>
      <w:pPr>
        <w:ind w:left="5638" w:hanging="360"/>
      </w:pPr>
    </w:lvl>
    <w:lvl w:ilvl="4" w:tplc="04270019" w:tentative="1">
      <w:start w:val="1"/>
      <w:numFmt w:val="lowerLetter"/>
      <w:lvlText w:val="%5."/>
      <w:lvlJc w:val="left"/>
      <w:pPr>
        <w:ind w:left="6358" w:hanging="360"/>
      </w:pPr>
    </w:lvl>
    <w:lvl w:ilvl="5" w:tplc="0427001B" w:tentative="1">
      <w:start w:val="1"/>
      <w:numFmt w:val="lowerRoman"/>
      <w:lvlText w:val="%6."/>
      <w:lvlJc w:val="right"/>
      <w:pPr>
        <w:ind w:left="7078" w:hanging="180"/>
      </w:pPr>
    </w:lvl>
    <w:lvl w:ilvl="6" w:tplc="0427000F" w:tentative="1">
      <w:start w:val="1"/>
      <w:numFmt w:val="decimal"/>
      <w:lvlText w:val="%7."/>
      <w:lvlJc w:val="left"/>
      <w:pPr>
        <w:ind w:left="7798" w:hanging="360"/>
      </w:pPr>
    </w:lvl>
    <w:lvl w:ilvl="7" w:tplc="04270019" w:tentative="1">
      <w:start w:val="1"/>
      <w:numFmt w:val="lowerLetter"/>
      <w:lvlText w:val="%8."/>
      <w:lvlJc w:val="left"/>
      <w:pPr>
        <w:ind w:left="8518" w:hanging="360"/>
      </w:pPr>
    </w:lvl>
    <w:lvl w:ilvl="8" w:tplc="0427001B" w:tentative="1">
      <w:start w:val="1"/>
      <w:numFmt w:val="lowerRoman"/>
      <w:lvlText w:val="%9."/>
      <w:lvlJc w:val="right"/>
      <w:pPr>
        <w:ind w:left="9238" w:hanging="180"/>
      </w:pPr>
    </w:lvl>
  </w:abstractNum>
  <w:abstractNum w:abstractNumId="1">
    <w:nsid w:val="3B461E2F"/>
    <w:multiLevelType w:val="hybridMultilevel"/>
    <w:tmpl w:val="9F42392A"/>
    <w:lvl w:ilvl="0" w:tplc="9370B1B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43694532"/>
    <w:multiLevelType w:val="hybridMultilevel"/>
    <w:tmpl w:val="0144F1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6D33DF1"/>
    <w:multiLevelType w:val="hybridMultilevel"/>
    <w:tmpl w:val="72BC3A82"/>
    <w:lvl w:ilvl="0" w:tplc="3A6E1C0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4">
    <w:nsid w:val="56A40CF2"/>
    <w:multiLevelType w:val="hybridMultilevel"/>
    <w:tmpl w:val="B33E0422"/>
    <w:lvl w:ilvl="0" w:tplc="E4F049C0">
      <w:start w:val="1"/>
      <w:numFmt w:val="decimal"/>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5">
    <w:nsid w:val="63DF2A67"/>
    <w:multiLevelType w:val="hybridMultilevel"/>
    <w:tmpl w:val="41B2B328"/>
    <w:lvl w:ilvl="0" w:tplc="0427000F">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nsid w:val="65720E0A"/>
    <w:multiLevelType w:val="hybridMultilevel"/>
    <w:tmpl w:val="BA76C5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672839D4"/>
    <w:multiLevelType w:val="multilevel"/>
    <w:tmpl w:val="7C2621F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69621529"/>
    <w:multiLevelType w:val="hybridMultilevel"/>
    <w:tmpl w:val="359AE2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6"/>
  </w:num>
  <w:num w:numId="6">
    <w:abstractNumId w:val="8"/>
  </w:num>
  <w:num w:numId="7">
    <w:abstractNumId w:val="2"/>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9C9"/>
    <w:rsid w:val="0000243F"/>
    <w:rsid w:val="00011E32"/>
    <w:rsid w:val="00013854"/>
    <w:rsid w:val="00030D77"/>
    <w:rsid w:val="00032148"/>
    <w:rsid w:val="00032DD5"/>
    <w:rsid w:val="00044EDB"/>
    <w:rsid w:val="00067B82"/>
    <w:rsid w:val="000756E4"/>
    <w:rsid w:val="000C0287"/>
    <w:rsid w:val="000C388D"/>
    <w:rsid w:val="001006AF"/>
    <w:rsid w:val="0011505E"/>
    <w:rsid w:val="001276E4"/>
    <w:rsid w:val="0014095B"/>
    <w:rsid w:val="00143718"/>
    <w:rsid w:val="00144A41"/>
    <w:rsid w:val="00146FFB"/>
    <w:rsid w:val="00171499"/>
    <w:rsid w:val="001741E7"/>
    <w:rsid w:val="00184F2D"/>
    <w:rsid w:val="001B2687"/>
    <w:rsid w:val="001C6F59"/>
    <w:rsid w:val="001D3633"/>
    <w:rsid w:val="001E2147"/>
    <w:rsid w:val="00212F22"/>
    <w:rsid w:val="0021343F"/>
    <w:rsid w:val="002431DE"/>
    <w:rsid w:val="00243E06"/>
    <w:rsid w:val="00266E7D"/>
    <w:rsid w:val="00270561"/>
    <w:rsid w:val="002761FF"/>
    <w:rsid w:val="002829AD"/>
    <w:rsid w:val="00282A10"/>
    <w:rsid w:val="00282CFA"/>
    <w:rsid w:val="002B021C"/>
    <w:rsid w:val="002B3C91"/>
    <w:rsid w:val="002B5A57"/>
    <w:rsid w:val="003035B0"/>
    <w:rsid w:val="00307D16"/>
    <w:rsid w:val="00311BA6"/>
    <w:rsid w:val="00340761"/>
    <w:rsid w:val="00367CA7"/>
    <w:rsid w:val="00394ED6"/>
    <w:rsid w:val="003A09CF"/>
    <w:rsid w:val="003B021E"/>
    <w:rsid w:val="003E1091"/>
    <w:rsid w:val="003F6F3F"/>
    <w:rsid w:val="004008C4"/>
    <w:rsid w:val="0041113D"/>
    <w:rsid w:val="00437E31"/>
    <w:rsid w:val="00493575"/>
    <w:rsid w:val="004B5A8A"/>
    <w:rsid w:val="004C62E4"/>
    <w:rsid w:val="004D5198"/>
    <w:rsid w:val="004D6741"/>
    <w:rsid w:val="004F4173"/>
    <w:rsid w:val="004F472C"/>
    <w:rsid w:val="00517E34"/>
    <w:rsid w:val="0054570D"/>
    <w:rsid w:val="005514C6"/>
    <w:rsid w:val="0055571B"/>
    <w:rsid w:val="00563E64"/>
    <w:rsid w:val="00567408"/>
    <w:rsid w:val="005901C1"/>
    <w:rsid w:val="0059468B"/>
    <w:rsid w:val="005A1268"/>
    <w:rsid w:val="005A4AF3"/>
    <w:rsid w:val="005B0B24"/>
    <w:rsid w:val="005C4627"/>
    <w:rsid w:val="005D37C0"/>
    <w:rsid w:val="005E3152"/>
    <w:rsid w:val="005F21CE"/>
    <w:rsid w:val="005F7B10"/>
    <w:rsid w:val="006114F1"/>
    <w:rsid w:val="00617E88"/>
    <w:rsid w:val="006351F0"/>
    <w:rsid w:val="00636CE9"/>
    <w:rsid w:val="0066548A"/>
    <w:rsid w:val="00695200"/>
    <w:rsid w:val="006B251B"/>
    <w:rsid w:val="006B274D"/>
    <w:rsid w:val="006C7964"/>
    <w:rsid w:val="006D5382"/>
    <w:rsid w:val="006E38A0"/>
    <w:rsid w:val="006E398B"/>
    <w:rsid w:val="00706246"/>
    <w:rsid w:val="0070755B"/>
    <w:rsid w:val="00747181"/>
    <w:rsid w:val="00747482"/>
    <w:rsid w:val="00763EAF"/>
    <w:rsid w:val="007641DD"/>
    <w:rsid w:val="00797B97"/>
    <w:rsid w:val="007A080C"/>
    <w:rsid w:val="007A29C9"/>
    <w:rsid w:val="007B28BC"/>
    <w:rsid w:val="007C2FE0"/>
    <w:rsid w:val="007C56AA"/>
    <w:rsid w:val="007C6007"/>
    <w:rsid w:val="007E5ACB"/>
    <w:rsid w:val="007E5E18"/>
    <w:rsid w:val="007F67E8"/>
    <w:rsid w:val="007F7F49"/>
    <w:rsid w:val="008155C9"/>
    <w:rsid w:val="008429A8"/>
    <w:rsid w:val="008433D8"/>
    <w:rsid w:val="008607EB"/>
    <w:rsid w:val="00887F10"/>
    <w:rsid w:val="00894D67"/>
    <w:rsid w:val="008A4A32"/>
    <w:rsid w:val="008B44EA"/>
    <w:rsid w:val="008C2495"/>
    <w:rsid w:val="008C30AA"/>
    <w:rsid w:val="008C3297"/>
    <w:rsid w:val="008E08AE"/>
    <w:rsid w:val="009055FD"/>
    <w:rsid w:val="009204B3"/>
    <w:rsid w:val="00920DF8"/>
    <w:rsid w:val="00925B46"/>
    <w:rsid w:val="0093523E"/>
    <w:rsid w:val="00975B59"/>
    <w:rsid w:val="00987CE2"/>
    <w:rsid w:val="00992696"/>
    <w:rsid w:val="00995770"/>
    <w:rsid w:val="009B3661"/>
    <w:rsid w:val="009D174B"/>
    <w:rsid w:val="009E4ACF"/>
    <w:rsid w:val="009F3567"/>
    <w:rsid w:val="00A00929"/>
    <w:rsid w:val="00A57EDA"/>
    <w:rsid w:val="00A63F1C"/>
    <w:rsid w:val="00A72A3D"/>
    <w:rsid w:val="00A750B0"/>
    <w:rsid w:val="00A82B57"/>
    <w:rsid w:val="00A84BE1"/>
    <w:rsid w:val="00A901FD"/>
    <w:rsid w:val="00A9700C"/>
    <w:rsid w:val="00AA42F2"/>
    <w:rsid w:val="00AE6F98"/>
    <w:rsid w:val="00AF330C"/>
    <w:rsid w:val="00B11AB9"/>
    <w:rsid w:val="00B12C1C"/>
    <w:rsid w:val="00B55E10"/>
    <w:rsid w:val="00B56866"/>
    <w:rsid w:val="00B61644"/>
    <w:rsid w:val="00B6212D"/>
    <w:rsid w:val="00B67A2F"/>
    <w:rsid w:val="00B72FE4"/>
    <w:rsid w:val="00B82FE9"/>
    <w:rsid w:val="00B8560D"/>
    <w:rsid w:val="00BA14BA"/>
    <w:rsid w:val="00BA2A1A"/>
    <w:rsid w:val="00BC18E3"/>
    <w:rsid w:val="00BD37CB"/>
    <w:rsid w:val="00BE1529"/>
    <w:rsid w:val="00C04A0A"/>
    <w:rsid w:val="00C04FD2"/>
    <w:rsid w:val="00C052C7"/>
    <w:rsid w:val="00C13025"/>
    <w:rsid w:val="00C539F0"/>
    <w:rsid w:val="00C607D8"/>
    <w:rsid w:val="00C7242E"/>
    <w:rsid w:val="00C9513E"/>
    <w:rsid w:val="00C97863"/>
    <w:rsid w:val="00CA1070"/>
    <w:rsid w:val="00CA3992"/>
    <w:rsid w:val="00CA6CF2"/>
    <w:rsid w:val="00CB05B2"/>
    <w:rsid w:val="00CC1E69"/>
    <w:rsid w:val="00CE2CD8"/>
    <w:rsid w:val="00CE6295"/>
    <w:rsid w:val="00D02858"/>
    <w:rsid w:val="00D43C40"/>
    <w:rsid w:val="00D54F82"/>
    <w:rsid w:val="00D770EE"/>
    <w:rsid w:val="00D818B2"/>
    <w:rsid w:val="00D90D5E"/>
    <w:rsid w:val="00D918E5"/>
    <w:rsid w:val="00DA025F"/>
    <w:rsid w:val="00DB295B"/>
    <w:rsid w:val="00DD4CB3"/>
    <w:rsid w:val="00DE06F1"/>
    <w:rsid w:val="00DE1E48"/>
    <w:rsid w:val="00E05115"/>
    <w:rsid w:val="00E10861"/>
    <w:rsid w:val="00E360BE"/>
    <w:rsid w:val="00E53582"/>
    <w:rsid w:val="00E57919"/>
    <w:rsid w:val="00E676A6"/>
    <w:rsid w:val="00E96F75"/>
    <w:rsid w:val="00EA1437"/>
    <w:rsid w:val="00EA37F8"/>
    <w:rsid w:val="00EA5A78"/>
    <w:rsid w:val="00EC0998"/>
    <w:rsid w:val="00ED75D3"/>
    <w:rsid w:val="00EE5BFF"/>
    <w:rsid w:val="00F22656"/>
    <w:rsid w:val="00F52A00"/>
    <w:rsid w:val="00F6072D"/>
    <w:rsid w:val="00F64694"/>
    <w:rsid w:val="00FB5AA0"/>
    <w:rsid w:val="00FB664B"/>
    <w:rsid w:val="00FC4A38"/>
    <w:rsid w:val="00FD4DFF"/>
    <w:rsid w:val="00FE29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AA0"/>
    <w:pPr>
      <w:spacing w:after="200" w:line="276" w:lineRule="auto"/>
    </w:pPr>
    <w:rPr>
      <w:sz w:val="22"/>
      <w:szCs w:val="22"/>
      <w:lang w:val="lt-LT"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F3F"/>
    <w:pPr>
      <w:tabs>
        <w:tab w:val="center" w:pos="4153"/>
        <w:tab w:val="right" w:pos="8306"/>
      </w:tabs>
      <w:suppressAutoHyphens/>
      <w:spacing w:after="0" w:line="240" w:lineRule="auto"/>
    </w:pPr>
    <w:rPr>
      <w:rFonts w:ascii="Times New Roman" w:eastAsia="Times New Roman" w:hAnsi="Times New Roman"/>
      <w:sz w:val="24"/>
      <w:szCs w:val="20"/>
      <w:lang w:eastAsia="ar-SA"/>
    </w:rPr>
  </w:style>
  <w:style w:type="character" w:customStyle="1" w:styleId="HeaderChar">
    <w:name w:val="Header Char"/>
    <w:link w:val="Header"/>
    <w:uiPriority w:val="99"/>
    <w:rsid w:val="003F6F3F"/>
    <w:rPr>
      <w:rFonts w:ascii="Times New Roman" w:eastAsia="Times New Roman" w:hAnsi="Times New Roman"/>
      <w:sz w:val="24"/>
      <w:lang w:eastAsia="ar-SA"/>
    </w:rPr>
  </w:style>
  <w:style w:type="table" w:styleId="TableGrid">
    <w:name w:val="Table Grid"/>
    <w:basedOn w:val="TableNormal"/>
    <w:uiPriority w:val="59"/>
    <w:rsid w:val="003F6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468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9468B"/>
    <w:rPr>
      <w:rFonts w:ascii="Tahoma" w:hAnsi="Tahoma" w:cs="Tahoma"/>
      <w:sz w:val="16"/>
      <w:szCs w:val="16"/>
      <w:lang w:eastAsia="en-US"/>
    </w:rPr>
  </w:style>
  <w:style w:type="paragraph" w:customStyle="1" w:styleId="ISTATYMAS">
    <w:name w:val="ISTATYMAS"/>
    <w:basedOn w:val="Normal"/>
    <w:rsid w:val="00517E34"/>
    <w:pPr>
      <w:keepLines/>
      <w:suppressAutoHyphens/>
      <w:autoSpaceDE w:val="0"/>
      <w:autoSpaceDN w:val="0"/>
      <w:adjustRightInd w:val="0"/>
      <w:spacing w:after="0" w:line="288" w:lineRule="auto"/>
      <w:jc w:val="center"/>
      <w:textAlignment w:val="center"/>
    </w:pPr>
    <w:rPr>
      <w:rFonts w:ascii="Times New Roman" w:eastAsia="Times New Roman" w:hAnsi="Times New Roman"/>
      <w:color w:val="000000"/>
      <w:sz w:val="20"/>
      <w:szCs w:val="20"/>
    </w:rPr>
  </w:style>
  <w:style w:type="paragraph" w:styleId="BodyText">
    <w:name w:val="Body Text"/>
    <w:basedOn w:val="Normal"/>
    <w:link w:val="BodyTextChar"/>
    <w:rsid w:val="001D3633"/>
    <w:pPr>
      <w:spacing w:after="120" w:line="100" w:lineRule="atLeast"/>
    </w:pPr>
    <w:rPr>
      <w:rFonts w:ascii="Times New Roman" w:eastAsia="Times New Roman" w:hAnsi="Times New Roman"/>
      <w:kern w:val="1"/>
      <w:sz w:val="20"/>
      <w:szCs w:val="20"/>
      <w:lang w:eastAsia="ar-SA"/>
    </w:rPr>
  </w:style>
  <w:style w:type="character" w:customStyle="1" w:styleId="BodyTextChar">
    <w:name w:val="Body Text Char"/>
    <w:link w:val="BodyText"/>
    <w:rsid w:val="001D3633"/>
    <w:rPr>
      <w:rFonts w:ascii="Times New Roman" w:eastAsia="Times New Roman" w:hAnsi="Times New Roman"/>
      <w:kern w:val="1"/>
      <w:lang w:eastAsia="ar-SA"/>
    </w:rPr>
  </w:style>
  <w:style w:type="paragraph" w:customStyle="1" w:styleId="Preformatted">
    <w:name w:val="Preformatted"/>
    <w:basedOn w:val="Normal"/>
    <w:rsid w:val="002761F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rPr>
  </w:style>
  <w:style w:type="character" w:customStyle="1" w:styleId="EndnoteCharacters">
    <w:name w:val="Endnote Characters"/>
    <w:rsid w:val="00FB664B"/>
  </w:style>
  <w:style w:type="paragraph" w:styleId="PlainText">
    <w:name w:val="Plain Text"/>
    <w:basedOn w:val="Normal"/>
    <w:link w:val="PlainTextChar"/>
    <w:uiPriority w:val="99"/>
    <w:unhideWhenUsed/>
    <w:rsid w:val="00D918E5"/>
    <w:pPr>
      <w:spacing w:after="0" w:line="240" w:lineRule="auto"/>
    </w:pPr>
    <w:rPr>
      <w:szCs w:val="21"/>
    </w:rPr>
  </w:style>
  <w:style w:type="character" w:customStyle="1" w:styleId="PlainTextChar">
    <w:name w:val="Plain Text Char"/>
    <w:link w:val="PlainText"/>
    <w:uiPriority w:val="99"/>
    <w:rsid w:val="00D918E5"/>
    <w:rPr>
      <w:sz w:val="22"/>
      <w:szCs w:val="21"/>
      <w:lang w:eastAsia="en-US"/>
    </w:rPr>
  </w:style>
  <w:style w:type="paragraph" w:customStyle="1" w:styleId="prastasistinklapis">
    <w:name w:val="Įprastasis (tinklapis)"/>
    <w:basedOn w:val="Normal"/>
    <w:rsid w:val="00A72A3D"/>
    <w:pPr>
      <w:pBdr>
        <w:top w:val="none" w:sz="0" w:space="0" w:color="000000"/>
        <w:left w:val="none" w:sz="0" w:space="0" w:color="000000"/>
        <w:bottom w:val="none" w:sz="0" w:space="0" w:color="000000"/>
        <w:right w:val="none" w:sz="0" w:space="0" w:color="000000"/>
      </w:pBdr>
      <w:suppressAutoHyphens/>
      <w:spacing w:before="100" w:after="119" w:line="240" w:lineRule="auto"/>
    </w:pPr>
    <w:rPr>
      <w:rFonts w:ascii="Times New Roman" w:eastAsia="Times New Roman" w:hAnsi="Times New Roman"/>
      <w:kern w:val="1"/>
      <w:sz w:val="24"/>
      <w:szCs w:val="24"/>
      <w:lang w:eastAsia="lt-LT"/>
    </w:rPr>
  </w:style>
  <w:style w:type="character" w:customStyle="1" w:styleId="Numatytasispastraiposriftas">
    <w:name w:val="Numatytasis pastraipos šriftas"/>
    <w:rsid w:val="00F6072D"/>
  </w:style>
  <w:style w:type="character" w:customStyle="1" w:styleId="WW-Absatz-Standardschriftart111111">
    <w:name w:val="WW-Absatz-Standardschriftart111111"/>
    <w:rsid w:val="00F6072D"/>
  </w:style>
  <w:style w:type="character" w:styleId="Hyperlink">
    <w:name w:val="Hyperlink"/>
    <w:rsid w:val="004008C4"/>
    <w:rPr>
      <w:color w:val="000080"/>
      <w:u w:val="single"/>
      <w:lang/>
    </w:rPr>
  </w:style>
  <w:style w:type="paragraph" w:styleId="HTMLPreformatted">
    <w:name w:val="HTML Preformatted"/>
    <w:basedOn w:val="Normal"/>
    <w:link w:val="HTMLPreformattedChar"/>
    <w:uiPriority w:val="99"/>
    <w:semiHidden/>
    <w:unhideWhenUsed/>
    <w:rsid w:val="00307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PreformattedChar">
    <w:name w:val="HTML Preformatted Char"/>
    <w:link w:val="HTMLPreformatted"/>
    <w:uiPriority w:val="99"/>
    <w:semiHidden/>
    <w:rsid w:val="00307D16"/>
    <w:rPr>
      <w:rFonts w:ascii="Courier New" w:eastAsia="Times New Roman" w:hAnsi="Courier New" w:cs="Courier New"/>
    </w:rPr>
  </w:style>
  <w:style w:type="paragraph" w:styleId="Footer">
    <w:name w:val="footer"/>
    <w:basedOn w:val="Normal"/>
    <w:link w:val="FooterChar"/>
    <w:uiPriority w:val="99"/>
    <w:unhideWhenUsed/>
    <w:rsid w:val="002431DE"/>
    <w:pPr>
      <w:tabs>
        <w:tab w:val="center" w:pos="4819"/>
        <w:tab w:val="right" w:pos="9638"/>
      </w:tabs>
    </w:pPr>
  </w:style>
  <w:style w:type="character" w:customStyle="1" w:styleId="FooterChar">
    <w:name w:val="Footer Char"/>
    <w:link w:val="Footer"/>
    <w:uiPriority w:val="99"/>
    <w:rsid w:val="002431DE"/>
    <w:rPr>
      <w:sz w:val="22"/>
      <w:szCs w:val="22"/>
      <w:lang w:val="lt-L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AA0"/>
    <w:pPr>
      <w:spacing w:after="200" w:line="276" w:lineRule="auto"/>
    </w:pPr>
    <w:rPr>
      <w:sz w:val="22"/>
      <w:szCs w:val="22"/>
      <w:lang w:val="lt-LT"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F3F"/>
    <w:pPr>
      <w:tabs>
        <w:tab w:val="center" w:pos="4153"/>
        <w:tab w:val="right" w:pos="8306"/>
      </w:tabs>
      <w:suppressAutoHyphens/>
      <w:spacing w:after="0" w:line="240" w:lineRule="auto"/>
    </w:pPr>
    <w:rPr>
      <w:rFonts w:ascii="Times New Roman" w:eastAsia="Times New Roman" w:hAnsi="Times New Roman"/>
      <w:sz w:val="24"/>
      <w:szCs w:val="20"/>
      <w:lang w:eastAsia="ar-SA"/>
    </w:rPr>
  </w:style>
  <w:style w:type="character" w:customStyle="1" w:styleId="HeaderChar">
    <w:name w:val="Header Char"/>
    <w:link w:val="Header"/>
    <w:uiPriority w:val="99"/>
    <w:rsid w:val="003F6F3F"/>
    <w:rPr>
      <w:rFonts w:ascii="Times New Roman" w:eastAsia="Times New Roman" w:hAnsi="Times New Roman"/>
      <w:sz w:val="24"/>
      <w:lang w:eastAsia="ar-SA"/>
    </w:rPr>
  </w:style>
  <w:style w:type="table" w:styleId="TableGrid">
    <w:name w:val="Table Grid"/>
    <w:basedOn w:val="TableNormal"/>
    <w:uiPriority w:val="59"/>
    <w:rsid w:val="003F6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468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9468B"/>
    <w:rPr>
      <w:rFonts w:ascii="Tahoma" w:hAnsi="Tahoma" w:cs="Tahoma"/>
      <w:sz w:val="16"/>
      <w:szCs w:val="16"/>
      <w:lang w:eastAsia="en-US"/>
    </w:rPr>
  </w:style>
  <w:style w:type="paragraph" w:customStyle="1" w:styleId="ISTATYMAS">
    <w:name w:val="ISTATYMAS"/>
    <w:basedOn w:val="Normal"/>
    <w:rsid w:val="00517E34"/>
    <w:pPr>
      <w:keepLines/>
      <w:suppressAutoHyphens/>
      <w:autoSpaceDE w:val="0"/>
      <w:autoSpaceDN w:val="0"/>
      <w:adjustRightInd w:val="0"/>
      <w:spacing w:after="0" w:line="288" w:lineRule="auto"/>
      <w:jc w:val="center"/>
      <w:textAlignment w:val="center"/>
    </w:pPr>
    <w:rPr>
      <w:rFonts w:ascii="Times New Roman" w:eastAsia="Times New Roman" w:hAnsi="Times New Roman"/>
      <w:color w:val="000000"/>
      <w:sz w:val="20"/>
      <w:szCs w:val="20"/>
    </w:rPr>
  </w:style>
  <w:style w:type="paragraph" w:styleId="BodyText">
    <w:name w:val="Body Text"/>
    <w:basedOn w:val="Normal"/>
    <w:link w:val="BodyTextChar"/>
    <w:rsid w:val="001D3633"/>
    <w:pPr>
      <w:spacing w:after="120" w:line="100" w:lineRule="atLeast"/>
    </w:pPr>
    <w:rPr>
      <w:rFonts w:ascii="Times New Roman" w:eastAsia="Times New Roman" w:hAnsi="Times New Roman"/>
      <w:kern w:val="1"/>
      <w:sz w:val="20"/>
      <w:szCs w:val="20"/>
      <w:lang w:eastAsia="ar-SA"/>
    </w:rPr>
  </w:style>
  <w:style w:type="character" w:customStyle="1" w:styleId="BodyTextChar">
    <w:name w:val="Body Text Char"/>
    <w:link w:val="BodyText"/>
    <w:rsid w:val="001D3633"/>
    <w:rPr>
      <w:rFonts w:ascii="Times New Roman" w:eastAsia="Times New Roman" w:hAnsi="Times New Roman"/>
      <w:kern w:val="1"/>
      <w:lang w:eastAsia="ar-SA"/>
    </w:rPr>
  </w:style>
  <w:style w:type="paragraph" w:customStyle="1" w:styleId="Preformatted">
    <w:name w:val="Preformatted"/>
    <w:basedOn w:val="Normal"/>
    <w:rsid w:val="002761F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rPr>
  </w:style>
  <w:style w:type="character" w:customStyle="1" w:styleId="EndnoteCharacters">
    <w:name w:val="Endnote Characters"/>
    <w:rsid w:val="00FB664B"/>
  </w:style>
  <w:style w:type="paragraph" w:styleId="PlainText">
    <w:name w:val="Plain Text"/>
    <w:basedOn w:val="Normal"/>
    <w:link w:val="PlainTextChar"/>
    <w:uiPriority w:val="99"/>
    <w:unhideWhenUsed/>
    <w:rsid w:val="00D918E5"/>
    <w:pPr>
      <w:spacing w:after="0" w:line="240" w:lineRule="auto"/>
    </w:pPr>
    <w:rPr>
      <w:szCs w:val="21"/>
    </w:rPr>
  </w:style>
  <w:style w:type="character" w:customStyle="1" w:styleId="PlainTextChar">
    <w:name w:val="Plain Text Char"/>
    <w:link w:val="PlainText"/>
    <w:uiPriority w:val="99"/>
    <w:rsid w:val="00D918E5"/>
    <w:rPr>
      <w:sz w:val="22"/>
      <w:szCs w:val="21"/>
      <w:lang w:eastAsia="en-US"/>
    </w:rPr>
  </w:style>
  <w:style w:type="paragraph" w:customStyle="1" w:styleId="prastasistinklapis">
    <w:name w:val="Įprastasis (tinklapis)"/>
    <w:basedOn w:val="Normal"/>
    <w:rsid w:val="00A72A3D"/>
    <w:pPr>
      <w:pBdr>
        <w:top w:val="none" w:sz="0" w:space="0" w:color="000000"/>
        <w:left w:val="none" w:sz="0" w:space="0" w:color="000000"/>
        <w:bottom w:val="none" w:sz="0" w:space="0" w:color="000000"/>
        <w:right w:val="none" w:sz="0" w:space="0" w:color="000000"/>
      </w:pBdr>
      <w:suppressAutoHyphens/>
      <w:spacing w:before="100" w:after="119" w:line="240" w:lineRule="auto"/>
    </w:pPr>
    <w:rPr>
      <w:rFonts w:ascii="Times New Roman" w:eastAsia="Times New Roman" w:hAnsi="Times New Roman"/>
      <w:kern w:val="1"/>
      <w:sz w:val="24"/>
      <w:szCs w:val="24"/>
      <w:lang w:eastAsia="lt-LT"/>
    </w:rPr>
  </w:style>
  <w:style w:type="character" w:customStyle="1" w:styleId="Numatytasispastraiposriftas">
    <w:name w:val="Numatytasis pastraipos šriftas"/>
    <w:rsid w:val="00F6072D"/>
  </w:style>
  <w:style w:type="character" w:customStyle="1" w:styleId="WW-Absatz-Standardschriftart111111">
    <w:name w:val="WW-Absatz-Standardschriftart111111"/>
    <w:rsid w:val="00F6072D"/>
  </w:style>
  <w:style w:type="character" w:styleId="Hyperlink">
    <w:name w:val="Hyperlink"/>
    <w:rsid w:val="004008C4"/>
    <w:rPr>
      <w:color w:val="000080"/>
      <w:u w:val="single"/>
      <w:lang/>
    </w:rPr>
  </w:style>
  <w:style w:type="paragraph" w:styleId="HTMLPreformatted">
    <w:name w:val="HTML Preformatted"/>
    <w:basedOn w:val="Normal"/>
    <w:link w:val="HTMLPreformattedChar"/>
    <w:uiPriority w:val="99"/>
    <w:semiHidden/>
    <w:unhideWhenUsed/>
    <w:rsid w:val="00307D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PreformattedChar">
    <w:name w:val="HTML Preformatted Char"/>
    <w:link w:val="HTMLPreformatted"/>
    <w:uiPriority w:val="99"/>
    <w:semiHidden/>
    <w:rsid w:val="00307D16"/>
    <w:rPr>
      <w:rFonts w:ascii="Courier New" w:eastAsia="Times New Roman" w:hAnsi="Courier New" w:cs="Courier New"/>
    </w:rPr>
  </w:style>
  <w:style w:type="paragraph" w:styleId="Footer">
    <w:name w:val="footer"/>
    <w:basedOn w:val="Normal"/>
    <w:link w:val="FooterChar"/>
    <w:uiPriority w:val="99"/>
    <w:unhideWhenUsed/>
    <w:rsid w:val="002431DE"/>
    <w:pPr>
      <w:tabs>
        <w:tab w:val="center" w:pos="4819"/>
        <w:tab w:val="right" w:pos="9638"/>
      </w:tabs>
    </w:pPr>
  </w:style>
  <w:style w:type="character" w:customStyle="1" w:styleId="FooterChar">
    <w:name w:val="Footer Char"/>
    <w:link w:val="Footer"/>
    <w:uiPriority w:val="99"/>
    <w:rsid w:val="002431DE"/>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986274">
      <w:bodyDiv w:val="1"/>
      <w:marLeft w:val="0"/>
      <w:marRight w:val="0"/>
      <w:marTop w:val="0"/>
      <w:marBottom w:val="0"/>
      <w:divBdr>
        <w:top w:val="none" w:sz="0" w:space="0" w:color="auto"/>
        <w:left w:val="none" w:sz="0" w:space="0" w:color="auto"/>
        <w:bottom w:val="none" w:sz="0" w:space="0" w:color="auto"/>
        <w:right w:val="none" w:sz="0" w:space="0" w:color="auto"/>
      </w:divBdr>
    </w:div>
    <w:div w:id="660083922">
      <w:bodyDiv w:val="1"/>
      <w:marLeft w:val="0"/>
      <w:marRight w:val="0"/>
      <w:marTop w:val="0"/>
      <w:marBottom w:val="0"/>
      <w:divBdr>
        <w:top w:val="none" w:sz="0" w:space="0" w:color="auto"/>
        <w:left w:val="none" w:sz="0" w:space="0" w:color="auto"/>
        <w:bottom w:val="none" w:sz="0" w:space="0" w:color="auto"/>
        <w:right w:val="none" w:sz="0" w:space="0" w:color="auto"/>
      </w:divBdr>
    </w:div>
    <w:div w:id="981227332">
      <w:bodyDiv w:val="1"/>
      <w:marLeft w:val="0"/>
      <w:marRight w:val="0"/>
      <w:marTop w:val="0"/>
      <w:marBottom w:val="0"/>
      <w:divBdr>
        <w:top w:val="none" w:sz="0" w:space="0" w:color="auto"/>
        <w:left w:val="none" w:sz="0" w:space="0" w:color="auto"/>
        <w:bottom w:val="none" w:sz="0" w:space="0" w:color="auto"/>
        <w:right w:val="none" w:sz="0" w:space="0" w:color="auto"/>
      </w:divBdr>
    </w:div>
    <w:div w:id="1115442226">
      <w:bodyDiv w:val="1"/>
      <w:marLeft w:val="0"/>
      <w:marRight w:val="0"/>
      <w:marTop w:val="0"/>
      <w:marBottom w:val="0"/>
      <w:divBdr>
        <w:top w:val="none" w:sz="0" w:space="0" w:color="auto"/>
        <w:left w:val="none" w:sz="0" w:space="0" w:color="auto"/>
        <w:bottom w:val="none" w:sz="0" w:space="0" w:color="auto"/>
        <w:right w:val="none" w:sz="0" w:space="0" w:color="auto"/>
      </w:divBdr>
    </w:div>
    <w:div w:id="1261527006">
      <w:bodyDiv w:val="1"/>
      <w:marLeft w:val="0"/>
      <w:marRight w:val="0"/>
      <w:marTop w:val="0"/>
      <w:marBottom w:val="0"/>
      <w:divBdr>
        <w:top w:val="none" w:sz="0" w:space="0" w:color="auto"/>
        <w:left w:val="none" w:sz="0" w:space="0" w:color="auto"/>
        <w:bottom w:val="none" w:sz="0" w:space="0" w:color="auto"/>
        <w:right w:val="none" w:sz="0" w:space="0" w:color="auto"/>
      </w:divBdr>
      <w:divsChild>
        <w:div w:id="1162967788">
          <w:marLeft w:val="0"/>
          <w:marRight w:val="0"/>
          <w:marTop w:val="0"/>
          <w:marBottom w:val="0"/>
          <w:divBdr>
            <w:top w:val="none" w:sz="0" w:space="0" w:color="auto"/>
            <w:left w:val="none" w:sz="0" w:space="0" w:color="auto"/>
            <w:bottom w:val="none" w:sz="0" w:space="0" w:color="auto"/>
            <w:right w:val="none" w:sz="0" w:space="0" w:color="auto"/>
          </w:divBdr>
        </w:div>
        <w:div w:id="1487212006">
          <w:marLeft w:val="0"/>
          <w:marRight w:val="0"/>
          <w:marTop w:val="0"/>
          <w:marBottom w:val="0"/>
          <w:divBdr>
            <w:top w:val="none" w:sz="0" w:space="0" w:color="auto"/>
            <w:left w:val="none" w:sz="0" w:space="0" w:color="auto"/>
            <w:bottom w:val="none" w:sz="0" w:space="0" w:color="auto"/>
            <w:right w:val="none" w:sz="0" w:space="0" w:color="auto"/>
          </w:divBdr>
          <w:divsChild>
            <w:div w:id="639766274">
              <w:marLeft w:val="0"/>
              <w:marRight w:val="0"/>
              <w:marTop w:val="0"/>
              <w:marBottom w:val="0"/>
              <w:divBdr>
                <w:top w:val="none" w:sz="0" w:space="0" w:color="auto"/>
                <w:left w:val="none" w:sz="0" w:space="0" w:color="auto"/>
                <w:bottom w:val="none" w:sz="0" w:space="0" w:color="auto"/>
                <w:right w:val="none" w:sz="0" w:space="0" w:color="auto"/>
              </w:divBdr>
            </w:div>
            <w:div w:id="86907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CEB86B-DEEF-4DEE-BEE7-FA8FA49BB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1375</Words>
  <Characters>7843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2020-12-07T10:52:00Z</dcterms:created>
  <dc:creator>o.raugaliene</dc:creator>
  <cp:lastModifiedBy>Ona Burneikaitė-Raugalienė</cp:lastModifiedBy>
  <cp:lastPrinted>2014-08-28T10:47:00Z</cp:lastPrinted>
  <dcterms:modified xsi:type="dcterms:W3CDTF">2020-12-07T10:52:00Z</dcterms:modified>
  <cp:revision>2</cp:revision>
</cp:coreProperties>
</file>