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1B73" w14:textId="77777777" w:rsidR="00536F93" w:rsidRPr="00BE4665" w:rsidRDefault="00536F93" w:rsidP="005079FB">
      <w:pPr>
        <w:jc w:val="center"/>
        <w:rPr>
          <w:b/>
          <w:sz w:val="24"/>
          <w:szCs w:val="24"/>
          <w:lang w:val="lt-LT"/>
        </w:rPr>
      </w:pPr>
      <w:r w:rsidRPr="00BE4665">
        <w:rPr>
          <w:b/>
          <w:sz w:val="24"/>
          <w:szCs w:val="24"/>
          <w:lang w:val="lt-LT"/>
        </w:rPr>
        <w:t xml:space="preserve">PAŽYMA </w:t>
      </w:r>
    </w:p>
    <w:p w14:paraId="64F2F746" w14:textId="1C930357"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SVARSTOM</w:t>
      </w:r>
      <w:r w:rsidR="00F1159D">
        <w:rPr>
          <w:b/>
          <w:sz w:val="24"/>
          <w:szCs w:val="24"/>
          <w:lang w:val="lt-LT"/>
        </w:rPr>
        <w:t>Ų</w:t>
      </w:r>
      <w:r w:rsidR="00BA4D69" w:rsidRPr="00BE4665">
        <w:rPr>
          <w:b/>
          <w:sz w:val="24"/>
          <w:szCs w:val="24"/>
          <w:lang w:val="lt-LT"/>
        </w:rPr>
        <w:t xml:space="preserve"> </w:t>
      </w:r>
      <w:r w:rsidR="005079FB" w:rsidRPr="00BE4665">
        <w:rPr>
          <w:b/>
          <w:sz w:val="24"/>
          <w:szCs w:val="24"/>
          <w:lang w:val="lt-LT"/>
        </w:rPr>
        <w:t>EUROPOS SĄJUNGOS TRANSPORTO, TELEKOMUNIKACIJŲ IR ENERGETIKOS TARYBOJE</w:t>
      </w:r>
      <w:r w:rsidRPr="00BE4665">
        <w:rPr>
          <w:b/>
          <w:sz w:val="24"/>
          <w:szCs w:val="24"/>
          <w:lang w:val="lt-LT"/>
        </w:rPr>
        <w:t xml:space="preserve"> </w:t>
      </w:r>
    </w:p>
    <w:p w14:paraId="580512DE" w14:textId="1EA76A09" w:rsidR="005079FB" w:rsidRPr="00BE4665" w:rsidRDefault="004D2269" w:rsidP="005079FB">
      <w:pPr>
        <w:jc w:val="center"/>
        <w:rPr>
          <w:b/>
          <w:sz w:val="24"/>
          <w:szCs w:val="24"/>
          <w:lang w:val="lt-LT"/>
        </w:rPr>
      </w:pPr>
      <w:r w:rsidRPr="00BE4665">
        <w:rPr>
          <w:b/>
          <w:sz w:val="24"/>
          <w:szCs w:val="24"/>
          <w:lang w:val="lt-LT"/>
        </w:rPr>
        <w:t>20</w:t>
      </w:r>
      <w:r w:rsidR="00F1159D">
        <w:rPr>
          <w:b/>
          <w:sz w:val="24"/>
          <w:szCs w:val="24"/>
          <w:lang w:val="lt-LT"/>
        </w:rPr>
        <w:t>21</w:t>
      </w:r>
      <w:r w:rsidR="0011730F" w:rsidRPr="00BE4665">
        <w:rPr>
          <w:b/>
          <w:sz w:val="24"/>
          <w:szCs w:val="24"/>
          <w:lang w:val="lt-LT"/>
        </w:rPr>
        <w:t xml:space="preserve"> m</w:t>
      </w:r>
      <w:r w:rsidR="00630C1C">
        <w:rPr>
          <w:b/>
          <w:sz w:val="24"/>
          <w:szCs w:val="24"/>
          <w:lang w:val="lt-LT"/>
        </w:rPr>
        <w:t xml:space="preserve">. </w:t>
      </w:r>
      <w:r w:rsidR="00F1159D">
        <w:rPr>
          <w:b/>
          <w:sz w:val="24"/>
          <w:szCs w:val="24"/>
          <w:lang w:val="lt-LT"/>
        </w:rPr>
        <w:t>birželio 3</w:t>
      </w:r>
      <w:r w:rsidR="006B4D7A" w:rsidRPr="00BE4665">
        <w:rPr>
          <w:b/>
          <w:sz w:val="24"/>
          <w:szCs w:val="24"/>
          <w:lang w:val="lt-LT"/>
        </w:rPr>
        <w:t xml:space="preserve"> ir </w:t>
      </w:r>
      <w:r w:rsidR="00F1159D">
        <w:rPr>
          <w:b/>
          <w:sz w:val="24"/>
          <w:szCs w:val="24"/>
          <w:lang w:val="lt-LT"/>
        </w:rPr>
        <w:t>4</w:t>
      </w:r>
      <w:r w:rsidR="006B4D7A" w:rsidRPr="00BE4665">
        <w:rPr>
          <w:b/>
          <w:sz w:val="24"/>
          <w:szCs w:val="24"/>
          <w:lang w:val="lt-LT"/>
        </w:rPr>
        <w:t xml:space="preserve">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14:paraId="1EF8B6FC" w14:textId="77777777" w:rsidR="008441A9" w:rsidRPr="00BE4665" w:rsidRDefault="008441A9" w:rsidP="005079FB">
      <w:pPr>
        <w:jc w:val="both"/>
        <w:rPr>
          <w:sz w:val="24"/>
          <w:szCs w:val="24"/>
          <w:lang w:val="lt-LT"/>
        </w:rPr>
      </w:pPr>
    </w:p>
    <w:p w14:paraId="4690A223" w14:textId="70C9CA15" w:rsidR="008C5732" w:rsidRDefault="00BD170A" w:rsidP="003F4CB7">
      <w:pPr>
        <w:ind w:firstLine="709"/>
        <w:jc w:val="both"/>
        <w:rPr>
          <w:sz w:val="24"/>
          <w:szCs w:val="24"/>
          <w:lang w:val="lt-LT"/>
        </w:rPr>
      </w:pPr>
      <w:r w:rsidRPr="00BE4665">
        <w:rPr>
          <w:sz w:val="24"/>
          <w:szCs w:val="24"/>
          <w:lang w:val="lt-LT"/>
        </w:rPr>
        <w:t>20</w:t>
      </w:r>
      <w:r w:rsidR="002C366F">
        <w:rPr>
          <w:sz w:val="24"/>
          <w:szCs w:val="24"/>
          <w:lang w:val="lt-LT"/>
        </w:rPr>
        <w:t>21</w:t>
      </w:r>
      <w:r w:rsidR="005079FB" w:rsidRPr="00BE4665">
        <w:rPr>
          <w:sz w:val="24"/>
          <w:szCs w:val="24"/>
          <w:lang w:val="lt-LT"/>
        </w:rPr>
        <w:t xml:space="preserve"> m. </w:t>
      </w:r>
      <w:r w:rsidR="002C366F">
        <w:rPr>
          <w:sz w:val="24"/>
          <w:szCs w:val="24"/>
          <w:lang w:val="lt-LT"/>
        </w:rPr>
        <w:t xml:space="preserve">birželio 3 ir 4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 xml:space="preserve">Tarybos posėdžio darbotvarkėje numatyti </w:t>
      </w:r>
      <w:r w:rsidR="006B10F3" w:rsidRPr="00BE4665">
        <w:rPr>
          <w:sz w:val="24"/>
          <w:szCs w:val="24"/>
          <w:lang w:val="lt-LT"/>
        </w:rPr>
        <w:t xml:space="preserve">šie </w:t>
      </w:r>
      <w:r w:rsidR="007508A2" w:rsidRPr="00BE4665">
        <w:rPr>
          <w:sz w:val="24"/>
          <w:szCs w:val="24"/>
          <w:lang w:val="lt-LT"/>
        </w:rPr>
        <w:t>klausimai:</w:t>
      </w:r>
    </w:p>
    <w:p w14:paraId="04855E9D" w14:textId="77777777" w:rsidR="009466A1" w:rsidRDefault="009466A1" w:rsidP="003F4CB7">
      <w:pPr>
        <w:ind w:firstLine="709"/>
        <w:jc w:val="both"/>
        <w:rPr>
          <w:sz w:val="24"/>
          <w:szCs w:val="24"/>
          <w:lang w:val="lt-LT"/>
        </w:rPr>
      </w:pPr>
    </w:p>
    <w:p w14:paraId="35A8E238" w14:textId="23079D22" w:rsidR="00821C53" w:rsidRDefault="009466A1" w:rsidP="003F4CB7">
      <w:pPr>
        <w:ind w:firstLine="709"/>
        <w:jc w:val="both"/>
        <w:rPr>
          <w:b/>
          <w:bCs/>
          <w:sz w:val="24"/>
          <w:szCs w:val="24"/>
          <w:lang w:val="lt-LT"/>
        </w:rPr>
      </w:pPr>
      <w:r w:rsidRPr="009466A1">
        <w:rPr>
          <w:b/>
          <w:bCs/>
          <w:sz w:val="24"/>
          <w:szCs w:val="24"/>
          <w:lang w:val="lt-LT"/>
        </w:rPr>
        <w:t>TRANSPORTAS</w:t>
      </w:r>
    </w:p>
    <w:p w14:paraId="7623D712" w14:textId="77777777" w:rsidR="009466A1" w:rsidRPr="009466A1" w:rsidRDefault="009466A1" w:rsidP="003F4CB7">
      <w:pPr>
        <w:ind w:firstLine="709"/>
        <w:jc w:val="both"/>
        <w:rPr>
          <w:b/>
          <w:bCs/>
          <w:sz w:val="24"/>
          <w:szCs w:val="24"/>
          <w:lang w:val="lt-LT"/>
        </w:rPr>
      </w:pPr>
    </w:p>
    <w:p w14:paraId="2047540C" w14:textId="6B700495" w:rsidR="00BA4F15" w:rsidRDefault="00821C53" w:rsidP="00821C53">
      <w:pPr>
        <w:jc w:val="both"/>
        <w:rPr>
          <w:b/>
          <w:sz w:val="24"/>
          <w:szCs w:val="24"/>
          <w:lang w:val="lt-LT"/>
        </w:rPr>
      </w:pPr>
      <w:r w:rsidRPr="00EB51E6">
        <w:rPr>
          <w:b/>
          <w:sz w:val="24"/>
          <w:szCs w:val="24"/>
          <w:lang w:val="lt-LT"/>
        </w:rPr>
        <w:t xml:space="preserve">1. </w:t>
      </w:r>
      <w:r w:rsidR="00F4263D">
        <w:rPr>
          <w:b/>
          <w:sz w:val="24"/>
          <w:szCs w:val="24"/>
          <w:lang w:val="lt-LT"/>
        </w:rPr>
        <w:t>Bendras Europos dangus 2+</w:t>
      </w:r>
    </w:p>
    <w:p w14:paraId="70177B85" w14:textId="46320578" w:rsidR="00920B76" w:rsidRPr="00920B76" w:rsidRDefault="00920B76" w:rsidP="00920B76">
      <w:pPr>
        <w:jc w:val="both"/>
        <w:rPr>
          <w:b/>
          <w:sz w:val="24"/>
          <w:szCs w:val="24"/>
          <w:lang w:val="lt-LT"/>
        </w:rPr>
      </w:pPr>
      <w:r>
        <w:rPr>
          <w:b/>
          <w:sz w:val="24"/>
          <w:szCs w:val="24"/>
          <w:lang w:val="lt-LT"/>
        </w:rPr>
        <w:tab/>
        <w:t xml:space="preserve">a) </w:t>
      </w:r>
      <w:r w:rsidRPr="00920B76">
        <w:rPr>
          <w:b/>
          <w:sz w:val="24"/>
          <w:szCs w:val="24"/>
          <w:lang w:val="lt-LT"/>
        </w:rPr>
        <w:t>Reglamentas dėl bendro Europos dangaus įgyvendinimo (nauja redakcija)</w:t>
      </w:r>
    </w:p>
    <w:p w14:paraId="436CB91F" w14:textId="4FEAA157" w:rsidR="00BA4F15" w:rsidRDefault="00920B76" w:rsidP="00920B76">
      <w:pPr>
        <w:ind w:firstLine="567"/>
        <w:jc w:val="both"/>
        <w:rPr>
          <w:b/>
          <w:sz w:val="24"/>
          <w:szCs w:val="24"/>
          <w:lang w:val="lt-LT"/>
        </w:rPr>
      </w:pPr>
      <w:r w:rsidRPr="00920B76">
        <w:rPr>
          <w:b/>
          <w:sz w:val="24"/>
          <w:szCs w:val="24"/>
          <w:lang w:val="lt-LT"/>
        </w:rPr>
        <w:t>b) Reglamentas, iš dalies keičiantis EASA pagrindinį reglamentą</w:t>
      </w:r>
    </w:p>
    <w:p w14:paraId="2AFB5F74" w14:textId="757EE5EB" w:rsidR="00821C53" w:rsidRPr="00B6203A" w:rsidRDefault="00821C53" w:rsidP="00821C53">
      <w:pPr>
        <w:jc w:val="both"/>
        <w:rPr>
          <w:bCs/>
          <w:sz w:val="24"/>
          <w:szCs w:val="24"/>
          <w:lang w:val="lt-LT"/>
        </w:rPr>
      </w:pPr>
      <w:r>
        <w:rPr>
          <w:b/>
          <w:sz w:val="24"/>
          <w:szCs w:val="24"/>
          <w:lang w:val="lt-LT"/>
        </w:rPr>
        <w:t xml:space="preserve"> - </w:t>
      </w:r>
      <w:r w:rsidRPr="00B6203A">
        <w:rPr>
          <w:bCs/>
          <w:sz w:val="24"/>
          <w:szCs w:val="24"/>
          <w:lang w:val="lt-LT"/>
        </w:rPr>
        <w:t xml:space="preserve">Bendras požiūris </w:t>
      </w:r>
    </w:p>
    <w:p w14:paraId="0889A835" w14:textId="77777777" w:rsidR="00821C53" w:rsidRDefault="00821C53" w:rsidP="00821C53">
      <w:pPr>
        <w:ind w:firstLine="709"/>
        <w:jc w:val="both"/>
        <w:rPr>
          <w:sz w:val="24"/>
          <w:szCs w:val="24"/>
          <w:lang w:val="lt-LT"/>
        </w:rPr>
      </w:pPr>
    </w:p>
    <w:p w14:paraId="24069C2C" w14:textId="77777777" w:rsidR="00821C53" w:rsidRPr="0024531C" w:rsidRDefault="00821C53" w:rsidP="00821C53">
      <w:pPr>
        <w:jc w:val="both"/>
        <w:rPr>
          <w:i/>
          <w:sz w:val="24"/>
          <w:szCs w:val="24"/>
          <w:lang w:val="lt-LT"/>
        </w:rPr>
      </w:pPr>
      <w:r w:rsidRPr="0024531C">
        <w:rPr>
          <w:i/>
          <w:sz w:val="24"/>
          <w:szCs w:val="24"/>
          <w:lang w:val="lt-LT"/>
        </w:rPr>
        <w:t>Klausimo esmė</w:t>
      </w:r>
    </w:p>
    <w:p w14:paraId="39449D45" w14:textId="6A7F1904" w:rsidR="00920B76" w:rsidRPr="00920B76" w:rsidRDefault="00920B76" w:rsidP="00920B76">
      <w:pPr>
        <w:ind w:firstLine="567"/>
        <w:jc w:val="both"/>
        <w:rPr>
          <w:sz w:val="24"/>
          <w:szCs w:val="24"/>
          <w:lang w:val="lt-LT"/>
        </w:rPr>
      </w:pPr>
      <w:r w:rsidRPr="00920B76">
        <w:rPr>
          <w:sz w:val="24"/>
          <w:szCs w:val="24"/>
          <w:lang w:val="lt-LT"/>
        </w:rPr>
        <w:t>B</w:t>
      </w:r>
      <w:r>
        <w:rPr>
          <w:sz w:val="24"/>
          <w:szCs w:val="24"/>
          <w:lang w:val="lt-LT"/>
        </w:rPr>
        <w:t xml:space="preserve">endro Europos dangaus </w:t>
      </w:r>
      <w:r w:rsidRPr="00920B76">
        <w:rPr>
          <w:sz w:val="24"/>
          <w:szCs w:val="24"/>
          <w:lang w:val="lt-LT"/>
        </w:rPr>
        <w:t>iniciatyva siekiama pagerinti bendrą Europos oro erdvės organizavimo ir valdymo efektyvumą teikiant oro navigacijos paslaugas, įskaitant industrijos teikiamas susijusias paslaugas.</w:t>
      </w:r>
      <w:r w:rsidR="00880DB1">
        <w:rPr>
          <w:sz w:val="24"/>
          <w:szCs w:val="24"/>
          <w:lang w:val="lt-LT"/>
        </w:rPr>
        <w:t xml:space="preserve"> P</w:t>
      </w:r>
      <w:r w:rsidRPr="00920B76">
        <w:rPr>
          <w:sz w:val="24"/>
          <w:szCs w:val="24"/>
          <w:lang w:val="lt-LT"/>
        </w:rPr>
        <w:t xml:space="preserve">irminiai Europos Komisijos pasiūlymai buvo įtvirtinti dar 2013 m. </w:t>
      </w:r>
      <w:r w:rsidR="00880DB1">
        <w:rPr>
          <w:sz w:val="24"/>
          <w:szCs w:val="24"/>
          <w:lang w:val="lt-LT"/>
        </w:rPr>
        <w:t xml:space="preserve">Šiame </w:t>
      </w:r>
      <w:r w:rsidRPr="00920B76">
        <w:rPr>
          <w:sz w:val="24"/>
          <w:szCs w:val="24"/>
          <w:lang w:val="lt-LT"/>
        </w:rPr>
        <w:t>iš dalies pakeistame pasiūlyme daugiausia dėmesio skiriama oro navigacijos paslaugų pritaikymo spartinimui</w:t>
      </w:r>
      <w:r w:rsidR="00880DB1">
        <w:rPr>
          <w:sz w:val="24"/>
          <w:szCs w:val="24"/>
          <w:lang w:val="lt-LT"/>
        </w:rPr>
        <w:t>.</w:t>
      </w:r>
      <w:r w:rsidRPr="00920B76">
        <w:rPr>
          <w:sz w:val="24"/>
          <w:szCs w:val="24"/>
          <w:lang w:val="lt-LT"/>
        </w:rPr>
        <w:t xml:space="preserve"> Daugiau dėmesio koncentruojama į rinkos ir industrijos pasikeitimą per tą laikotarpį, naujausius pasiekimus.</w:t>
      </w:r>
    </w:p>
    <w:p w14:paraId="4D7C6B7F" w14:textId="77777777" w:rsidR="0060059F" w:rsidRDefault="00920B76" w:rsidP="00920B76">
      <w:pPr>
        <w:ind w:firstLine="567"/>
        <w:jc w:val="both"/>
        <w:rPr>
          <w:sz w:val="24"/>
          <w:szCs w:val="24"/>
          <w:lang w:val="lt-LT"/>
        </w:rPr>
      </w:pPr>
      <w:r w:rsidRPr="00920B76">
        <w:rPr>
          <w:sz w:val="24"/>
          <w:szCs w:val="24"/>
          <w:lang w:val="lt-LT"/>
        </w:rPr>
        <w:t xml:space="preserve">Vienas </w:t>
      </w:r>
      <w:r w:rsidR="00880DB1">
        <w:rPr>
          <w:sz w:val="24"/>
          <w:szCs w:val="24"/>
          <w:lang w:val="lt-LT"/>
        </w:rPr>
        <w:t xml:space="preserve">iš </w:t>
      </w:r>
      <w:r w:rsidRPr="00920B76">
        <w:rPr>
          <w:sz w:val="24"/>
          <w:szCs w:val="24"/>
          <w:lang w:val="lt-LT"/>
        </w:rPr>
        <w:t xml:space="preserve">siūlomų pakeitimų yra – įsteigti nuolatinę </w:t>
      </w:r>
      <w:bookmarkStart w:id="0" w:name="_Hlk73018989"/>
      <w:r w:rsidRPr="00920B76">
        <w:rPr>
          <w:sz w:val="24"/>
          <w:szCs w:val="24"/>
          <w:lang w:val="lt-LT"/>
        </w:rPr>
        <w:t xml:space="preserve">veiklos rezultatų peržiūros įstaigos </w:t>
      </w:r>
      <w:bookmarkEnd w:id="0"/>
      <w:r w:rsidRPr="00920B76">
        <w:rPr>
          <w:sz w:val="24"/>
          <w:szCs w:val="24"/>
          <w:lang w:val="lt-LT"/>
        </w:rPr>
        <w:t xml:space="preserve">funkciją, kurią vykdytų Europos Sąjungos aviacijos saugos agentūra (EASA). </w:t>
      </w:r>
      <w:r w:rsidR="00880DB1">
        <w:rPr>
          <w:sz w:val="24"/>
          <w:szCs w:val="24"/>
          <w:lang w:val="lt-LT"/>
        </w:rPr>
        <w:t>Siekiama</w:t>
      </w:r>
      <w:r w:rsidRPr="00920B76">
        <w:rPr>
          <w:sz w:val="24"/>
          <w:szCs w:val="24"/>
          <w:lang w:val="lt-LT"/>
        </w:rPr>
        <w:t xml:space="preserve">, kad </w:t>
      </w:r>
      <w:r w:rsidR="00880DB1" w:rsidRPr="00880DB1">
        <w:rPr>
          <w:sz w:val="24"/>
          <w:szCs w:val="24"/>
          <w:lang w:val="lt-LT"/>
        </w:rPr>
        <w:t>nuolatin</w:t>
      </w:r>
      <w:r w:rsidR="00880DB1">
        <w:rPr>
          <w:sz w:val="24"/>
          <w:szCs w:val="24"/>
          <w:lang w:val="lt-LT"/>
        </w:rPr>
        <w:t>ės</w:t>
      </w:r>
      <w:r w:rsidR="00880DB1" w:rsidRPr="00880DB1">
        <w:rPr>
          <w:sz w:val="24"/>
          <w:szCs w:val="24"/>
          <w:lang w:val="lt-LT"/>
        </w:rPr>
        <w:t xml:space="preserve"> veiklos rezultatų peržiūros įstaigos</w:t>
      </w:r>
      <w:r w:rsidRPr="00920B76">
        <w:rPr>
          <w:sz w:val="24"/>
          <w:szCs w:val="24"/>
          <w:lang w:val="lt-LT"/>
        </w:rPr>
        <w:t xml:space="preserve"> funkcijos būtų vykdomos</w:t>
      </w:r>
      <w:r w:rsidR="00880DB1">
        <w:rPr>
          <w:sz w:val="24"/>
          <w:szCs w:val="24"/>
          <w:lang w:val="lt-LT"/>
        </w:rPr>
        <w:t>,</w:t>
      </w:r>
      <w:r w:rsidRPr="00920B76">
        <w:rPr>
          <w:sz w:val="24"/>
          <w:szCs w:val="24"/>
          <w:lang w:val="lt-LT"/>
        </w:rPr>
        <w:t xml:space="preserve"> </w:t>
      </w:r>
      <w:r w:rsidR="0060059F">
        <w:rPr>
          <w:sz w:val="24"/>
          <w:szCs w:val="24"/>
          <w:lang w:val="lt-LT"/>
        </w:rPr>
        <w:t xml:space="preserve">užtikrinant </w:t>
      </w:r>
      <w:r w:rsidR="00880DB1">
        <w:rPr>
          <w:sz w:val="24"/>
          <w:szCs w:val="24"/>
          <w:lang w:val="lt-LT"/>
        </w:rPr>
        <w:t>tink</w:t>
      </w:r>
      <w:r w:rsidR="0060059F">
        <w:rPr>
          <w:sz w:val="24"/>
          <w:szCs w:val="24"/>
          <w:lang w:val="lt-LT"/>
        </w:rPr>
        <w:t>amą</w:t>
      </w:r>
      <w:r w:rsidRPr="00920B76">
        <w:rPr>
          <w:sz w:val="24"/>
          <w:szCs w:val="24"/>
          <w:lang w:val="lt-LT"/>
        </w:rPr>
        <w:t xml:space="preserve"> nepriklausomumą ir kompetenciją bei reikalingus išteklius. </w:t>
      </w:r>
    </w:p>
    <w:p w14:paraId="7D4CA3D0" w14:textId="3E00F864" w:rsidR="00821C53" w:rsidRPr="00125823" w:rsidRDefault="00B66C65" w:rsidP="00920B76">
      <w:pPr>
        <w:ind w:firstLine="567"/>
        <w:jc w:val="both"/>
        <w:rPr>
          <w:sz w:val="24"/>
          <w:szCs w:val="24"/>
          <w:lang w:val="lt-LT"/>
        </w:rPr>
      </w:pPr>
      <w:r>
        <w:rPr>
          <w:sz w:val="24"/>
          <w:szCs w:val="24"/>
          <w:lang w:val="lt-LT"/>
        </w:rPr>
        <w:t xml:space="preserve">Veiklos rezultatų priežiūros įstaigos </w:t>
      </w:r>
      <w:r w:rsidR="00920B76" w:rsidRPr="00920B76">
        <w:rPr>
          <w:sz w:val="24"/>
          <w:szCs w:val="24"/>
          <w:lang w:val="lt-LT"/>
        </w:rPr>
        <w:t xml:space="preserve">steigimo, funkcijų ir reguliavimo klausimai iš dalies yra susiję ir su valstybės gynybos interesais. Norima sutarti, ar šalys pritaria ir palaiko </w:t>
      </w:r>
      <w:r>
        <w:rPr>
          <w:sz w:val="24"/>
          <w:szCs w:val="24"/>
          <w:lang w:val="lt-LT"/>
        </w:rPr>
        <w:t>jos</w:t>
      </w:r>
      <w:r w:rsidR="00920B76" w:rsidRPr="00920B76">
        <w:rPr>
          <w:sz w:val="24"/>
          <w:szCs w:val="24"/>
          <w:lang w:val="lt-LT"/>
        </w:rPr>
        <w:t xml:space="preserve"> funkcijų stiprinimą, susiejant su EASA agentūros veikla,</w:t>
      </w:r>
      <w:r>
        <w:rPr>
          <w:sz w:val="24"/>
          <w:szCs w:val="24"/>
          <w:lang w:val="lt-LT"/>
        </w:rPr>
        <w:t xml:space="preserve"> ar </w:t>
      </w:r>
      <w:r w:rsidR="00920B76" w:rsidRPr="00920B76">
        <w:rPr>
          <w:sz w:val="24"/>
          <w:szCs w:val="24"/>
          <w:lang w:val="lt-LT"/>
        </w:rPr>
        <w:t xml:space="preserve">šalys pasirinks turėti ribotą </w:t>
      </w:r>
      <w:r w:rsidRPr="00B66C65">
        <w:rPr>
          <w:sz w:val="24"/>
          <w:szCs w:val="24"/>
          <w:lang w:val="lt-LT"/>
        </w:rPr>
        <w:t>veiklos rezultatų peržiūros įstaig</w:t>
      </w:r>
      <w:r>
        <w:rPr>
          <w:sz w:val="24"/>
          <w:szCs w:val="24"/>
          <w:lang w:val="lt-LT"/>
        </w:rPr>
        <w:t xml:space="preserve">ą, </w:t>
      </w:r>
      <w:r w:rsidR="00920B76" w:rsidRPr="00920B76">
        <w:rPr>
          <w:sz w:val="24"/>
          <w:szCs w:val="24"/>
          <w:lang w:val="lt-LT"/>
        </w:rPr>
        <w:t xml:space="preserve">numatant jai tik patariamąją funkciją ir nepriskiriant </w:t>
      </w:r>
      <w:r>
        <w:rPr>
          <w:sz w:val="24"/>
          <w:szCs w:val="24"/>
          <w:lang w:val="lt-LT"/>
        </w:rPr>
        <w:t>jos</w:t>
      </w:r>
      <w:r w:rsidR="00920B76" w:rsidRPr="00920B76">
        <w:rPr>
          <w:sz w:val="24"/>
          <w:szCs w:val="24"/>
          <w:lang w:val="lt-LT"/>
        </w:rPr>
        <w:t xml:space="preserve"> prie EASA agentūros.</w:t>
      </w:r>
    </w:p>
    <w:p w14:paraId="00356FCE" w14:textId="77777777" w:rsidR="00821C53" w:rsidRDefault="00821C53" w:rsidP="00821C53">
      <w:pPr>
        <w:ind w:firstLine="567"/>
        <w:jc w:val="both"/>
        <w:rPr>
          <w:i/>
          <w:sz w:val="24"/>
          <w:szCs w:val="24"/>
          <w:lang w:val="lt-LT"/>
        </w:rPr>
      </w:pPr>
    </w:p>
    <w:p w14:paraId="1D0EF473" w14:textId="77777777" w:rsidR="00821C53" w:rsidRPr="00EB51E6" w:rsidRDefault="00821C53" w:rsidP="00821C53">
      <w:pPr>
        <w:ind w:firstLine="567"/>
        <w:jc w:val="both"/>
        <w:rPr>
          <w:i/>
          <w:sz w:val="24"/>
          <w:szCs w:val="24"/>
          <w:lang w:val="lt-LT"/>
        </w:rPr>
      </w:pPr>
      <w:r w:rsidRPr="00EB51E6">
        <w:rPr>
          <w:i/>
          <w:sz w:val="24"/>
          <w:szCs w:val="24"/>
          <w:lang w:val="lt-LT"/>
        </w:rPr>
        <w:t>Lietuvos pozicija</w:t>
      </w:r>
    </w:p>
    <w:p w14:paraId="5BF7D9BC" w14:textId="46553028" w:rsidR="00B70245" w:rsidRDefault="00B70245" w:rsidP="00B70245">
      <w:pPr>
        <w:ind w:firstLine="567"/>
        <w:jc w:val="both"/>
        <w:rPr>
          <w:sz w:val="24"/>
          <w:szCs w:val="24"/>
          <w:lang w:val="lt-LT"/>
        </w:rPr>
      </w:pPr>
      <w:r>
        <w:rPr>
          <w:sz w:val="24"/>
          <w:szCs w:val="24"/>
          <w:lang w:val="lt-LT"/>
        </w:rPr>
        <w:t xml:space="preserve">Pritariame bendrojo požiūrio patvirtinimui. </w:t>
      </w:r>
      <w:r w:rsidRPr="00B70245">
        <w:rPr>
          <w:sz w:val="24"/>
          <w:szCs w:val="24"/>
          <w:lang w:val="lt-LT"/>
        </w:rPr>
        <w:t xml:space="preserve">Lietuva nuosekliai palaiko bendruosius SES2+ reformos tikslus. </w:t>
      </w:r>
      <w:r>
        <w:rPr>
          <w:sz w:val="24"/>
          <w:szCs w:val="24"/>
          <w:lang w:val="lt-LT"/>
        </w:rPr>
        <w:t>Š</w:t>
      </w:r>
      <w:r w:rsidRPr="00B70245">
        <w:rPr>
          <w:sz w:val="24"/>
          <w:szCs w:val="24"/>
          <w:lang w:val="lt-LT"/>
        </w:rPr>
        <w:t>iuo metu turime nestandartinę situaciją sektori</w:t>
      </w:r>
      <w:r>
        <w:rPr>
          <w:sz w:val="24"/>
          <w:szCs w:val="24"/>
          <w:lang w:val="lt-LT"/>
        </w:rPr>
        <w:t>uje</w:t>
      </w:r>
      <w:r w:rsidRPr="00B70245">
        <w:rPr>
          <w:sz w:val="24"/>
          <w:szCs w:val="24"/>
          <w:lang w:val="lt-LT"/>
        </w:rPr>
        <w:t>, veikiamą pandemijos</w:t>
      </w:r>
      <w:r>
        <w:rPr>
          <w:sz w:val="24"/>
          <w:szCs w:val="24"/>
          <w:lang w:val="lt-LT"/>
        </w:rPr>
        <w:t>.</w:t>
      </w:r>
      <w:r w:rsidRPr="00B70245">
        <w:rPr>
          <w:sz w:val="24"/>
          <w:szCs w:val="24"/>
          <w:lang w:val="lt-LT"/>
        </w:rPr>
        <w:t xml:space="preserve"> Tačiau tai yra laikina ir greit</w:t>
      </w:r>
      <w:r>
        <w:rPr>
          <w:sz w:val="24"/>
          <w:szCs w:val="24"/>
          <w:lang w:val="lt-LT"/>
        </w:rPr>
        <w:t>ai</w:t>
      </w:r>
      <w:r w:rsidRPr="00B70245">
        <w:rPr>
          <w:sz w:val="24"/>
          <w:szCs w:val="24"/>
          <w:lang w:val="lt-LT"/>
        </w:rPr>
        <w:t xml:space="preserve"> vėl susidursime su tais pačiais iššūkiais, kurie buvo 2018 m. (pajėgumų trūkumas, efektyvumas, sauga ir aplinkosauga</w:t>
      </w:r>
      <w:r>
        <w:rPr>
          <w:sz w:val="24"/>
          <w:szCs w:val="24"/>
          <w:lang w:val="lt-LT"/>
        </w:rPr>
        <w:t>)</w:t>
      </w:r>
      <w:r w:rsidRPr="00B70245">
        <w:rPr>
          <w:sz w:val="24"/>
          <w:szCs w:val="24"/>
          <w:lang w:val="lt-LT"/>
        </w:rPr>
        <w:t>.</w:t>
      </w:r>
      <w:r>
        <w:rPr>
          <w:sz w:val="24"/>
          <w:szCs w:val="24"/>
          <w:lang w:val="lt-LT"/>
        </w:rPr>
        <w:t xml:space="preserve"> Todėl tikslinga </w:t>
      </w:r>
      <w:r w:rsidRPr="00B70245">
        <w:rPr>
          <w:sz w:val="24"/>
          <w:szCs w:val="24"/>
          <w:lang w:val="lt-LT"/>
        </w:rPr>
        <w:t xml:space="preserve">pradėti derybas su Europos Parlamentu kuo skubiau, kad būtų išgrynintos galimos tolimesnės priešpriešos ir aktualios diskusijos tarp Tarybos ir Europos Parlamento, </w:t>
      </w:r>
      <w:r>
        <w:rPr>
          <w:sz w:val="24"/>
          <w:szCs w:val="24"/>
          <w:lang w:val="lt-LT"/>
        </w:rPr>
        <w:t xml:space="preserve">kad </w:t>
      </w:r>
      <w:r w:rsidRPr="00B70245">
        <w:rPr>
          <w:sz w:val="24"/>
          <w:szCs w:val="24"/>
          <w:lang w:val="lt-LT"/>
        </w:rPr>
        <w:t>būtų galimybė vertinti realią reformos apimtį.</w:t>
      </w:r>
    </w:p>
    <w:p w14:paraId="35DD1C0A" w14:textId="77777777" w:rsidR="00B70245" w:rsidRDefault="00B70245" w:rsidP="00821C53">
      <w:pPr>
        <w:ind w:firstLine="567"/>
        <w:jc w:val="both"/>
        <w:rPr>
          <w:sz w:val="24"/>
          <w:szCs w:val="24"/>
          <w:lang w:val="lt-LT"/>
        </w:rPr>
      </w:pPr>
    </w:p>
    <w:p w14:paraId="67ED664A" w14:textId="47A647C7" w:rsidR="00821C53" w:rsidRPr="00EB51E6" w:rsidRDefault="00821C53" w:rsidP="00821C53">
      <w:pPr>
        <w:jc w:val="both"/>
        <w:rPr>
          <w:b/>
          <w:sz w:val="24"/>
          <w:szCs w:val="24"/>
          <w:lang w:val="lt-LT"/>
        </w:rPr>
      </w:pPr>
      <w:r w:rsidRPr="00EB51E6">
        <w:rPr>
          <w:b/>
          <w:sz w:val="24"/>
          <w:szCs w:val="24"/>
          <w:lang w:val="lt-LT"/>
        </w:rPr>
        <w:t>2. Judumo dokumentų rinkinys I</w:t>
      </w:r>
    </w:p>
    <w:p w14:paraId="197A108F" w14:textId="2A8E1EBD" w:rsidR="00821C53" w:rsidRDefault="00873871" w:rsidP="00873871">
      <w:pPr>
        <w:jc w:val="both"/>
        <w:rPr>
          <w:sz w:val="24"/>
          <w:szCs w:val="24"/>
          <w:lang w:val="lt-LT"/>
        </w:rPr>
      </w:pPr>
      <w:r w:rsidRPr="00873871">
        <w:rPr>
          <w:b/>
          <w:sz w:val="24"/>
          <w:szCs w:val="24"/>
          <w:lang w:val="lt-LT"/>
        </w:rPr>
        <w:t>Direktyva, iš dalies keičianti Direktyvą 2006/1 / EB dėl nuomojamų transporto priemonių naudojimo</w:t>
      </w:r>
      <w:r>
        <w:rPr>
          <w:b/>
          <w:sz w:val="24"/>
          <w:szCs w:val="24"/>
          <w:lang w:val="lt-LT"/>
        </w:rPr>
        <w:t xml:space="preserve"> </w:t>
      </w:r>
      <w:r w:rsidRPr="00873871">
        <w:rPr>
          <w:b/>
          <w:sz w:val="24"/>
          <w:szCs w:val="24"/>
          <w:lang w:val="lt-LT"/>
        </w:rPr>
        <w:t xml:space="preserve"> </w:t>
      </w:r>
      <w:r w:rsidR="00821C53">
        <w:rPr>
          <w:b/>
          <w:sz w:val="24"/>
          <w:szCs w:val="24"/>
          <w:lang w:val="lt-LT"/>
        </w:rPr>
        <w:t xml:space="preserve">– </w:t>
      </w:r>
      <w:r w:rsidR="00821C53">
        <w:rPr>
          <w:sz w:val="24"/>
          <w:szCs w:val="24"/>
          <w:lang w:val="lt-LT"/>
        </w:rPr>
        <w:t>Bendrasis požiūris</w:t>
      </w:r>
    </w:p>
    <w:p w14:paraId="7AD9F219" w14:textId="77777777" w:rsidR="00821C53" w:rsidRDefault="00821C53" w:rsidP="00821C53">
      <w:pPr>
        <w:jc w:val="both"/>
        <w:rPr>
          <w:sz w:val="24"/>
          <w:szCs w:val="24"/>
          <w:lang w:val="lt-LT"/>
        </w:rPr>
      </w:pPr>
    </w:p>
    <w:p w14:paraId="1629931C" w14:textId="77777777" w:rsidR="00821C53" w:rsidRPr="00EB51E6" w:rsidRDefault="00821C53" w:rsidP="00821C53">
      <w:pPr>
        <w:ind w:firstLine="567"/>
        <w:jc w:val="both"/>
        <w:rPr>
          <w:i/>
          <w:sz w:val="24"/>
          <w:szCs w:val="24"/>
          <w:lang w:val="lt-LT"/>
        </w:rPr>
      </w:pPr>
      <w:r w:rsidRPr="00EB51E6">
        <w:rPr>
          <w:i/>
          <w:sz w:val="24"/>
          <w:szCs w:val="24"/>
          <w:lang w:val="lt-LT"/>
        </w:rPr>
        <w:t>Klausimo esmė</w:t>
      </w:r>
    </w:p>
    <w:p w14:paraId="1E3DD5C6" w14:textId="1A9F0D9E" w:rsidR="00873871" w:rsidRDefault="00821C53" w:rsidP="00873871">
      <w:pPr>
        <w:ind w:firstLine="567"/>
        <w:jc w:val="both"/>
        <w:rPr>
          <w:sz w:val="24"/>
          <w:szCs w:val="24"/>
          <w:lang w:val="lt-LT"/>
        </w:rPr>
      </w:pPr>
      <w:r w:rsidRPr="009828F8">
        <w:rPr>
          <w:sz w:val="24"/>
          <w:szCs w:val="24"/>
          <w:lang w:val="lt-LT"/>
        </w:rPr>
        <w:t xml:space="preserve"> </w:t>
      </w:r>
      <w:r w:rsidR="00873871" w:rsidRPr="00873871">
        <w:rPr>
          <w:sz w:val="24"/>
          <w:szCs w:val="24"/>
          <w:lang w:val="lt-LT"/>
        </w:rPr>
        <w:t>Direktyvoje 2006/1/EB numat</w:t>
      </w:r>
      <w:r w:rsidR="00873871">
        <w:rPr>
          <w:sz w:val="24"/>
          <w:szCs w:val="24"/>
          <w:lang w:val="lt-LT"/>
        </w:rPr>
        <w:t>ytas</w:t>
      </w:r>
      <w:r w:rsidR="00873871" w:rsidRPr="00873871">
        <w:rPr>
          <w:sz w:val="24"/>
          <w:szCs w:val="24"/>
          <w:lang w:val="lt-LT"/>
        </w:rPr>
        <w:t xml:space="preserve"> minimalus rinkos atvėrimas transporto priemonių, išnuomotų be vairuotojų, naudojimui kroviniams vežti keliais tarp valstybių narių tiek įmonėms, įsisteigusioms jų teritorijoje, tiek įmonėms, įsisteigusioms kitoje valstybėje narėje. Tačiau</w:t>
      </w:r>
      <w:r w:rsidR="00E25ACC">
        <w:rPr>
          <w:sz w:val="24"/>
          <w:szCs w:val="24"/>
          <w:lang w:val="lt-LT"/>
        </w:rPr>
        <w:t xml:space="preserve"> ši</w:t>
      </w:r>
      <w:r w:rsidR="00873871" w:rsidRPr="00873871">
        <w:rPr>
          <w:sz w:val="24"/>
          <w:szCs w:val="24"/>
          <w:lang w:val="lt-LT"/>
        </w:rPr>
        <w:t xml:space="preserve"> direktyva valstybei narei leidžiama nustatyti, kad jos teritorijoje įsisteigusios įmonės naudotų tik tas išnuomotas transporto priemones, kurios yra įregistruotos toje valstybėje narėje; be to, leidžiama uždrausti naudoti išnuomotas transporto priemones, kurių bendras leistinas pakrauto automobilio svoris didesnis nei 6 tonos, vežimo operacijoms savo sąskaita vykdyti</w:t>
      </w:r>
      <w:r w:rsidR="00E25ACC">
        <w:rPr>
          <w:sz w:val="24"/>
          <w:szCs w:val="24"/>
          <w:lang w:val="lt-LT"/>
        </w:rPr>
        <w:t xml:space="preserve">. Taip pat </w:t>
      </w:r>
      <w:r w:rsidR="00873871" w:rsidRPr="00873871">
        <w:rPr>
          <w:sz w:val="24"/>
          <w:szCs w:val="24"/>
          <w:lang w:val="lt-LT"/>
        </w:rPr>
        <w:tab/>
        <w:t xml:space="preserve">kitoje valstybėje narėje įsisteigusių įmonių atžvilgiu ta direktyva taikoma tik transporto priemonių, įregistruotų toje pačioje valstybėje narėje, </w:t>
      </w:r>
      <w:proofErr w:type="spellStart"/>
      <w:r w:rsidR="00873871" w:rsidRPr="00873871">
        <w:rPr>
          <w:sz w:val="24"/>
          <w:szCs w:val="24"/>
          <w:lang w:val="lt-LT"/>
        </w:rPr>
        <w:t>nuomavimui</w:t>
      </w:r>
      <w:proofErr w:type="spellEnd"/>
      <w:r w:rsidR="00873871" w:rsidRPr="00873871">
        <w:rPr>
          <w:sz w:val="24"/>
          <w:szCs w:val="24"/>
          <w:lang w:val="lt-LT"/>
        </w:rPr>
        <w:t xml:space="preserve"> eismo tarp valstybių narių tikslais.</w:t>
      </w:r>
    </w:p>
    <w:p w14:paraId="12032E97" w14:textId="39B5E81C" w:rsidR="00873871" w:rsidRDefault="00E25ACC" w:rsidP="00E25ACC">
      <w:pPr>
        <w:ind w:firstLine="567"/>
        <w:jc w:val="both"/>
        <w:rPr>
          <w:sz w:val="24"/>
          <w:szCs w:val="24"/>
          <w:lang w:val="lt-LT"/>
        </w:rPr>
      </w:pPr>
      <w:r>
        <w:rPr>
          <w:sz w:val="24"/>
          <w:szCs w:val="24"/>
          <w:lang w:val="lt-LT"/>
        </w:rPr>
        <w:t xml:space="preserve">Nauju pasiūlymu </w:t>
      </w:r>
      <w:r w:rsidR="00873871" w:rsidRPr="00873871">
        <w:rPr>
          <w:sz w:val="24"/>
          <w:szCs w:val="24"/>
          <w:lang w:val="lt-LT"/>
        </w:rPr>
        <w:t>siūlo</w:t>
      </w:r>
      <w:r>
        <w:rPr>
          <w:sz w:val="24"/>
          <w:szCs w:val="24"/>
          <w:lang w:val="lt-LT"/>
        </w:rPr>
        <w:t>ma</w:t>
      </w:r>
      <w:r w:rsidR="00873871" w:rsidRPr="00873871">
        <w:rPr>
          <w:sz w:val="24"/>
          <w:szCs w:val="24"/>
          <w:lang w:val="lt-LT"/>
        </w:rPr>
        <w:t xml:space="preserve"> iš dalies pakeisti Direktyvą 2006/1/EB</w:t>
      </w:r>
      <w:r>
        <w:rPr>
          <w:sz w:val="24"/>
          <w:szCs w:val="24"/>
          <w:lang w:val="lt-LT"/>
        </w:rPr>
        <w:t>,</w:t>
      </w:r>
      <w:r w:rsidR="00873871" w:rsidRPr="00873871">
        <w:rPr>
          <w:sz w:val="24"/>
          <w:szCs w:val="24"/>
          <w:lang w:val="lt-LT"/>
        </w:rPr>
        <w:t xml:space="preserve"> kad būtų panaikinti esami apribojimai ir nustatyta aiški bei vienoda reglamentavimo sistema, kuri vežėjams visoje ES suteiktų vienodas galimybes patekti į nuomojamų transporto priemonių rinką.</w:t>
      </w:r>
    </w:p>
    <w:p w14:paraId="08BEC3CF" w14:textId="77777777" w:rsidR="00873871" w:rsidRDefault="00873871" w:rsidP="00873871">
      <w:pPr>
        <w:ind w:firstLine="567"/>
        <w:jc w:val="both"/>
        <w:rPr>
          <w:sz w:val="24"/>
          <w:szCs w:val="24"/>
          <w:lang w:val="lt-LT"/>
        </w:rPr>
      </w:pPr>
    </w:p>
    <w:p w14:paraId="7A672D46" w14:textId="77777777" w:rsidR="00821C53" w:rsidRPr="00EB51E6" w:rsidRDefault="00821C53" w:rsidP="00821C53">
      <w:pPr>
        <w:ind w:firstLine="567"/>
        <w:jc w:val="both"/>
        <w:rPr>
          <w:i/>
          <w:sz w:val="24"/>
          <w:szCs w:val="24"/>
          <w:lang w:val="lt-LT"/>
        </w:rPr>
      </w:pPr>
      <w:r w:rsidRPr="00EB51E6">
        <w:rPr>
          <w:i/>
          <w:sz w:val="24"/>
          <w:szCs w:val="24"/>
          <w:lang w:val="lt-LT"/>
        </w:rPr>
        <w:t>Lietuvos pozicija</w:t>
      </w:r>
    </w:p>
    <w:p w14:paraId="3B1D5024" w14:textId="0B3EEE61" w:rsidR="00873871" w:rsidRPr="00873871" w:rsidRDefault="00873871" w:rsidP="00873871">
      <w:pPr>
        <w:ind w:firstLine="567"/>
        <w:jc w:val="both"/>
        <w:rPr>
          <w:bCs/>
          <w:iCs/>
          <w:sz w:val="24"/>
          <w:szCs w:val="24"/>
          <w:bdr w:val="none" w:sz="0" w:space="0" w:color="auto" w:frame="1"/>
          <w:lang w:val="lt-LT" w:eastAsia="lt-LT"/>
        </w:rPr>
      </w:pPr>
      <w:r w:rsidRPr="00873871">
        <w:rPr>
          <w:bCs/>
          <w:iCs/>
          <w:sz w:val="24"/>
          <w:szCs w:val="24"/>
          <w:bdr w:val="none" w:sz="0" w:space="0" w:color="auto" w:frame="1"/>
          <w:lang w:val="lt-LT" w:eastAsia="lt-LT"/>
        </w:rPr>
        <w:t>Siūlome pritarti bendrajam požiūriui.</w:t>
      </w:r>
      <w:r>
        <w:rPr>
          <w:bCs/>
          <w:iCs/>
          <w:sz w:val="24"/>
          <w:szCs w:val="24"/>
          <w:bdr w:val="none" w:sz="0" w:space="0" w:color="auto" w:frame="1"/>
          <w:lang w:val="lt-LT" w:eastAsia="lt-LT"/>
        </w:rPr>
        <w:t xml:space="preserve"> </w:t>
      </w:r>
    </w:p>
    <w:p w14:paraId="6340C4A6" w14:textId="63382921" w:rsidR="00821C53" w:rsidRPr="00E25CE4" w:rsidRDefault="00873871" w:rsidP="00873871">
      <w:pPr>
        <w:ind w:firstLine="567"/>
        <w:jc w:val="both"/>
        <w:rPr>
          <w:bCs/>
          <w:iCs/>
          <w:sz w:val="24"/>
          <w:szCs w:val="24"/>
          <w:bdr w:val="none" w:sz="0" w:space="0" w:color="auto" w:frame="1"/>
          <w:lang w:val="lt-LT" w:eastAsia="lt-LT"/>
        </w:rPr>
      </w:pPr>
      <w:r w:rsidRPr="00873871">
        <w:rPr>
          <w:bCs/>
          <w:iCs/>
          <w:sz w:val="24"/>
          <w:szCs w:val="24"/>
          <w:bdr w:val="none" w:sz="0" w:space="0" w:color="auto" w:frame="1"/>
          <w:lang w:val="lt-LT" w:eastAsia="lt-LT"/>
        </w:rPr>
        <w:t>Esant galimybei arba kilus diskusijai dėl sąsajos su Mobilumo paketo pasiūlymais, tikslinga akcentuoti poreikį mažinti rinkos apribojimus ES kelių transporto sektoriuje ir suteikti kelių vežimo įmonėms reikiamo lankstumo.</w:t>
      </w:r>
    </w:p>
    <w:p w14:paraId="46C4F5A3" w14:textId="77777777" w:rsidR="00821C53" w:rsidRDefault="00821C53" w:rsidP="00821C53">
      <w:pPr>
        <w:ind w:firstLine="567"/>
        <w:jc w:val="both"/>
        <w:rPr>
          <w:sz w:val="24"/>
          <w:szCs w:val="24"/>
          <w:lang w:val="lt-LT"/>
        </w:rPr>
      </w:pPr>
    </w:p>
    <w:p w14:paraId="0D10462F" w14:textId="263F0EAC" w:rsidR="00821C53" w:rsidRDefault="00821C53" w:rsidP="00496DA0">
      <w:pPr>
        <w:jc w:val="both"/>
        <w:rPr>
          <w:sz w:val="24"/>
          <w:szCs w:val="24"/>
          <w:lang w:val="lt-LT"/>
        </w:rPr>
      </w:pPr>
      <w:r w:rsidRPr="00EB51E6">
        <w:rPr>
          <w:b/>
          <w:sz w:val="24"/>
          <w:szCs w:val="24"/>
          <w:lang w:val="lt-LT"/>
        </w:rPr>
        <w:t xml:space="preserve">3.  </w:t>
      </w:r>
      <w:r w:rsidR="00496DA0" w:rsidRPr="00496DA0">
        <w:rPr>
          <w:b/>
          <w:sz w:val="24"/>
          <w:szCs w:val="24"/>
          <w:lang w:val="lt-LT"/>
        </w:rPr>
        <w:t>Direktyva, iš dalies keičianti Direktyvą 2017/2397 dėl trečiųjų šalių pažymėjimų pripažinimo</w:t>
      </w:r>
      <w:r w:rsidR="00496DA0">
        <w:rPr>
          <w:b/>
          <w:sz w:val="24"/>
          <w:szCs w:val="24"/>
          <w:lang w:val="lt-LT"/>
        </w:rPr>
        <w:t xml:space="preserve"> – </w:t>
      </w:r>
      <w:r w:rsidR="00496DA0" w:rsidRPr="00496DA0">
        <w:rPr>
          <w:bCs/>
          <w:sz w:val="24"/>
          <w:szCs w:val="24"/>
          <w:lang w:val="lt-LT"/>
        </w:rPr>
        <w:t>Bendras požiūris</w:t>
      </w:r>
      <w:r w:rsidR="00496DA0" w:rsidRPr="00496DA0">
        <w:rPr>
          <w:b/>
          <w:sz w:val="24"/>
          <w:szCs w:val="24"/>
          <w:lang w:val="lt-LT"/>
        </w:rPr>
        <w:t xml:space="preserve"> </w:t>
      </w:r>
    </w:p>
    <w:p w14:paraId="446135FE" w14:textId="77777777" w:rsidR="00821C53" w:rsidRDefault="00821C53" w:rsidP="00821C53">
      <w:pPr>
        <w:jc w:val="both"/>
        <w:rPr>
          <w:i/>
          <w:sz w:val="24"/>
          <w:szCs w:val="24"/>
          <w:lang w:val="lt-LT"/>
        </w:rPr>
      </w:pPr>
    </w:p>
    <w:p w14:paraId="60611E99" w14:textId="77777777" w:rsidR="00821C53" w:rsidRPr="00EB51E6" w:rsidRDefault="00821C53" w:rsidP="007F272C">
      <w:pPr>
        <w:ind w:firstLine="567"/>
        <w:jc w:val="both"/>
        <w:rPr>
          <w:i/>
          <w:sz w:val="24"/>
          <w:szCs w:val="24"/>
          <w:lang w:val="lt-LT"/>
        </w:rPr>
      </w:pPr>
      <w:r w:rsidRPr="00EB51E6">
        <w:rPr>
          <w:i/>
          <w:sz w:val="24"/>
          <w:szCs w:val="24"/>
          <w:lang w:val="lt-LT"/>
        </w:rPr>
        <w:t>Klausimo esmė</w:t>
      </w:r>
    </w:p>
    <w:p w14:paraId="6C969B17" w14:textId="1E5C7569" w:rsidR="00115E38" w:rsidRPr="00115E38" w:rsidRDefault="00115E38" w:rsidP="00DA4A3E">
      <w:pPr>
        <w:pStyle w:val="Sraopastraipa"/>
        <w:ind w:left="0" w:firstLine="567"/>
        <w:jc w:val="both"/>
        <w:rPr>
          <w:sz w:val="24"/>
          <w:szCs w:val="24"/>
          <w:lang w:val="lt-LT"/>
        </w:rPr>
      </w:pPr>
      <w:r>
        <w:rPr>
          <w:sz w:val="24"/>
          <w:szCs w:val="24"/>
          <w:lang w:val="lt-LT"/>
        </w:rPr>
        <w:t>P</w:t>
      </w:r>
      <w:r w:rsidRPr="00115E38">
        <w:rPr>
          <w:sz w:val="24"/>
          <w:szCs w:val="24"/>
          <w:lang w:val="lt-LT"/>
        </w:rPr>
        <w:t>asiūlymo tikslas – iš dalies pakeisti Direktyvos (ES) 2017/2397 dėl vidaus vandenų laivybos srities profesinių kvalifikacijų pripažinimo pereinamojo laikotarpio nuostatas, kad jos būtų taikomos trečiųjų šalių išduotiems kvalifikacijos pažymėjimams, tarnybos įrašų knygelėms ir laivo žurnalams</w:t>
      </w:r>
      <w:r w:rsidR="00DA4A3E">
        <w:rPr>
          <w:sz w:val="24"/>
          <w:szCs w:val="24"/>
          <w:lang w:val="lt-LT"/>
        </w:rPr>
        <w:t>.</w:t>
      </w:r>
      <w:r w:rsidRPr="00115E38">
        <w:rPr>
          <w:sz w:val="24"/>
          <w:szCs w:val="24"/>
          <w:lang w:val="lt-LT"/>
        </w:rPr>
        <w:t xml:space="preserve"> </w:t>
      </w:r>
      <w:r w:rsidR="00DA4A3E">
        <w:rPr>
          <w:sz w:val="24"/>
          <w:szCs w:val="24"/>
          <w:lang w:val="lt-LT"/>
        </w:rPr>
        <w:t>D</w:t>
      </w:r>
      <w:r w:rsidRPr="00115E38">
        <w:rPr>
          <w:sz w:val="24"/>
          <w:szCs w:val="24"/>
          <w:lang w:val="lt-LT"/>
        </w:rPr>
        <w:t xml:space="preserve">irektyvos 38 straipsnyje nustatytos pereinamojo laikotarpio priemonės, taikomos trečiųjų šalių pažymėjimams, išduotiems anksčiau nei 2022 m. sausio 18 d. </w:t>
      </w:r>
      <w:r w:rsidR="00DA4A3E">
        <w:rPr>
          <w:sz w:val="24"/>
          <w:szCs w:val="24"/>
          <w:lang w:val="lt-LT"/>
        </w:rPr>
        <w:t>P</w:t>
      </w:r>
      <w:r w:rsidRPr="00115E38">
        <w:rPr>
          <w:sz w:val="24"/>
          <w:szCs w:val="24"/>
          <w:lang w:val="lt-LT"/>
        </w:rPr>
        <w:t>ažymėjimai Sąjungos vidaus vandenų keliuose, kuriuose jie galiojo iki tos dienos, toliau galioja ne ilgiau nei 10 metų.</w:t>
      </w:r>
    </w:p>
    <w:p w14:paraId="68C8B5F1" w14:textId="119AF136" w:rsidR="00115E38" w:rsidRPr="00DA4A3E" w:rsidRDefault="00DA4A3E" w:rsidP="00DA4A3E">
      <w:pPr>
        <w:jc w:val="both"/>
        <w:rPr>
          <w:sz w:val="24"/>
          <w:szCs w:val="24"/>
          <w:lang w:val="lt-LT"/>
        </w:rPr>
      </w:pPr>
      <w:r>
        <w:rPr>
          <w:sz w:val="24"/>
          <w:szCs w:val="24"/>
          <w:lang w:val="lt-LT"/>
        </w:rPr>
        <w:t>T</w:t>
      </w:r>
      <w:r w:rsidR="00115E38" w:rsidRPr="00DA4A3E">
        <w:rPr>
          <w:sz w:val="24"/>
          <w:szCs w:val="24"/>
          <w:lang w:val="lt-LT"/>
        </w:rPr>
        <w:t>ačiau direktyvoje nenumatyta jokių pereinamojo laikotarpio priemonių trečiųjų šalių pažymėjimams, kuriuos valstybės narės šiuo metu pripažįsta vienašališkai arba pagal savo tarptautinius susitarimus.</w:t>
      </w:r>
    </w:p>
    <w:p w14:paraId="5B7E5038" w14:textId="77777777" w:rsidR="00DA4A3E" w:rsidRDefault="00115E38" w:rsidP="00DA4A3E">
      <w:pPr>
        <w:jc w:val="both"/>
        <w:rPr>
          <w:sz w:val="24"/>
          <w:szCs w:val="24"/>
          <w:lang w:val="lt-LT"/>
        </w:rPr>
      </w:pPr>
      <w:r w:rsidRPr="00DA4A3E">
        <w:rPr>
          <w:sz w:val="24"/>
          <w:szCs w:val="24"/>
          <w:lang w:val="lt-LT"/>
        </w:rPr>
        <w:t xml:space="preserve">Todėl nuo 2022 m. sausio 17 d. trečiųjų šalių pažymėjimai Sąjungoje būtų pripažįstami tik tada, kai Komisija bus priėmusi įgyvendinimo aktą, pagal kurį Sąjungoje būtų pripažįstami tos trečiosios šalies išduoti dokumentai. </w:t>
      </w:r>
    </w:p>
    <w:p w14:paraId="76F8D0AA" w14:textId="0B807E6A" w:rsidR="00115E38" w:rsidRPr="00DA4A3E" w:rsidRDefault="00115E38" w:rsidP="00DA4A3E">
      <w:pPr>
        <w:jc w:val="both"/>
        <w:rPr>
          <w:sz w:val="24"/>
          <w:szCs w:val="24"/>
          <w:lang w:val="lt-LT"/>
        </w:rPr>
      </w:pPr>
      <w:r w:rsidRPr="00DA4A3E">
        <w:rPr>
          <w:sz w:val="24"/>
          <w:szCs w:val="24"/>
          <w:lang w:val="lt-LT"/>
        </w:rPr>
        <w:t>Atsižvelgiant į tai, kad trečiųjų šalių išduotų dokumentų pripažinimo procedūra yra ganėtinai ilga ir jos gali nepavykti laiku užbaigti, Komisija pasiūlė numatyti tinkamą laikotarpį (iki 2032 m. sausio 17 d.), kurio metu valstybė narė, remdamasi savo nacionaliniais reikalavimais, nustatytais anksčiau nei 2018 m. sausio 16 d., atitinkamos valstybės narės teritorijos atžvilgiu galėtų toliau pripažinti trečiųjų šalių pažymėjimus, kuriuos ta valstybė narė šiuo metu pripažįsta vienašališkai arba remdamasi tarptautiniu susitarimu.</w:t>
      </w:r>
    </w:p>
    <w:p w14:paraId="3FDF7449" w14:textId="77777777" w:rsidR="00821C53" w:rsidRDefault="00821C53" w:rsidP="00821C53">
      <w:pPr>
        <w:jc w:val="both"/>
        <w:rPr>
          <w:i/>
          <w:sz w:val="24"/>
          <w:szCs w:val="24"/>
          <w:lang w:val="lt-LT"/>
        </w:rPr>
      </w:pPr>
    </w:p>
    <w:p w14:paraId="7A7CDBA0" w14:textId="77777777" w:rsidR="00821C53" w:rsidRPr="00EB51E6" w:rsidRDefault="00821C53" w:rsidP="007F272C">
      <w:pPr>
        <w:ind w:firstLine="567"/>
        <w:jc w:val="both"/>
        <w:rPr>
          <w:i/>
          <w:sz w:val="24"/>
          <w:szCs w:val="24"/>
          <w:lang w:val="lt-LT"/>
        </w:rPr>
      </w:pPr>
      <w:r w:rsidRPr="00EB51E6">
        <w:rPr>
          <w:i/>
          <w:sz w:val="24"/>
          <w:szCs w:val="24"/>
          <w:lang w:val="lt-LT"/>
        </w:rPr>
        <w:t>Lietuvos pozicija</w:t>
      </w:r>
    </w:p>
    <w:p w14:paraId="04A79990" w14:textId="03531D85" w:rsidR="00821C53" w:rsidRPr="007B39F1" w:rsidRDefault="00DA4A3E" w:rsidP="00821C53">
      <w:pPr>
        <w:ind w:firstLine="567"/>
        <w:jc w:val="both"/>
        <w:rPr>
          <w:sz w:val="24"/>
          <w:szCs w:val="24"/>
          <w:lang w:val="lt-LT"/>
        </w:rPr>
      </w:pPr>
      <w:r>
        <w:rPr>
          <w:sz w:val="24"/>
          <w:szCs w:val="24"/>
          <w:lang w:val="lt-LT"/>
        </w:rPr>
        <w:t>Siūloma neprieštarauti bendrojo požiūrio priėmimui.</w:t>
      </w:r>
      <w:r w:rsidR="00821C53" w:rsidRPr="007B39F1">
        <w:rPr>
          <w:sz w:val="24"/>
          <w:szCs w:val="24"/>
          <w:lang w:val="lt-LT"/>
        </w:rPr>
        <w:t xml:space="preserve"> </w:t>
      </w:r>
    </w:p>
    <w:p w14:paraId="2CBAD991" w14:textId="77777777" w:rsidR="00821C53" w:rsidRDefault="00821C53" w:rsidP="00821C53">
      <w:pPr>
        <w:jc w:val="both"/>
        <w:rPr>
          <w:sz w:val="24"/>
          <w:szCs w:val="24"/>
          <w:lang w:val="lt-LT"/>
        </w:rPr>
      </w:pPr>
    </w:p>
    <w:p w14:paraId="106F402E" w14:textId="609D8F58" w:rsidR="00821C53" w:rsidRPr="00B6203A" w:rsidRDefault="00821C53" w:rsidP="00633000">
      <w:pPr>
        <w:jc w:val="both"/>
        <w:rPr>
          <w:bCs/>
          <w:sz w:val="24"/>
          <w:szCs w:val="24"/>
          <w:lang w:val="lt-LT"/>
        </w:rPr>
      </w:pPr>
      <w:r w:rsidRPr="00EB51E6">
        <w:rPr>
          <w:b/>
          <w:sz w:val="24"/>
          <w:szCs w:val="24"/>
          <w:lang w:val="lt-LT"/>
        </w:rPr>
        <w:t xml:space="preserve">4.   </w:t>
      </w:r>
      <w:r w:rsidR="00633000" w:rsidRPr="00633000">
        <w:rPr>
          <w:b/>
          <w:sz w:val="24"/>
          <w:szCs w:val="24"/>
          <w:lang w:val="lt-LT"/>
        </w:rPr>
        <w:t>Išvados dėl „Geležinkelių iškėlimas pažangaus ir tvaraus judumo priešakyje“</w:t>
      </w:r>
      <w:r w:rsidR="00633000">
        <w:rPr>
          <w:b/>
          <w:sz w:val="24"/>
          <w:szCs w:val="24"/>
          <w:lang w:val="lt-LT"/>
        </w:rPr>
        <w:t xml:space="preserve"> </w:t>
      </w:r>
      <w:r w:rsidR="00633000" w:rsidRPr="00633000">
        <w:rPr>
          <w:bCs/>
          <w:sz w:val="24"/>
          <w:szCs w:val="24"/>
          <w:lang w:val="lt-LT"/>
        </w:rPr>
        <w:t>– Patvirtinimas</w:t>
      </w:r>
    </w:p>
    <w:p w14:paraId="16FDE2D4" w14:textId="77777777" w:rsidR="00821C53" w:rsidRDefault="00821C53" w:rsidP="00821C53">
      <w:pPr>
        <w:jc w:val="both"/>
        <w:rPr>
          <w:sz w:val="24"/>
          <w:szCs w:val="24"/>
          <w:lang w:val="lt-LT"/>
        </w:rPr>
      </w:pPr>
    </w:p>
    <w:p w14:paraId="24F3A8BF" w14:textId="77777777" w:rsidR="00821C53" w:rsidRPr="00EB51E6" w:rsidRDefault="00821C53" w:rsidP="00821C53">
      <w:pPr>
        <w:ind w:firstLine="567"/>
        <w:jc w:val="both"/>
        <w:rPr>
          <w:i/>
          <w:sz w:val="24"/>
          <w:szCs w:val="24"/>
          <w:lang w:val="lt-LT"/>
        </w:rPr>
      </w:pPr>
      <w:r w:rsidRPr="00EB51E6">
        <w:rPr>
          <w:i/>
          <w:sz w:val="24"/>
          <w:szCs w:val="24"/>
          <w:lang w:val="lt-LT"/>
        </w:rPr>
        <w:t>Klausimo esmė</w:t>
      </w:r>
    </w:p>
    <w:p w14:paraId="448C1199" w14:textId="200BC567" w:rsidR="00633000" w:rsidRPr="00633000" w:rsidRDefault="00633000" w:rsidP="00633000">
      <w:pPr>
        <w:ind w:firstLine="567"/>
        <w:jc w:val="both"/>
        <w:rPr>
          <w:sz w:val="24"/>
          <w:szCs w:val="24"/>
          <w:lang w:val="lt-LT"/>
        </w:rPr>
      </w:pPr>
      <w:r w:rsidRPr="00633000">
        <w:rPr>
          <w:sz w:val="24"/>
          <w:szCs w:val="24"/>
          <w:lang w:val="lt-LT"/>
        </w:rPr>
        <w:t>Atsižvelgiant į tai, kad 2021 m. paskelbti Europos geležinkelių metais, 2021 m. kovo 30 d. buvo organizuota</w:t>
      </w:r>
      <w:r>
        <w:rPr>
          <w:sz w:val="24"/>
          <w:szCs w:val="24"/>
          <w:lang w:val="lt-LT"/>
        </w:rPr>
        <w:t>s</w:t>
      </w:r>
      <w:r w:rsidRPr="00633000">
        <w:rPr>
          <w:sz w:val="24"/>
          <w:szCs w:val="24"/>
          <w:lang w:val="lt-LT"/>
        </w:rPr>
        <w:t xml:space="preserve"> neoficialus transporto ministrų susitikimas, skirtas geležinkeliams. Šio susitikimo tikslas buvo įvertinti įvairias vykstančias politines ir operatyvines iniciatyvas, skirtas geležinkelių transporto paslaugoms gerinti ir realiam modaliniam perėjimui pasiekti, iš naujo įvertinti šios transporto rūšies vaidmenį atsižvelgiant į jos atsparumą pandemijos metu ir atsižvelgiant į klimato kaitos poreikius. Remdamasi šio susitikimo rezultatais ir ankstesnėmis transporto ministrų iniciatyvomis, pirmininkaujanti valstybė </w:t>
      </w:r>
      <w:r>
        <w:rPr>
          <w:sz w:val="24"/>
          <w:szCs w:val="24"/>
          <w:lang w:val="lt-LT"/>
        </w:rPr>
        <w:t>parengė</w:t>
      </w:r>
      <w:r w:rsidRPr="00633000">
        <w:rPr>
          <w:sz w:val="24"/>
          <w:szCs w:val="24"/>
          <w:lang w:val="lt-LT"/>
        </w:rPr>
        <w:t xml:space="preserve"> Tarybos išvadas dėl geležinkelių, kurios apims daugelį šiuo metu diskutuojamų aspektų. Išvados apima:</w:t>
      </w:r>
    </w:p>
    <w:p w14:paraId="300186D9" w14:textId="77777777" w:rsidR="00633000" w:rsidRPr="00633000" w:rsidRDefault="00633000" w:rsidP="00495B46">
      <w:pPr>
        <w:ind w:firstLine="142"/>
        <w:jc w:val="both"/>
        <w:rPr>
          <w:sz w:val="24"/>
          <w:szCs w:val="24"/>
          <w:lang w:val="lt-LT"/>
        </w:rPr>
      </w:pPr>
      <w:r w:rsidRPr="00633000">
        <w:rPr>
          <w:sz w:val="24"/>
          <w:szCs w:val="24"/>
          <w:lang w:val="lt-LT"/>
        </w:rPr>
        <w:t>- Modalinį perėjimą į aplinkai labiau draugišką geležinkelių transportą;</w:t>
      </w:r>
    </w:p>
    <w:p w14:paraId="7F68AEAA" w14:textId="77777777" w:rsidR="00633000" w:rsidRPr="00633000" w:rsidRDefault="00633000" w:rsidP="00495B46">
      <w:pPr>
        <w:ind w:firstLine="142"/>
        <w:jc w:val="both"/>
        <w:rPr>
          <w:sz w:val="24"/>
          <w:szCs w:val="24"/>
          <w:lang w:val="lt-LT"/>
        </w:rPr>
      </w:pPr>
      <w:r w:rsidRPr="00633000">
        <w:rPr>
          <w:sz w:val="24"/>
          <w:szCs w:val="24"/>
          <w:lang w:val="lt-LT"/>
        </w:rPr>
        <w:t>- Geležinkelių transporto atsparumo didinimą;</w:t>
      </w:r>
    </w:p>
    <w:p w14:paraId="51D6A164" w14:textId="77777777" w:rsidR="00633000" w:rsidRPr="00633000" w:rsidRDefault="00633000" w:rsidP="00495B46">
      <w:pPr>
        <w:ind w:firstLine="142"/>
        <w:jc w:val="both"/>
        <w:rPr>
          <w:sz w:val="24"/>
          <w:szCs w:val="24"/>
          <w:lang w:val="lt-LT"/>
        </w:rPr>
      </w:pPr>
      <w:r w:rsidRPr="00633000">
        <w:rPr>
          <w:sz w:val="24"/>
          <w:szCs w:val="24"/>
          <w:lang w:val="lt-LT"/>
        </w:rPr>
        <w:t>- Europinio geležinkelių keleivinio transporto skatinimą;</w:t>
      </w:r>
    </w:p>
    <w:p w14:paraId="6DF04C49" w14:textId="77777777" w:rsidR="00633000" w:rsidRPr="00633000" w:rsidRDefault="00633000" w:rsidP="00495B46">
      <w:pPr>
        <w:ind w:firstLine="142"/>
        <w:jc w:val="both"/>
        <w:rPr>
          <w:sz w:val="24"/>
          <w:szCs w:val="24"/>
          <w:lang w:val="lt-LT"/>
        </w:rPr>
      </w:pPr>
      <w:r w:rsidRPr="00633000">
        <w:rPr>
          <w:sz w:val="24"/>
          <w:szCs w:val="24"/>
          <w:lang w:val="lt-LT"/>
        </w:rPr>
        <w:t>- Europinio krovininio geležinkelių transporto plėtrą;</w:t>
      </w:r>
    </w:p>
    <w:p w14:paraId="329D7709" w14:textId="6EA4228E" w:rsidR="00821C53" w:rsidRDefault="00633000" w:rsidP="00495B46">
      <w:pPr>
        <w:ind w:firstLine="142"/>
        <w:jc w:val="both"/>
        <w:rPr>
          <w:sz w:val="24"/>
          <w:szCs w:val="24"/>
          <w:lang w:val="lt-LT"/>
        </w:rPr>
      </w:pPr>
      <w:r w:rsidRPr="00633000">
        <w:rPr>
          <w:sz w:val="24"/>
          <w:szCs w:val="24"/>
          <w:lang w:val="lt-LT"/>
        </w:rPr>
        <w:t>- Geležinkelių infrastruktūros ir tinklų plėtrą, geresnį junglumą.</w:t>
      </w:r>
    </w:p>
    <w:p w14:paraId="5DEC7154" w14:textId="77777777" w:rsidR="00821C53" w:rsidRDefault="00821C53" w:rsidP="00821C53">
      <w:pPr>
        <w:jc w:val="both"/>
        <w:rPr>
          <w:sz w:val="24"/>
          <w:szCs w:val="24"/>
          <w:lang w:val="lt-LT"/>
        </w:rPr>
      </w:pPr>
    </w:p>
    <w:p w14:paraId="3B44136E" w14:textId="77777777" w:rsidR="00633000" w:rsidRDefault="00821C53" w:rsidP="00633000">
      <w:pPr>
        <w:ind w:firstLine="567"/>
        <w:jc w:val="both"/>
        <w:rPr>
          <w:i/>
          <w:sz w:val="24"/>
          <w:szCs w:val="24"/>
          <w:lang w:val="lt-LT"/>
        </w:rPr>
      </w:pPr>
      <w:r w:rsidRPr="00EB51E6">
        <w:rPr>
          <w:i/>
          <w:sz w:val="24"/>
          <w:szCs w:val="24"/>
          <w:lang w:val="lt-LT"/>
        </w:rPr>
        <w:t>Lietuvos pozicija</w:t>
      </w:r>
    </w:p>
    <w:p w14:paraId="5A797628" w14:textId="4C133FC0" w:rsidR="00821C53" w:rsidRPr="00633000" w:rsidRDefault="00633000" w:rsidP="00633000">
      <w:pPr>
        <w:ind w:firstLine="567"/>
        <w:jc w:val="both"/>
        <w:rPr>
          <w:i/>
          <w:sz w:val="24"/>
          <w:szCs w:val="24"/>
          <w:lang w:val="lt-LT"/>
        </w:rPr>
      </w:pPr>
      <w:r>
        <w:rPr>
          <w:bCs/>
          <w:sz w:val="24"/>
          <w:szCs w:val="24"/>
          <w:bdr w:val="none" w:sz="0" w:space="0" w:color="auto" w:frame="1"/>
          <w:lang w:val="lt-LT" w:eastAsia="lt-LT"/>
        </w:rPr>
        <w:t>Lietuva pritaria Tarybos išvadų patvirtinimui.</w:t>
      </w:r>
      <w:r w:rsidR="00121558">
        <w:rPr>
          <w:bCs/>
          <w:sz w:val="24"/>
          <w:szCs w:val="24"/>
          <w:bdr w:val="none" w:sz="0" w:space="0" w:color="auto" w:frame="1"/>
          <w:lang w:val="lt-LT" w:eastAsia="lt-LT"/>
        </w:rPr>
        <w:t xml:space="preserve"> Tikime, kad šios išvados</w:t>
      </w:r>
      <w:r w:rsidR="00121558" w:rsidRPr="00121558">
        <w:rPr>
          <w:bCs/>
          <w:sz w:val="24"/>
          <w:szCs w:val="24"/>
          <w:bdr w:val="none" w:sz="0" w:space="0" w:color="auto" w:frame="1"/>
          <w:lang w:val="lt-LT" w:eastAsia="lt-LT"/>
        </w:rPr>
        <w:t xml:space="preserve"> prisidės prie tolimesnės geležinkelių transporto plėtros, atkreips Europos Komisijos,  ES valstybių narių, regioninės ir vietos </w:t>
      </w:r>
      <w:r w:rsidR="00121558" w:rsidRPr="00121558">
        <w:rPr>
          <w:bCs/>
          <w:sz w:val="24"/>
          <w:szCs w:val="24"/>
          <w:bdr w:val="none" w:sz="0" w:space="0" w:color="auto" w:frame="1"/>
          <w:lang w:val="lt-LT" w:eastAsia="lt-LT"/>
        </w:rPr>
        <w:lastRenderedPageBreak/>
        <w:t>valdžios institucijų bei kitų organizacijų dėmesį į geležinkelių transportą, prisidėti prie jo vystymo, didinti keleivių ir krovinių vežimo geležinkeliais srautus.</w:t>
      </w:r>
    </w:p>
    <w:p w14:paraId="00B6BADF" w14:textId="77777777" w:rsidR="00821C53" w:rsidRDefault="00821C53" w:rsidP="00821C53">
      <w:pPr>
        <w:jc w:val="both"/>
        <w:rPr>
          <w:sz w:val="24"/>
          <w:szCs w:val="24"/>
          <w:lang w:val="lt-LT"/>
        </w:rPr>
      </w:pPr>
    </w:p>
    <w:p w14:paraId="7D2BA46C" w14:textId="3BD44334" w:rsidR="00821C53" w:rsidRPr="00B6203A" w:rsidRDefault="00821C53" w:rsidP="00821C53">
      <w:pPr>
        <w:jc w:val="both"/>
        <w:rPr>
          <w:bCs/>
          <w:sz w:val="24"/>
          <w:szCs w:val="24"/>
          <w:lang w:val="lt-LT"/>
        </w:rPr>
      </w:pPr>
      <w:r w:rsidRPr="00EB51E6">
        <w:rPr>
          <w:b/>
          <w:sz w:val="24"/>
          <w:szCs w:val="24"/>
          <w:lang w:val="lt-LT"/>
        </w:rPr>
        <w:t xml:space="preserve">5.  </w:t>
      </w:r>
      <w:r w:rsidR="003A4620" w:rsidRPr="003A4620">
        <w:rPr>
          <w:b/>
          <w:sz w:val="24"/>
          <w:szCs w:val="24"/>
          <w:lang w:val="lt-LT"/>
        </w:rPr>
        <w:t xml:space="preserve">Tarybos išvados dėl Komisijos darnaus ir išmanaus judumo strategijos </w:t>
      </w:r>
      <w:r>
        <w:rPr>
          <w:b/>
          <w:sz w:val="24"/>
          <w:szCs w:val="24"/>
          <w:lang w:val="lt-LT"/>
        </w:rPr>
        <w:t xml:space="preserve">– </w:t>
      </w:r>
      <w:r w:rsidR="003A4620">
        <w:rPr>
          <w:b/>
          <w:sz w:val="24"/>
          <w:szCs w:val="24"/>
          <w:lang w:val="lt-LT"/>
        </w:rPr>
        <w:t xml:space="preserve">Patvirtinimas </w:t>
      </w:r>
    </w:p>
    <w:p w14:paraId="0E4FB1E8" w14:textId="77777777" w:rsidR="00821C53" w:rsidRDefault="00821C53" w:rsidP="00821C53">
      <w:pPr>
        <w:jc w:val="both"/>
        <w:rPr>
          <w:sz w:val="24"/>
          <w:szCs w:val="24"/>
          <w:lang w:val="lt-LT"/>
        </w:rPr>
      </w:pPr>
    </w:p>
    <w:p w14:paraId="2268DB3D" w14:textId="77777777" w:rsidR="00821C53" w:rsidRPr="00EB51E6" w:rsidRDefault="00821C53" w:rsidP="00821C53">
      <w:pPr>
        <w:ind w:firstLine="567"/>
        <w:jc w:val="both"/>
        <w:rPr>
          <w:i/>
          <w:sz w:val="24"/>
          <w:szCs w:val="24"/>
          <w:lang w:val="lt-LT"/>
        </w:rPr>
      </w:pPr>
      <w:r w:rsidRPr="00EB51E6">
        <w:rPr>
          <w:i/>
          <w:sz w:val="24"/>
          <w:szCs w:val="24"/>
          <w:lang w:val="lt-LT"/>
        </w:rPr>
        <w:t>Klausimo esmė</w:t>
      </w:r>
    </w:p>
    <w:p w14:paraId="0E50899A" w14:textId="77777777" w:rsidR="003A4620" w:rsidRPr="003A4620" w:rsidRDefault="003A4620" w:rsidP="003A4620">
      <w:pPr>
        <w:ind w:firstLine="567"/>
        <w:jc w:val="both"/>
        <w:rPr>
          <w:sz w:val="24"/>
          <w:szCs w:val="24"/>
          <w:lang w:val="lt-LT"/>
        </w:rPr>
      </w:pPr>
      <w:r w:rsidRPr="003A4620">
        <w:rPr>
          <w:sz w:val="24"/>
          <w:szCs w:val="24"/>
          <w:lang w:val="lt-LT"/>
        </w:rPr>
        <w:t>2020 m. Gruodžio 11 d. Komisija pristatė komunikatą „Tvaraus ir pažangaus judumo strategija - Europos transporto kėlimas į ateitį“. Jo tikslas - padėti ES sukurti tvarią, pažangią ir atsparią judumo sistemą ateityje ir įgyvendinti esminius pokyčius, reikalingus norint pasiekti Europos ekologinio susitarimo tikslus. Atsižvelgdama į svarbius strategijos tikslus, pirmininkaujanti valstybė parengė Tarybos išvadas, kuriose:</w:t>
      </w:r>
    </w:p>
    <w:p w14:paraId="322BE435" w14:textId="77777777" w:rsidR="003A4620" w:rsidRPr="003A4620" w:rsidRDefault="003A4620" w:rsidP="003A4620">
      <w:pPr>
        <w:ind w:firstLine="567"/>
        <w:jc w:val="both"/>
        <w:rPr>
          <w:sz w:val="24"/>
          <w:szCs w:val="24"/>
          <w:lang w:val="lt-LT"/>
        </w:rPr>
      </w:pPr>
      <w:r w:rsidRPr="003A4620">
        <w:rPr>
          <w:sz w:val="24"/>
          <w:szCs w:val="24"/>
          <w:lang w:val="lt-LT"/>
        </w:rPr>
        <w:t>- Palankiai vertinama Komisijos strategija, kuri apima vidutinės trukmės ir ilgalaikę perspektyvą sukurti aplinkai ir klimatui palankesnę, skaitmeninę, atsparią, sąžiningą ir konkurencingą transporto ir judumo sistemą.</w:t>
      </w:r>
    </w:p>
    <w:p w14:paraId="6C7F306F" w14:textId="77777777" w:rsidR="003A4620" w:rsidRPr="003A4620" w:rsidRDefault="003A4620" w:rsidP="003A4620">
      <w:pPr>
        <w:ind w:firstLine="567"/>
        <w:jc w:val="both"/>
        <w:rPr>
          <w:sz w:val="24"/>
          <w:szCs w:val="24"/>
          <w:lang w:val="lt-LT"/>
        </w:rPr>
      </w:pPr>
      <w:r w:rsidRPr="003A4620">
        <w:rPr>
          <w:sz w:val="24"/>
          <w:szCs w:val="24"/>
          <w:lang w:val="lt-LT"/>
        </w:rPr>
        <w:t>- Komisijai siūloma įvertinti, kaip kiekviena tvaraus ir pažangaus judumo strategijoje numatyta priemonė užtikrins, kad transporto rūšys galėtų geriausiai prisidėti prie  2030 ir 2050 m. tikslų.</w:t>
      </w:r>
    </w:p>
    <w:p w14:paraId="41D03045" w14:textId="77777777" w:rsidR="003A4620" w:rsidRPr="003A4620" w:rsidRDefault="003A4620" w:rsidP="003A4620">
      <w:pPr>
        <w:ind w:firstLine="567"/>
        <w:jc w:val="both"/>
        <w:rPr>
          <w:sz w:val="24"/>
          <w:szCs w:val="24"/>
          <w:lang w:val="lt-LT"/>
        </w:rPr>
      </w:pPr>
      <w:r w:rsidRPr="003A4620">
        <w:rPr>
          <w:sz w:val="24"/>
          <w:szCs w:val="24"/>
          <w:lang w:val="lt-LT"/>
        </w:rPr>
        <w:t xml:space="preserve">- Siekiant iš esmės sumažinti dabartinį suvartojimą ir priklausomybę nuo iškastinio kuro, nurodoma, kad plataus užmojo, bet subalansuotas perėjimui prie nulinės emisijos transporto priemonių  reikia atnaujinti ES teisinę sistemą,  kad būtų lengviau pateikti į rinką ir naudoti alternatyvius degalus (pvz., elektros arba vandenilio), taip pat plėtoti alternatyvią infrastruktūrą.   </w:t>
      </w:r>
    </w:p>
    <w:p w14:paraId="12E6DE5D" w14:textId="026EFAD9" w:rsidR="003A4620" w:rsidRPr="003A4620" w:rsidRDefault="003A4620" w:rsidP="003A4620">
      <w:pPr>
        <w:ind w:firstLine="567"/>
        <w:jc w:val="both"/>
        <w:rPr>
          <w:sz w:val="24"/>
          <w:szCs w:val="24"/>
          <w:lang w:val="lt-LT"/>
        </w:rPr>
      </w:pPr>
      <w:r w:rsidRPr="003A4620">
        <w:rPr>
          <w:sz w:val="24"/>
          <w:szCs w:val="24"/>
          <w:lang w:val="lt-LT"/>
        </w:rPr>
        <w:t>- Pabrėžiama, kad principai „teršėjas moka“ ir „vartotojas moka“ turėtų atsispindėti transporto politikos priemonėse, skirtose visoms transporto rūšims</w:t>
      </w:r>
      <w:r w:rsidR="00696807">
        <w:rPr>
          <w:sz w:val="24"/>
          <w:szCs w:val="24"/>
          <w:lang w:val="lt-LT"/>
        </w:rPr>
        <w:t>, taip pat</w:t>
      </w:r>
      <w:r w:rsidRPr="003A4620">
        <w:rPr>
          <w:sz w:val="24"/>
          <w:szCs w:val="24"/>
          <w:lang w:val="lt-LT"/>
        </w:rPr>
        <w:t xml:space="preserve"> visoms transporto rūšims turėtų būti sukurtos paskatos skatinti tvaresnį transportą.  </w:t>
      </w:r>
    </w:p>
    <w:p w14:paraId="52F822D2" w14:textId="77777777" w:rsidR="003A4620" w:rsidRPr="003A4620" w:rsidRDefault="003A4620" w:rsidP="003A4620">
      <w:pPr>
        <w:ind w:firstLine="567"/>
        <w:jc w:val="both"/>
        <w:rPr>
          <w:sz w:val="24"/>
          <w:szCs w:val="24"/>
          <w:lang w:val="lt-LT"/>
        </w:rPr>
      </w:pPr>
      <w:r w:rsidRPr="003A4620">
        <w:rPr>
          <w:sz w:val="24"/>
          <w:szCs w:val="24"/>
          <w:lang w:val="lt-LT"/>
        </w:rPr>
        <w:t>- Pabrėžiama, kad skaitmeninimas ir inovacijų skatinimas yra pagrindinės ES transporto sistemos ilgalaikio pasaulinio konkurencingumo varomosios jėgos, nes jos gali pagerinti tvarumą, padidinti efektyvumą, saugumą bei skatinti integruotą daugiarūšio transporto ekosistemą</w:t>
      </w:r>
    </w:p>
    <w:p w14:paraId="45189F12" w14:textId="365EFB3A" w:rsidR="003A4620" w:rsidRPr="003A4620" w:rsidRDefault="003A4620" w:rsidP="003A4620">
      <w:pPr>
        <w:ind w:firstLine="567"/>
        <w:jc w:val="both"/>
        <w:rPr>
          <w:sz w:val="24"/>
          <w:szCs w:val="24"/>
          <w:lang w:val="lt-LT"/>
        </w:rPr>
      </w:pPr>
      <w:r w:rsidRPr="003A4620">
        <w:rPr>
          <w:sz w:val="24"/>
          <w:szCs w:val="24"/>
          <w:lang w:val="lt-LT"/>
        </w:rPr>
        <w:t xml:space="preserve">- Primenama, kad svarbu yra per nustatytą </w:t>
      </w:r>
      <w:r w:rsidR="00696807">
        <w:rPr>
          <w:sz w:val="24"/>
          <w:szCs w:val="24"/>
          <w:lang w:val="lt-LT"/>
        </w:rPr>
        <w:t xml:space="preserve">laiką </w:t>
      </w:r>
      <w:r w:rsidRPr="003A4620">
        <w:rPr>
          <w:sz w:val="24"/>
          <w:szCs w:val="24"/>
          <w:lang w:val="lt-LT"/>
        </w:rPr>
        <w:t xml:space="preserve">užbaigti pagrindinį ir visuotinį  </w:t>
      </w:r>
      <w:proofErr w:type="spellStart"/>
      <w:r w:rsidRPr="003A4620">
        <w:rPr>
          <w:sz w:val="24"/>
          <w:szCs w:val="24"/>
          <w:lang w:val="lt-LT"/>
        </w:rPr>
        <w:t>transeuropinio</w:t>
      </w:r>
      <w:proofErr w:type="spellEnd"/>
      <w:r w:rsidRPr="003A4620">
        <w:rPr>
          <w:sz w:val="24"/>
          <w:szCs w:val="24"/>
          <w:lang w:val="lt-LT"/>
        </w:rPr>
        <w:t xml:space="preserve"> transporto tinklą, be kita ko, šalinant trūkstamas jungtis ir kliūtis.</w:t>
      </w:r>
    </w:p>
    <w:p w14:paraId="2BAF715A" w14:textId="3E7DCE1E" w:rsidR="00821C53" w:rsidRPr="001471B3" w:rsidRDefault="003A4620" w:rsidP="003A4620">
      <w:pPr>
        <w:ind w:firstLine="567"/>
        <w:jc w:val="both"/>
        <w:rPr>
          <w:sz w:val="24"/>
          <w:szCs w:val="24"/>
          <w:lang w:val="lt-LT"/>
        </w:rPr>
      </w:pPr>
      <w:r w:rsidRPr="003A4620">
        <w:rPr>
          <w:sz w:val="24"/>
          <w:szCs w:val="24"/>
          <w:lang w:val="lt-LT"/>
        </w:rPr>
        <w:t>- Atkreipiamas dėmesys, kad bendras finansavimo poreikis  iki 2030 m.  yra  apie 230 mlrd. EUR per metus</w:t>
      </w:r>
      <w:r w:rsidR="00696807">
        <w:rPr>
          <w:sz w:val="24"/>
          <w:szCs w:val="24"/>
          <w:lang w:val="lt-LT"/>
        </w:rPr>
        <w:t>.</w:t>
      </w:r>
      <w:r w:rsidRPr="003A4620">
        <w:rPr>
          <w:sz w:val="24"/>
          <w:szCs w:val="24"/>
          <w:lang w:val="lt-LT"/>
        </w:rPr>
        <w:t xml:space="preserve"> Pabrėžiama, kad tinkamas ES finansavimo lygis, taip pat viešasis finansavimas nacionaliniu, regioniniu ir vietos lygmenimis bei privatūs ištekliai yra nepaprastai svarbūs tenkinant didelius investicijų poreikius.</w:t>
      </w:r>
    </w:p>
    <w:p w14:paraId="049C5A66" w14:textId="77777777" w:rsidR="00821C53" w:rsidRDefault="00821C53" w:rsidP="00821C53">
      <w:pPr>
        <w:jc w:val="both"/>
        <w:rPr>
          <w:i/>
          <w:sz w:val="24"/>
          <w:szCs w:val="24"/>
          <w:lang w:val="lt-LT"/>
        </w:rPr>
      </w:pPr>
    </w:p>
    <w:p w14:paraId="7D44A037" w14:textId="77777777" w:rsidR="00821C53" w:rsidRPr="00EB51E6" w:rsidRDefault="00821C53" w:rsidP="00821C53">
      <w:pPr>
        <w:jc w:val="both"/>
        <w:rPr>
          <w:i/>
          <w:sz w:val="24"/>
          <w:szCs w:val="24"/>
          <w:lang w:val="lt-LT"/>
        </w:rPr>
      </w:pPr>
      <w:r w:rsidRPr="00EB51E6">
        <w:rPr>
          <w:i/>
          <w:sz w:val="24"/>
          <w:szCs w:val="24"/>
          <w:lang w:val="lt-LT"/>
        </w:rPr>
        <w:t>Lietuvos pozicija</w:t>
      </w:r>
    </w:p>
    <w:p w14:paraId="7E8AFC9C" w14:textId="5ABDEE41" w:rsidR="00821C53" w:rsidRDefault="003A4620" w:rsidP="00821C53">
      <w:pPr>
        <w:ind w:firstLine="567"/>
        <w:jc w:val="both"/>
        <w:rPr>
          <w:sz w:val="24"/>
          <w:szCs w:val="24"/>
          <w:lang w:val="lt-LT"/>
        </w:rPr>
      </w:pPr>
      <w:r>
        <w:rPr>
          <w:sz w:val="24"/>
          <w:szCs w:val="24"/>
          <w:lang w:val="lt-LT"/>
        </w:rPr>
        <w:t xml:space="preserve">Lietuva pritaria Tarybos išvadų </w:t>
      </w:r>
      <w:r w:rsidR="006E3B23">
        <w:rPr>
          <w:sz w:val="24"/>
          <w:szCs w:val="24"/>
          <w:lang w:val="lt-LT"/>
        </w:rPr>
        <w:t xml:space="preserve">tekstui ir </w:t>
      </w:r>
      <w:r>
        <w:rPr>
          <w:sz w:val="24"/>
          <w:szCs w:val="24"/>
          <w:lang w:val="lt-LT"/>
        </w:rPr>
        <w:t>patvirtinimui</w:t>
      </w:r>
      <w:r w:rsidR="00821C53" w:rsidRPr="003D0EAF">
        <w:rPr>
          <w:sz w:val="24"/>
          <w:szCs w:val="24"/>
          <w:lang w:val="lt-LT"/>
        </w:rPr>
        <w:t xml:space="preserve">.   </w:t>
      </w:r>
    </w:p>
    <w:p w14:paraId="3509ED66" w14:textId="77777777" w:rsidR="00821C53" w:rsidRDefault="00821C53" w:rsidP="00821C53">
      <w:pPr>
        <w:ind w:firstLine="567"/>
        <w:jc w:val="both"/>
        <w:rPr>
          <w:sz w:val="24"/>
          <w:szCs w:val="24"/>
          <w:lang w:val="lt-LT"/>
        </w:rPr>
      </w:pPr>
    </w:p>
    <w:p w14:paraId="58E53E4A" w14:textId="2DA8310C" w:rsidR="00821C53" w:rsidRPr="007337E6" w:rsidRDefault="00821C53" w:rsidP="00821C53">
      <w:pPr>
        <w:jc w:val="both"/>
        <w:rPr>
          <w:bCs/>
          <w:sz w:val="24"/>
          <w:szCs w:val="24"/>
          <w:lang w:val="lt-LT"/>
        </w:rPr>
      </w:pPr>
      <w:r w:rsidRPr="00EB51E6">
        <w:rPr>
          <w:b/>
          <w:sz w:val="24"/>
          <w:szCs w:val="24"/>
          <w:lang w:val="lt-LT"/>
        </w:rPr>
        <w:t xml:space="preserve">6.  </w:t>
      </w:r>
      <w:r w:rsidR="00E0427E">
        <w:rPr>
          <w:b/>
          <w:sz w:val="24"/>
          <w:szCs w:val="24"/>
          <w:lang w:val="lt-LT"/>
        </w:rPr>
        <w:t>Darnaus i</w:t>
      </w:r>
      <w:r w:rsidR="0013745D">
        <w:rPr>
          <w:b/>
          <w:sz w:val="24"/>
          <w:szCs w:val="24"/>
          <w:lang w:val="lt-LT"/>
        </w:rPr>
        <w:t>r</w:t>
      </w:r>
      <w:r w:rsidR="00E0427E">
        <w:rPr>
          <w:b/>
          <w:sz w:val="24"/>
          <w:szCs w:val="24"/>
          <w:lang w:val="lt-LT"/>
        </w:rPr>
        <w:t xml:space="preserve"> iš</w:t>
      </w:r>
      <w:r w:rsidR="0013745D">
        <w:rPr>
          <w:b/>
          <w:sz w:val="24"/>
          <w:szCs w:val="24"/>
          <w:lang w:val="lt-LT"/>
        </w:rPr>
        <w:t>man</w:t>
      </w:r>
      <w:r w:rsidR="00E0427E">
        <w:rPr>
          <w:b/>
          <w:sz w:val="24"/>
          <w:szCs w:val="24"/>
          <w:lang w:val="lt-LT"/>
        </w:rPr>
        <w:t>au</w:t>
      </w:r>
      <w:r w:rsidR="0013745D">
        <w:rPr>
          <w:b/>
          <w:sz w:val="24"/>
          <w:szCs w:val="24"/>
          <w:lang w:val="lt-LT"/>
        </w:rPr>
        <w:t>s</w:t>
      </w:r>
      <w:r w:rsidR="00E0427E">
        <w:rPr>
          <w:b/>
          <w:sz w:val="24"/>
          <w:szCs w:val="24"/>
          <w:lang w:val="lt-LT"/>
        </w:rPr>
        <w:t xml:space="preserve"> judumo strategija</w:t>
      </w:r>
      <w:r w:rsidR="0013745D">
        <w:rPr>
          <w:b/>
          <w:sz w:val="24"/>
          <w:szCs w:val="24"/>
          <w:lang w:val="lt-LT"/>
        </w:rPr>
        <w:t xml:space="preserve"> </w:t>
      </w:r>
      <w:r>
        <w:rPr>
          <w:b/>
          <w:sz w:val="24"/>
          <w:szCs w:val="24"/>
          <w:lang w:val="lt-LT"/>
        </w:rPr>
        <w:t xml:space="preserve">– </w:t>
      </w:r>
      <w:r w:rsidR="0013745D">
        <w:rPr>
          <w:bCs/>
          <w:sz w:val="24"/>
          <w:szCs w:val="24"/>
          <w:lang w:val="lt-LT"/>
        </w:rPr>
        <w:t>Pasikeitimas nuomonėmis</w:t>
      </w:r>
    </w:p>
    <w:p w14:paraId="6D938DB9" w14:textId="77777777" w:rsidR="00821C53" w:rsidRDefault="00821C53" w:rsidP="00821C53">
      <w:pPr>
        <w:jc w:val="both"/>
        <w:rPr>
          <w:sz w:val="24"/>
          <w:szCs w:val="24"/>
          <w:lang w:val="lt-LT"/>
        </w:rPr>
      </w:pPr>
    </w:p>
    <w:p w14:paraId="50B0E12D" w14:textId="77777777" w:rsidR="00821C53" w:rsidRPr="00EB51E6" w:rsidRDefault="00821C53" w:rsidP="00821C53">
      <w:pPr>
        <w:ind w:firstLine="567"/>
        <w:jc w:val="both"/>
        <w:rPr>
          <w:i/>
          <w:sz w:val="24"/>
          <w:szCs w:val="24"/>
          <w:lang w:val="lt-LT"/>
        </w:rPr>
      </w:pPr>
      <w:bookmarkStart w:id="1" w:name="_Hlk73100708"/>
      <w:r w:rsidRPr="00EB51E6">
        <w:rPr>
          <w:i/>
          <w:sz w:val="24"/>
          <w:szCs w:val="24"/>
          <w:lang w:val="lt-LT"/>
        </w:rPr>
        <w:t>Klausimo esmė</w:t>
      </w:r>
    </w:p>
    <w:bookmarkEnd w:id="1"/>
    <w:p w14:paraId="599B0B8F" w14:textId="4D47EB0E" w:rsidR="00362FAD" w:rsidRPr="00362FAD" w:rsidRDefault="00362FAD" w:rsidP="00595A46">
      <w:pPr>
        <w:spacing w:line="276" w:lineRule="auto"/>
        <w:ind w:firstLine="567"/>
        <w:jc w:val="both"/>
        <w:rPr>
          <w:bCs/>
          <w:color w:val="000000"/>
          <w:sz w:val="24"/>
          <w:szCs w:val="24"/>
          <w:lang w:val="lt-LT" w:eastAsia="lt-LT" w:bidi="lt-LT"/>
        </w:rPr>
      </w:pPr>
      <w:r w:rsidRPr="00362FAD">
        <w:rPr>
          <w:bCs/>
          <w:color w:val="000000"/>
          <w:sz w:val="24"/>
          <w:szCs w:val="24"/>
          <w:lang w:val="lt-LT" w:eastAsia="lt-LT" w:bidi="lt-LT"/>
        </w:rPr>
        <w:t xml:space="preserve">Praėjusių metų gruodį Komisija priėmė darnaus ir pažangaus judumo strategiją. Tai apima viziją, iš esmės nukreiptą į klimato tikslus ir numatančią platų iniciatyvų rinkinį, kuris </w:t>
      </w:r>
      <w:r w:rsidR="00595A46">
        <w:rPr>
          <w:bCs/>
          <w:color w:val="000000"/>
          <w:sz w:val="24"/>
          <w:szCs w:val="24"/>
          <w:lang w:val="lt-LT" w:eastAsia="lt-LT" w:bidi="lt-LT"/>
        </w:rPr>
        <w:t>turėtų užtikrinti</w:t>
      </w:r>
      <w:r w:rsidRPr="00362FAD">
        <w:rPr>
          <w:bCs/>
          <w:color w:val="000000"/>
          <w:sz w:val="24"/>
          <w:szCs w:val="24"/>
          <w:lang w:val="lt-LT" w:eastAsia="lt-LT" w:bidi="lt-LT"/>
        </w:rPr>
        <w:t>, kad transporto ir judumo sistema prisidėtų prie šių tikslų. Strategijoje numatytomis priemonėmis taip pat siekiama transporto ir judumo sistemą padaryti atsparesnę, konkurencingesnę ir skaitmeninę, apima</w:t>
      </w:r>
      <w:r w:rsidR="00595A46">
        <w:rPr>
          <w:bCs/>
          <w:color w:val="000000"/>
          <w:sz w:val="24"/>
          <w:szCs w:val="24"/>
          <w:lang w:val="lt-LT" w:eastAsia="lt-LT" w:bidi="lt-LT"/>
        </w:rPr>
        <w:t>nčią</w:t>
      </w:r>
      <w:r w:rsidRPr="00362FAD">
        <w:rPr>
          <w:bCs/>
          <w:color w:val="000000"/>
          <w:sz w:val="24"/>
          <w:szCs w:val="24"/>
          <w:lang w:val="lt-LT" w:eastAsia="lt-LT" w:bidi="lt-LT"/>
        </w:rPr>
        <w:t xml:space="preserve"> sveikatos, saugos, </w:t>
      </w:r>
      <w:proofErr w:type="spellStart"/>
      <w:r w:rsidRPr="00362FAD">
        <w:rPr>
          <w:bCs/>
          <w:color w:val="000000"/>
          <w:sz w:val="24"/>
          <w:szCs w:val="24"/>
          <w:lang w:val="lt-LT" w:eastAsia="lt-LT" w:bidi="lt-LT"/>
        </w:rPr>
        <w:t>įtraukumo</w:t>
      </w:r>
      <w:proofErr w:type="spellEnd"/>
      <w:r w:rsidRPr="00362FAD">
        <w:rPr>
          <w:bCs/>
          <w:color w:val="000000"/>
          <w:sz w:val="24"/>
          <w:szCs w:val="24"/>
          <w:lang w:val="lt-LT" w:eastAsia="lt-LT" w:bidi="lt-LT"/>
        </w:rPr>
        <w:t xml:space="preserve"> ir sąžiningumo aspektus.</w:t>
      </w:r>
    </w:p>
    <w:p w14:paraId="29791958" w14:textId="72D2A891" w:rsidR="00595A46" w:rsidRPr="00595A46" w:rsidRDefault="00595A46" w:rsidP="00595A46">
      <w:pPr>
        <w:spacing w:line="276" w:lineRule="auto"/>
        <w:jc w:val="both"/>
        <w:rPr>
          <w:bCs/>
          <w:color w:val="000000"/>
          <w:sz w:val="24"/>
          <w:szCs w:val="24"/>
          <w:lang w:val="lt-LT" w:eastAsia="lt-LT" w:bidi="lt-LT"/>
        </w:rPr>
      </w:pPr>
      <w:r w:rsidRPr="00595A46">
        <w:rPr>
          <w:bCs/>
          <w:color w:val="000000"/>
          <w:sz w:val="24"/>
          <w:szCs w:val="24"/>
          <w:lang w:val="lt-LT" w:eastAsia="lt-LT" w:bidi="lt-LT"/>
        </w:rPr>
        <w:t>2021 m. birželio mėn.  TTE tarybos posėdyje planuojama priimti  Tarybos išvadas dėl darnaus ir pažangaus judumo</w:t>
      </w:r>
      <w:r>
        <w:rPr>
          <w:bCs/>
          <w:color w:val="000000"/>
          <w:sz w:val="24"/>
          <w:szCs w:val="24"/>
          <w:lang w:val="lt-LT" w:eastAsia="lt-LT" w:bidi="lt-LT"/>
        </w:rPr>
        <w:t xml:space="preserve">, kuriose </w:t>
      </w:r>
      <w:r w:rsidRPr="00595A46">
        <w:rPr>
          <w:bCs/>
          <w:color w:val="000000"/>
          <w:sz w:val="24"/>
          <w:szCs w:val="24"/>
          <w:lang w:val="lt-LT" w:eastAsia="lt-LT" w:bidi="lt-LT"/>
        </w:rPr>
        <w:t>Taryba palankiai vertina Komisijos tvaraus ir pažangaus judumo strategiją ir pritaria jos ambicingai vidutinio laikotarpio sektoriaus vizijai, taip pat  paaiškinamas Tarybos požiūris į tai, kaip transportą ir judumą paversti protingesniu, tvaresniu ir atsparesniu.</w:t>
      </w:r>
    </w:p>
    <w:p w14:paraId="25CE0BDA" w14:textId="77777777" w:rsidR="00595A46" w:rsidRPr="00595A46" w:rsidRDefault="00595A46" w:rsidP="00595A46">
      <w:pPr>
        <w:spacing w:line="276" w:lineRule="auto"/>
        <w:jc w:val="both"/>
        <w:rPr>
          <w:bCs/>
          <w:color w:val="000000"/>
          <w:sz w:val="24"/>
          <w:szCs w:val="24"/>
          <w:lang w:val="lt-LT" w:eastAsia="lt-LT" w:bidi="lt-LT"/>
        </w:rPr>
      </w:pPr>
      <w:r w:rsidRPr="00595A46">
        <w:rPr>
          <w:bCs/>
          <w:color w:val="000000"/>
          <w:sz w:val="24"/>
          <w:szCs w:val="24"/>
          <w:lang w:val="lt-LT" w:eastAsia="lt-LT" w:bidi="lt-LT"/>
        </w:rPr>
        <w:t xml:space="preserve">Atsižvelgdama į tai ir patvirtinusi šias Tarybos išvadas, pirmininkaujanti valstybė nori skatinti keitimąsi nuomonėmis apie tolesnę veiklą. </w:t>
      </w:r>
    </w:p>
    <w:p w14:paraId="6CA97D97" w14:textId="77777777" w:rsidR="00595A46" w:rsidRPr="00595A46" w:rsidRDefault="00595A46" w:rsidP="00595A46">
      <w:pPr>
        <w:spacing w:line="276" w:lineRule="auto"/>
        <w:jc w:val="both"/>
        <w:rPr>
          <w:bCs/>
          <w:color w:val="000000"/>
          <w:sz w:val="24"/>
          <w:szCs w:val="24"/>
          <w:lang w:val="lt-LT" w:eastAsia="lt-LT" w:bidi="lt-LT"/>
        </w:rPr>
      </w:pPr>
      <w:r w:rsidRPr="00595A46">
        <w:rPr>
          <w:bCs/>
          <w:color w:val="000000"/>
          <w:sz w:val="24"/>
          <w:szCs w:val="24"/>
          <w:lang w:val="lt-LT" w:eastAsia="lt-LT" w:bidi="lt-LT"/>
        </w:rPr>
        <w:t>Ministrai TTE tarybos posėdyje yra kviečiami pasidalinti savo nuomone šiais klausimais:</w:t>
      </w:r>
    </w:p>
    <w:p w14:paraId="3D43EA10" w14:textId="7619D68F" w:rsidR="00595A46" w:rsidRPr="00595A46" w:rsidRDefault="00595A46" w:rsidP="00595A46">
      <w:pPr>
        <w:spacing w:line="276" w:lineRule="auto"/>
        <w:jc w:val="both"/>
        <w:rPr>
          <w:bCs/>
          <w:color w:val="000000"/>
          <w:sz w:val="24"/>
          <w:szCs w:val="24"/>
          <w:lang w:val="lt-LT" w:eastAsia="lt-LT" w:bidi="lt-LT"/>
        </w:rPr>
      </w:pPr>
      <w:r w:rsidRPr="00595A46">
        <w:rPr>
          <w:bCs/>
          <w:color w:val="000000"/>
          <w:sz w:val="24"/>
          <w:szCs w:val="24"/>
          <w:lang w:val="lt-LT" w:eastAsia="lt-LT" w:bidi="lt-LT"/>
        </w:rPr>
        <w:lastRenderedPageBreak/>
        <w:t>• Į kokius kitus ar papildomus veiksmus ar priemones reikėtų atkreipti dėmesį siekiant tvaresnės, protingesnės ir atsparesnės transporto ir judumo sistemos tikslo?</w:t>
      </w:r>
    </w:p>
    <w:p w14:paraId="378FCF63" w14:textId="3EF27C61" w:rsidR="00595A46" w:rsidRDefault="00595A46" w:rsidP="00595A46">
      <w:pPr>
        <w:spacing w:line="276" w:lineRule="auto"/>
        <w:jc w:val="both"/>
        <w:rPr>
          <w:bCs/>
          <w:color w:val="000000"/>
          <w:sz w:val="24"/>
          <w:szCs w:val="24"/>
          <w:lang w:val="lt-LT" w:eastAsia="lt-LT" w:bidi="lt-LT"/>
        </w:rPr>
      </w:pPr>
      <w:r w:rsidRPr="00595A46">
        <w:rPr>
          <w:bCs/>
          <w:color w:val="000000"/>
          <w:sz w:val="24"/>
          <w:szCs w:val="24"/>
          <w:lang w:val="lt-LT" w:eastAsia="lt-LT" w:bidi="lt-LT"/>
        </w:rPr>
        <w:t>•  Atsižvelgiant į tai, kad šio politikos tikslo įgyvendinimas priklauso nuo tinkamo išteklių (įskaitant finansinius išteklius) prieinamumo, kaip galima geriausiai užtikrinti, kad reikalingi ištekliai būtų skirti perėjimui prie tvaresnės, protingesnės ir atsparesnės sistemos?</w:t>
      </w:r>
    </w:p>
    <w:p w14:paraId="1ABD46C2" w14:textId="77777777" w:rsidR="00821C53" w:rsidRDefault="00821C53" w:rsidP="00821C53">
      <w:pPr>
        <w:spacing w:line="276" w:lineRule="auto"/>
        <w:jc w:val="both"/>
        <w:rPr>
          <w:bCs/>
          <w:i/>
          <w:iCs/>
          <w:color w:val="000000"/>
          <w:sz w:val="24"/>
          <w:szCs w:val="24"/>
          <w:lang w:val="lt-LT" w:eastAsia="lt-LT" w:bidi="lt-LT"/>
        </w:rPr>
      </w:pPr>
    </w:p>
    <w:p w14:paraId="6A503719" w14:textId="77777777" w:rsidR="00821C53" w:rsidRPr="00CE7B79" w:rsidRDefault="00821C53" w:rsidP="00821C53">
      <w:pPr>
        <w:spacing w:line="276" w:lineRule="auto"/>
        <w:ind w:firstLine="567"/>
        <w:jc w:val="both"/>
        <w:rPr>
          <w:bCs/>
          <w:i/>
          <w:iCs/>
          <w:color w:val="000000"/>
          <w:sz w:val="24"/>
          <w:szCs w:val="24"/>
          <w:lang w:val="lt-LT" w:eastAsia="lt-LT" w:bidi="lt-LT"/>
        </w:rPr>
      </w:pPr>
      <w:r w:rsidRPr="00CE7B79">
        <w:rPr>
          <w:bCs/>
          <w:i/>
          <w:iCs/>
          <w:color w:val="000000"/>
          <w:sz w:val="24"/>
          <w:szCs w:val="24"/>
          <w:lang w:val="lt-LT" w:eastAsia="lt-LT" w:bidi="lt-LT"/>
        </w:rPr>
        <w:t>Lietuvos pozicija</w:t>
      </w:r>
    </w:p>
    <w:p w14:paraId="10A4177A" w14:textId="541CD2E8" w:rsidR="00635006" w:rsidRDefault="00A7676C" w:rsidP="00821C53">
      <w:pPr>
        <w:ind w:firstLine="567"/>
        <w:jc w:val="both"/>
        <w:rPr>
          <w:sz w:val="24"/>
          <w:szCs w:val="24"/>
          <w:lang w:val="lt-LT"/>
        </w:rPr>
      </w:pPr>
      <w:r>
        <w:rPr>
          <w:sz w:val="24"/>
          <w:szCs w:val="24"/>
          <w:lang w:val="lt-LT"/>
        </w:rPr>
        <w:t xml:space="preserve"> </w:t>
      </w:r>
      <w:r w:rsidR="006E3B23">
        <w:rPr>
          <w:sz w:val="24"/>
          <w:szCs w:val="24"/>
          <w:lang w:val="lt-LT"/>
        </w:rPr>
        <w:t xml:space="preserve">Lietuva pritaria </w:t>
      </w:r>
      <w:r w:rsidR="006E3B23" w:rsidRPr="006E3B23">
        <w:rPr>
          <w:sz w:val="24"/>
          <w:szCs w:val="24"/>
          <w:lang w:val="lt-LT"/>
        </w:rPr>
        <w:t>Komisijos parengt</w:t>
      </w:r>
      <w:r w:rsidR="006E3B23">
        <w:rPr>
          <w:sz w:val="24"/>
          <w:szCs w:val="24"/>
          <w:lang w:val="lt-LT"/>
        </w:rPr>
        <w:t xml:space="preserve">ai Darnaus ir išmanaus </w:t>
      </w:r>
      <w:r w:rsidR="006E3B23" w:rsidRPr="006E3B23">
        <w:rPr>
          <w:sz w:val="24"/>
          <w:szCs w:val="24"/>
          <w:lang w:val="lt-LT"/>
        </w:rPr>
        <w:t>judumo strategij</w:t>
      </w:r>
      <w:r w:rsidR="006E3B23">
        <w:rPr>
          <w:sz w:val="24"/>
          <w:szCs w:val="24"/>
          <w:lang w:val="lt-LT"/>
        </w:rPr>
        <w:t>ai</w:t>
      </w:r>
      <w:r w:rsidR="006E3B23" w:rsidRPr="006E3B23">
        <w:rPr>
          <w:sz w:val="24"/>
          <w:szCs w:val="24"/>
          <w:lang w:val="lt-LT"/>
        </w:rPr>
        <w:t xml:space="preserve"> (toliau – Strategija). Atsakant į parengtus PT pirm klausimus, </w:t>
      </w:r>
      <w:r w:rsidR="00413A77">
        <w:rPr>
          <w:sz w:val="24"/>
          <w:szCs w:val="24"/>
          <w:lang w:val="lt-LT"/>
        </w:rPr>
        <w:t>manome</w:t>
      </w:r>
      <w:r w:rsidR="006E3B23" w:rsidRPr="006E3B23">
        <w:rPr>
          <w:sz w:val="24"/>
          <w:szCs w:val="24"/>
          <w:lang w:val="lt-LT"/>
        </w:rPr>
        <w:t>, kad vienas svarbiausių šiuo metu esančių uždavinių – atgaivinti transporto ir logistikos sektori</w:t>
      </w:r>
      <w:r w:rsidR="00635006">
        <w:rPr>
          <w:sz w:val="24"/>
          <w:szCs w:val="24"/>
          <w:lang w:val="lt-LT"/>
        </w:rPr>
        <w:t>ų</w:t>
      </w:r>
      <w:r w:rsidR="006E3B23" w:rsidRPr="006E3B23">
        <w:rPr>
          <w:sz w:val="24"/>
          <w:szCs w:val="24"/>
          <w:lang w:val="lt-LT"/>
        </w:rPr>
        <w:t xml:space="preserve"> po COVID krizės. Pasinaudo</w:t>
      </w:r>
      <w:r w:rsidR="00413A77">
        <w:rPr>
          <w:sz w:val="24"/>
          <w:szCs w:val="24"/>
          <w:lang w:val="lt-LT"/>
        </w:rPr>
        <w:t>jus</w:t>
      </w:r>
      <w:r w:rsidR="006E3B23" w:rsidRPr="006E3B23">
        <w:rPr>
          <w:sz w:val="24"/>
          <w:szCs w:val="24"/>
          <w:lang w:val="lt-LT"/>
        </w:rPr>
        <w:t xml:space="preserve"> susidariusia situacija ir padarius tinkamas išvadas </w:t>
      </w:r>
      <w:r w:rsidR="00413A77">
        <w:rPr>
          <w:sz w:val="24"/>
          <w:szCs w:val="24"/>
          <w:lang w:val="lt-LT"/>
        </w:rPr>
        <w:t xml:space="preserve">reikia siekti </w:t>
      </w:r>
      <w:r w:rsidR="006E3B23" w:rsidRPr="006E3B23">
        <w:rPr>
          <w:sz w:val="24"/>
          <w:szCs w:val="24"/>
          <w:lang w:val="lt-LT"/>
        </w:rPr>
        <w:t xml:space="preserve">iš krizės išeiti stipresniems, išlaikant stiprią </w:t>
      </w:r>
      <w:r w:rsidR="00635006">
        <w:rPr>
          <w:sz w:val="24"/>
          <w:szCs w:val="24"/>
          <w:lang w:val="lt-LT"/>
        </w:rPr>
        <w:t>Bendrąją</w:t>
      </w:r>
      <w:r w:rsidR="006E3B23" w:rsidRPr="006E3B23">
        <w:rPr>
          <w:sz w:val="24"/>
          <w:szCs w:val="24"/>
          <w:lang w:val="lt-LT"/>
        </w:rPr>
        <w:t xml:space="preserve"> </w:t>
      </w:r>
      <w:r w:rsidR="00635006">
        <w:rPr>
          <w:sz w:val="24"/>
          <w:szCs w:val="24"/>
          <w:lang w:val="lt-LT"/>
        </w:rPr>
        <w:t>r</w:t>
      </w:r>
      <w:r w:rsidR="006E3B23" w:rsidRPr="006E3B23">
        <w:rPr>
          <w:sz w:val="24"/>
          <w:szCs w:val="24"/>
          <w:lang w:val="lt-LT"/>
        </w:rPr>
        <w:t>inką. Kalbant apie aplinkosauginius tikslus, Lietuva yra pilnai pasiryžusi jų siekti, o kartu ir mažinti išmetamųjų dujų kiekius, tačiau pažymi, kad laukia nemažai iššūkių. Vienas tokių iššūkių yra kelių transporto sektoriaus įtraukimas į Europos Sąjungos apyvartinių taršos leidimų prekybos sistem</w:t>
      </w:r>
      <w:r w:rsidR="00413A77">
        <w:rPr>
          <w:sz w:val="24"/>
          <w:szCs w:val="24"/>
          <w:lang w:val="lt-LT"/>
        </w:rPr>
        <w:t>ą</w:t>
      </w:r>
      <w:r w:rsidR="006E3B23" w:rsidRPr="006E3B23">
        <w:rPr>
          <w:sz w:val="24"/>
          <w:szCs w:val="24"/>
          <w:lang w:val="lt-LT"/>
        </w:rPr>
        <w:t>. Vidaus variklių uždraudimas, kuris gali būti kaip efektyviausias būdas paskatinti naudoti alternatyviu kuru varomas transporto priemones, yra kitas iššūkis. Visi iššūkiai turi būti tinkamai įvertinti</w:t>
      </w:r>
      <w:r w:rsidR="00413A77">
        <w:rPr>
          <w:sz w:val="24"/>
          <w:szCs w:val="24"/>
          <w:lang w:val="lt-LT"/>
        </w:rPr>
        <w:t xml:space="preserve">, </w:t>
      </w:r>
      <w:r w:rsidR="006E3B23" w:rsidRPr="006E3B23">
        <w:rPr>
          <w:sz w:val="24"/>
          <w:szCs w:val="24"/>
          <w:lang w:val="lt-LT"/>
        </w:rPr>
        <w:t xml:space="preserve">ypač atsižvelgiant į perkamąją </w:t>
      </w:r>
      <w:r w:rsidR="00413A77">
        <w:rPr>
          <w:sz w:val="24"/>
          <w:szCs w:val="24"/>
          <w:lang w:val="lt-LT"/>
        </w:rPr>
        <w:t>valstybių narių</w:t>
      </w:r>
      <w:r w:rsidR="006E3B23" w:rsidRPr="006E3B23">
        <w:rPr>
          <w:sz w:val="24"/>
          <w:szCs w:val="24"/>
          <w:lang w:val="lt-LT"/>
        </w:rPr>
        <w:t xml:space="preserve"> galią ir infrastruktūros išsivystymo lygį. Lietuva mano, kad didelį dėmesį įgyvendinant Strategijos priemones reikia skirti skaitmenizavimui, būtent atsisakant popierinių dokumentų transporte. </w:t>
      </w:r>
    </w:p>
    <w:p w14:paraId="23C1DADD" w14:textId="70D3E8B8" w:rsidR="00A7676C" w:rsidRDefault="006E3B23" w:rsidP="00413A77">
      <w:pPr>
        <w:ind w:firstLine="567"/>
        <w:jc w:val="both"/>
        <w:rPr>
          <w:sz w:val="24"/>
          <w:szCs w:val="24"/>
          <w:lang w:val="lt-LT"/>
        </w:rPr>
      </w:pPr>
      <w:r w:rsidRPr="006E3B23">
        <w:rPr>
          <w:sz w:val="24"/>
          <w:szCs w:val="24"/>
          <w:lang w:val="lt-LT"/>
        </w:rPr>
        <w:t xml:space="preserve">Atitinkamas finansavimo lygis, finansavimo išlaikymas esamiems infrastruktūros projektams yra svarbus akcentas Lietuvai. Nemažiau svarbu įgyvendinant Strategiją ateityje nepadaryti klaidų, kurios buvo padarytos </w:t>
      </w:r>
      <w:r w:rsidR="00635006">
        <w:rPr>
          <w:sz w:val="24"/>
          <w:szCs w:val="24"/>
          <w:lang w:val="lt-LT"/>
        </w:rPr>
        <w:t xml:space="preserve">priėmus </w:t>
      </w:r>
      <w:r w:rsidRPr="006E3B23">
        <w:rPr>
          <w:sz w:val="24"/>
          <w:szCs w:val="24"/>
          <w:lang w:val="lt-LT"/>
        </w:rPr>
        <w:t>Mobilumo paket</w:t>
      </w:r>
      <w:r w:rsidR="00635006">
        <w:rPr>
          <w:sz w:val="24"/>
          <w:szCs w:val="24"/>
          <w:lang w:val="lt-LT"/>
        </w:rPr>
        <w:t>ą</w:t>
      </w:r>
      <w:r w:rsidRPr="006E3B23">
        <w:rPr>
          <w:sz w:val="24"/>
          <w:szCs w:val="24"/>
          <w:lang w:val="lt-LT"/>
        </w:rPr>
        <w:t xml:space="preserve"> I</w:t>
      </w:r>
      <w:r w:rsidR="00635006">
        <w:rPr>
          <w:sz w:val="24"/>
          <w:szCs w:val="24"/>
          <w:lang w:val="lt-LT"/>
        </w:rPr>
        <w:t xml:space="preserve">, konkrečiai nuostatą dėl </w:t>
      </w:r>
      <w:r w:rsidRPr="006E3B23">
        <w:rPr>
          <w:sz w:val="24"/>
          <w:szCs w:val="24"/>
          <w:lang w:val="lt-LT"/>
        </w:rPr>
        <w:t>vilkiko grąžinimo</w:t>
      </w:r>
      <w:r w:rsidR="00635006">
        <w:rPr>
          <w:sz w:val="24"/>
          <w:szCs w:val="24"/>
          <w:lang w:val="lt-LT"/>
        </w:rPr>
        <w:t>.</w:t>
      </w:r>
      <w:r w:rsidRPr="006E3B23">
        <w:rPr>
          <w:sz w:val="24"/>
          <w:szCs w:val="24"/>
          <w:lang w:val="lt-LT"/>
        </w:rPr>
        <w:t xml:space="preserve"> </w:t>
      </w:r>
      <w:r w:rsidR="000F436E">
        <w:rPr>
          <w:sz w:val="24"/>
          <w:szCs w:val="24"/>
          <w:lang w:val="lt-LT"/>
        </w:rPr>
        <w:t>T</w:t>
      </w:r>
      <w:r w:rsidRPr="006E3B23">
        <w:rPr>
          <w:sz w:val="24"/>
          <w:szCs w:val="24"/>
          <w:lang w:val="lt-LT"/>
        </w:rPr>
        <w:t xml:space="preserve">ai patvirtino </w:t>
      </w:r>
      <w:r w:rsidR="000F436E">
        <w:rPr>
          <w:sz w:val="24"/>
          <w:szCs w:val="24"/>
          <w:lang w:val="lt-LT"/>
        </w:rPr>
        <w:t xml:space="preserve">ir </w:t>
      </w:r>
      <w:r w:rsidRPr="006E3B23">
        <w:rPr>
          <w:sz w:val="24"/>
          <w:szCs w:val="24"/>
          <w:lang w:val="lt-LT"/>
        </w:rPr>
        <w:t>Europos Komisijos atliktas vertinimas, kuris atskleidė</w:t>
      </w:r>
      <w:r w:rsidR="000F436E">
        <w:rPr>
          <w:sz w:val="24"/>
          <w:szCs w:val="24"/>
          <w:lang w:val="lt-LT"/>
        </w:rPr>
        <w:t>,</w:t>
      </w:r>
      <w:r w:rsidRPr="006E3B23">
        <w:rPr>
          <w:sz w:val="24"/>
          <w:szCs w:val="24"/>
          <w:lang w:val="lt-LT"/>
        </w:rPr>
        <w:t xml:space="preserve"> kokia žala </w:t>
      </w:r>
      <w:r w:rsidR="000F436E" w:rsidRPr="006E3B23">
        <w:rPr>
          <w:sz w:val="24"/>
          <w:szCs w:val="24"/>
          <w:lang w:val="lt-LT"/>
        </w:rPr>
        <w:t xml:space="preserve">bus padaryta </w:t>
      </w:r>
      <w:r w:rsidRPr="006E3B23">
        <w:rPr>
          <w:sz w:val="24"/>
          <w:szCs w:val="24"/>
          <w:lang w:val="lt-LT"/>
        </w:rPr>
        <w:t>aplinkai</w:t>
      </w:r>
      <w:r w:rsidR="000F436E">
        <w:rPr>
          <w:sz w:val="24"/>
          <w:szCs w:val="24"/>
          <w:lang w:val="lt-LT"/>
        </w:rPr>
        <w:t xml:space="preserve">, </w:t>
      </w:r>
      <w:proofErr w:type="spellStart"/>
      <w:r w:rsidR="000F436E">
        <w:rPr>
          <w:sz w:val="24"/>
          <w:szCs w:val="24"/>
          <w:lang w:val="lt-LT"/>
        </w:rPr>
        <w:t>t.y</w:t>
      </w:r>
      <w:proofErr w:type="spellEnd"/>
      <w:r w:rsidR="000F436E">
        <w:rPr>
          <w:sz w:val="24"/>
          <w:szCs w:val="24"/>
          <w:lang w:val="lt-LT"/>
        </w:rPr>
        <w:t>. į</w:t>
      </w:r>
      <w:r w:rsidR="000F436E" w:rsidRPr="000F436E">
        <w:rPr>
          <w:sz w:val="24"/>
          <w:szCs w:val="24"/>
          <w:lang w:val="lt-LT"/>
        </w:rPr>
        <w:t xml:space="preserve"> aplinką bus papildomai išmetama iki 3 mln. tonų CO2</w:t>
      </w:r>
      <w:r w:rsidR="000F436E">
        <w:rPr>
          <w:sz w:val="24"/>
          <w:szCs w:val="24"/>
          <w:lang w:val="lt-LT"/>
        </w:rPr>
        <w:t xml:space="preserve"> i</w:t>
      </w:r>
      <w:r w:rsidR="000F436E" w:rsidRPr="000F436E">
        <w:rPr>
          <w:sz w:val="24"/>
          <w:szCs w:val="24"/>
          <w:lang w:val="lt-LT"/>
        </w:rPr>
        <w:t>ki 2023 m.</w:t>
      </w:r>
    </w:p>
    <w:p w14:paraId="5AA8E3D4" w14:textId="0EAC5991" w:rsidR="009466A1" w:rsidRDefault="009466A1" w:rsidP="00821C53">
      <w:pPr>
        <w:jc w:val="both"/>
        <w:rPr>
          <w:b/>
          <w:sz w:val="24"/>
          <w:szCs w:val="24"/>
          <w:lang w:val="lt-LT"/>
        </w:rPr>
      </w:pPr>
    </w:p>
    <w:p w14:paraId="04F4D9A2" w14:textId="3F24E44F" w:rsidR="00ED45C0" w:rsidRDefault="00ED45C0" w:rsidP="00821C53">
      <w:pPr>
        <w:jc w:val="both"/>
        <w:rPr>
          <w:b/>
          <w:sz w:val="24"/>
          <w:szCs w:val="24"/>
          <w:lang w:val="lt-LT"/>
        </w:rPr>
      </w:pPr>
      <w:r>
        <w:rPr>
          <w:b/>
          <w:sz w:val="24"/>
          <w:szCs w:val="24"/>
          <w:lang w:val="lt-LT"/>
        </w:rPr>
        <w:t xml:space="preserve">7. AOB  klausimas dėl neteisėto </w:t>
      </w:r>
      <w:proofErr w:type="spellStart"/>
      <w:r>
        <w:rPr>
          <w:b/>
          <w:sz w:val="24"/>
          <w:szCs w:val="24"/>
          <w:lang w:val="lt-LT"/>
        </w:rPr>
        <w:t>Raynair</w:t>
      </w:r>
      <w:proofErr w:type="spellEnd"/>
      <w:r>
        <w:rPr>
          <w:b/>
          <w:sz w:val="24"/>
          <w:szCs w:val="24"/>
          <w:lang w:val="lt-LT"/>
        </w:rPr>
        <w:t xml:space="preserve"> lėktuvo nutupdymo Minske</w:t>
      </w:r>
      <w:r w:rsidR="00780B84">
        <w:rPr>
          <w:b/>
          <w:sz w:val="24"/>
          <w:szCs w:val="24"/>
          <w:lang w:val="lt-LT"/>
        </w:rPr>
        <w:t xml:space="preserve"> </w:t>
      </w:r>
      <w:r w:rsidR="00780B84" w:rsidRPr="00780B84">
        <w:rPr>
          <w:bCs/>
          <w:sz w:val="24"/>
          <w:szCs w:val="24"/>
          <w:lang w:val="lt-LT"/>
        </w:rPr>
        <w:t>(Lietuvos informacija)</w:t>
      </w:r>
    </w:p>
    <w:p w14:paraId="05B2A8B3" w14:textId="31FE8031" w:rsidR="00ED45C0" w:rsidRDefault="00ED45C0" w:rsidP="00821C53">
      <w:pPr>
        <w:jc w:val="both"/>
        <w:rPr>
          <w:b/>
          <w:sz w:val="24"/>
          <w:szCs w:val="24"/>
          <w:lang w:val="lt-LT"/>
        </w:rPr>
      </w:pPr>
    </w:p>
    <w:p w14:paraId="49FB9FFD" w14:textId="77777777" w:rsidR="00ED45C0" w:rsidRPr="00EB51E6" w:rsidRDefault="00ED45C0" w:rsidP="00ED45C0">
      <w:pPr>
        <w:ind w:firstLine="567"/>
        <w:jc w:val="both"/>
        <w:rPr>
          <w:i/>
          <w:sz w:val="24"/>
          <w:szCs w:val="24"/>
          <w:lang w:val="lt-LT"/>
        </w:rPr>
      </w:pPr>
      <w:r w:rsidRPr="00EB51E6">
        <w:rPr>
          <w:i/>
          <w:sz w:val="24"/>
          <w:szCs w:val="24"/>
          <w:lang w:val="lt-LT"/>
        </w:rPr>
        <w:t>Klausimo esmė</w:t>
      </w:r>
    </w:p>
    <w:p w14:paraId="1ED6BC74" w14:textId="070116C4" w:rsidR="00780B84" w:rsidRPr="00780B84" w:rsidRDefault="00780B84" w:rsidP="00780B84">
      <w:pPr>
        <w:ind w:firstLine="567"/>
        <w:jc w:val="both"/>
        <w:rPr>
          <w:bCs/>
          <w:sz w:val="24"/>
          <w:szCs w:val="24"/>
          <w:lang w:val="lt-LT"/>
        </w:rPr>
      </w:pPr>
      <w:r w:rsidRPr="00780B84">
        <w:rPr>
          <w:bCs/>
          <w:sz w:val="24"/>
          <w:szCs w:val="24"/>
          <w:lang w:val="lt-LT"/>
        </w:rPr>
        <w:t>Beprecedentis</w:t>
      </w:r>
      <w:r w:rsidRPr="00780B84">
        <w:rPr>
          <w:bCs/>
          <w:sz w:val="24"/>
          <w:szCs w:val="24"/>
          <w:lang w:val="lt-LT"/>
        </w:rPr>
        <w:t xml:space="preserve"> atvejis, ka</w:t>
      </w:r>
      <w:r>
        <w:rPr>
          <w:bCs/>
          <w:sz w:val="24"/>
          <w:szCs w:val="24"/>
          <w:lang w:val="lt-LT"/>
        </w:rPr>
        <w:t>i</w:t>
      </w:r>
      <w:r w:rsidRPr="00780B84">
        <w:rPr>
          <w:bCs/>
          <w:sz w:val="24"/>
          <w:szCs w:val="24"/>
          <w:lang w:val="lt-LT"/>
        </w:rPr>
        <w:t xml:space="preserve"> Ryanair kompanijos lėktuvas, skridęs iš Atėnų į Vilnių buvo priverstinai nutupdytas Minske. Atsižvelgusios į šį atvejį, </w:t>
      </w:r>
      <w:r>
        <w:rPr>
          <w:bCs/>
          <w:sz w:val="24"/>
          <w:szCs w:val="24"/>
          <w:lang w:val="lt-LT"/>
        </w:rPr>
        <w:t xml:space="preserve">ES valstybės </w:t>
      </w:r>
      <w:r w:rsidRPr="00780B84">
        <w:rPr>
          <w:bCs/>
          <w:sz w:val="24"/>
          <w:szCs w:val="24"/>
          <w:lang w:val="lt-LT"/>
        </w:rPr>
        <w:t>narės ėmėsi veiksmų dėl skrydžių, kurie susiję su Baltarusijos oro erdvės kirtimu, uždraudimu, taip pat dėl Baltarusijos aviakompanijos lėktuvų neįsileidimo į ES oro erdvę. Taip buvo įgyvendinti ir EVT, vykusios š. m. gegužės 24-25 d. sprendimai.</w:t>
      </w:r>
    </w:p>
    <w:p w14:paraId="2F086D62" w14:textId="18EA6E9D" w:rsidR="00780B84" w:rsidRPr="00780B84" w:rsidRDefault="00780B84" w:rsidP="00780B84">
      <w:pPr>
        <w:ind w:firstLine="567"/>
        <w:jc w:val="both"/>
        <w:rPr>
          <w:bCs/>
          <w:sz w:val="24"/>
          <w:szCs w:val="24"/>
          <w:lang w:val="lt-LT"/>
        </w:rPr>
      </w:pPr>
      <w:r w:rsidRPr="00780B84">
        <w:rPr>
          <w:bCs/>
          <w:sz w:val="24"/>
          <w:szCs w:val="24"/>
          <w:lang w:val="lt-LT"/>
        </w:rPr>
        <w:t>Klausim</w:t>
      </w:r>
      <w:r>
        <w:rPr>
          <w:bCs/>
          <w:sz w:val="24"/>
          <w:szCs w:val="24"/>
          <w:lang w:val="lt-LT"/>
        </w:rPr>
        <w:t>ą</w:t>
      </w:r>
      <w:r w:rsidRPr="00780B84">
        <w:rPr>
          <w:bCs/>
          <w:sz w:val="24"/>
          <w:szCs w:val="24"/>
          <w:lang w:val="lt-LT"/>
        </w:rPr>
        <w:t xml:space="preserve"> skubos tvarka įvertin</w:t>
      </w:r>
      <w:r>
        <w:rPr>
          <w:bCs/>
          <w:sz w:val="24"/>
          <w:szCs w:val="24"/>
          <w:lang w:val="lt-LT"/>
        </w:rPr>
        <w:t xml:space="preserve">o Europos aviacijos saugos agentūra </w:t>
      </w:r>
      <w:r w:rsidRPr="00780B84">
        <w:rPr>
          <w:bCs/>
          <w:sz w:val="24"/>
          <w:szCs w:val="24"/>
          <w:lang w:val="lt-LT"/>
        </w:rPr>
        <w:t>EASA (išduota rekomendacija neskristi į Baltarusijos oro erdvę) ir ICAO Taryb</w:t>
      </w:r>
      <w:r>
        <w:rPr>
          <w:bCs/>
          <w:sz w:val="24"/>
          <w:szCs w:val="24"/>
          <w:lang w:val="lt-LT"/>
        </w:rPr>
        <w:t>a</w:t>
      </w:r>
      <w:r w:rsidRPr="00780B84">
        <w:rPr>
          <w:bCs/>
          <w:sz w:val="24"/>
          <w:szCs w:val="24"/>
          <w:lang w:val="lt-LT"/>
        </w:rPr>
        <w:t xml:space="preserve"> (inicijuotas išsamus tyrimas). </w:t>
      </w:r>
    </w:p>
    <w:p w14:paraId="715907C3" w14:textId="35091113" w:rsidR="00780B84" w:rsidRPr="00780B84" w:rsidRDefault="00780B84" w:rsidP="00780B84">
      <w:pPr>
        <w:ind w:firstLine="567"/>
        <w:jc w:val="both"/>
        <w:rPr>
          <w:bCs/>
          <w:sz w:val="24"/>
          <w:szCs w:val="24"/>
          <w:lang w:val="lt-LT"/>
        </w:rPr>
      </w:pPr>
      <w:r w:rsidRPr="00780B84">
        <w:rPr>
          <w:bCs/>
          <w:sz w:val="24"/>
          <w:szCs w:val="24"/>
          <w:lang w:val="lt-LT"/>
        </w:rPr>
        <w:t>Lietuva</w:t>
      </w:r>
      <w:r>
        <w:rPr>
          <w:bCs/>
          <w:sz w:val="24"/>
          <w:szCs w:val="24"/>
          <w:lang w:val="lt-LT"/>
        </w:rPr>
        <w:t>,</w:t>
      </w:r>
      <w:r w:rsidRPr="00780B84">
        <w:rPr>
          <w:bCs/>
          <w:sz w:val="24"/>
          <w:szCs w:val="24"/>
          <w:lang w:val="lt-LT"/>
        </w:rPr>
        <w:t xml:space="preserve"> </w:t>
      </w:r>
      <w:r>
        <w:rPr>
          <w:bCs/>
          <w:sz w:val="24"/>
          <w:szCs w:val="24"/>
          <w:lang w:val="lt-LT"/>
        </w:rPr>
        <w:t>dėkodama valstybėms</w:t>
      </w:r>
      <w:r w:rsidRPr="00780B84">
        <w:rPr>
          <w:bCs/>
          <w:sz w:val="24"/>
          <w:szCs w:val="24"/>
          <w:lang w:val="lt-LT"/>
        </w:rPr>
        <w:t xml:space="preserve"> nar</w:t>
      </w:r>
      <w:r>
        <w:rPr>
          <w:bCs/>
          <w:sz w:val="24"/>
          <w:szCs w:val="24"/>
          <w:lang w:val="lt-LT"/>
        </w:rPr>
        <w:t>ėm</w:t>
      </w:r>
      <w:r w:rsidRPr="00780B84">
        <w:rPr>
          <w:bCs/>
          <w:sz w:val="24"/>
          <w:szCs w:val="24"/>
          <w:lang w:val="lt-LT"/>
        </w:rPr>
        <w:t xml:space="preserve">s tinkamai ir operatyviai sureagavus į įvykį, taip pat mato ir poreikį koordinuotai ir nuosekliai reaguoti į tokius išpuolius ateityje, susijusius su esminiais oro eismo saugos pažeidimais. Lietuva ir ją remiančios </w:t>
      </w:r>
      <w:r>
        <w:rPr>
          <w:bCs/>
          <w:sz w:val="24"/>
          <w:szCs w:val="24"/>
          <w:lang w:val="lt-LT"/>
        </w:rPr>
        <w:t>valstybės</w:t>
      </w:r>
      <w:r w:rsidRPr="00780B84">
        <w:rPr>
          <w:bCs/>
          <w:sz w:val="24"/>
          <w:szCs w:val="24"/>
          <w:lang w:val="lt-LT"/>
        </w:rPr>
        <w:t xml:space="preserve"> (EE, LV, EL, IE ir galimai PL) prašo Europos Komisijos:</w:t>
      </w:r>
    </w:p>
    <w:p w14:paraId="7F8BC8C2" w14:textId="19BD6821" w:rsidR="00780B84" w:rsidRPr="00780B84" w:rsidRDefault="007F272C" w:rsidP="007F272C">
      <w:pPr>
        <w:jc w:val="both"/>
        <w:rPr>
          <w:bCs/>
          <w:sz w:val="24"/>
          <w:szCs w:val="24"/>
          <w:lang w:val="lt-LT"/>
        </w:rPr>
      </w:pPr>
      <w:r>
        <w:rPr>
          <w:bCs/>
          <w:sz w:val="24"/>
          <w:szCs w:val="24"/>
          <w:lang w:val="lt-LT"/>
        </w:rPr>
        <w:t>- p</w:t>
      </w:r>
      <w:r w:rsidR="00780B84" w:rsidRPr="00780B84">
        <w:rPr>
          <w:bCs/>
          <w:sz w:val="24"/>
          <w:szCs w:val="24"/>
          <w:lang w:val="lt-LT"/>
        </w:rPr>
        <w:t xml:space="preserve">asiūlyti ir (ar) priimti ilgojo laikotarpio koordinuotas priemones, nukreiptas prieš Baltarusiją ir jos aviakompanijas. Siūloma </w:t>
      </w:r>
      <w:r w:rsidR="00780B84">
        <w:rPr>
          <w:bCs/>
          <w:sz w:val="24"/>
          <w:szCs w:val="24"/>
          <w:lang w:val="lt-LT"/>
        </w:rPr>
        <w:t>valstybėms</w:t>
      </w:r>
      <w:r w:rsidR="00780B84" w:rsidRPr="00780B84">
        <w:rPr>
          <w:bCs/>
          <w:sz w:val="24"/>
          <w:szCs w:val="24"/>
          <w:lang w:val="lt-LT"/>
        </w:rPr>
        <w:t xml:space="preserve"> narėms griežtai vertinti EASA rekomendacijas vykdant oro erdvės ir navigacijos priežiūrą.</w:t>
      </w:r>
    </w:p>
    <w:p w14:paraId="30A1C3AC" w14:textId="595B1630" w:rsidR="00780B84" w:rsidRPr="00780B84" w:rsidRDefault="007F272C" w:rsidP="007F272C">
      <w:pPr>
        <w:jc w:val="both"/>
        <w:rPr>
          <w:bCs/>
          <w:sz w:val="24"/>
          <w:szCs w:val="24"/>
          <w:lang w:val="lt-LT"/>
        </w:rPr>
      </w:pPr>
      <w:r>
        <w:rPr>
          <w:bCs/>
          <w:sz w:val="24"/>
          <w:szCs w:val="24"/>
          <w:lang w:val="lt-LT"/>
        </w:rPr>
        <w:t xml:space="preserve">- </w:t>
      </w:r>
      <w:r w:rsidR="00780B84" w:rsidRPr="00780B84">
        <w:rPr>
          <w:bCs/>
          <w:sz w:val="24"/>
          <w:szCs w:val="24"/>
          <w:lang w:val="lt-LT"/>
        </w:rPr>
        <w:t>numatyti gaires, orientuotas į tikruosius praktinius poreikius, kad šalys narės savalaikiai ir pagal aiškius principus sureaguotų, priimtų vieningus sprendimus. Šie sprendimai turėtų turėti aiškų galiojimo laiką.</w:t>
      </w:r>
    </w:p>
    <w:p w14:paraId="48DC6770" w14:textId="71EBA12C" w:rsidR="00780B84" w:rsidRPr="00780B84" w:rsidRDefault="007F272C" w:rsidP="007F272C">
      <w:pPr>
        <w:jc w:val="both"/>
        <w:rPr>
          <w:bCs/>
          <w:sz w:val="24"/>
          <w:szCs w:val="24"/>
          <w:lang w:val="lt-LT"/>
        </w:rPr>
      </w:pPr>
      <w:r>
        <w:rPr>
          <w:bCs/>
          <w:sz w:val="24"/>
          <w:szCs w:val="24"/>
          <w:lang w:val="lt-LT"/>
        </w:rPr>
        <w:t xml:space="preserve">- </w:t>
      </w:r>
      <w:r w:rsidR="00780B84" w:rsidRPr="00780B84">
        <w:rPr>
          <w:bCs/>
          <w:sz w:val="24"/>
          <w:szCs w:val="24"/>
          <w:lang w:val="lt-LT"/>
        </w:rPr>
        <w:t>skirti didelį dėmesį ICAO tyrimui. Matomas poreikis atlikti atskirą rizikos vertinimą, kurio pagrindu ateityje šalys narės galėtų koordinuotai atsiimti savo ribojimus.</w:t>
      </w:r>
    </w:p>
    <w:p w14:paraId="73262521" w14:textId="196B69DD" w:rsidR="00780B84" w:rsidRDefault="00780B84" w:rsidP="00D33890">
      <w:pPr>
        <w:ind w:firstLine="567"/>
        <w:jc w:val="both"/>
        <w:rPr>
          <w:bCs/>
          <w:sz w:val="24"/>
          <w:szCs w:val="24"/>
          <w:lang w:val="lt-LT"/>
        </w:rPr>
      </w:pPr>
    </w:p>
    <w:p w14:paraId="48C8F4F6" w14:textId="77777777" w:rsidR="00780B84" w:rsidRPr="0042144A" w:rsidRDefault="00780B84" w:rsidP="00D33890">
      <w:pPr>
        <w:ind w:firstLine="567"/>
        <w:jc w:val="both"/>
        <w:rPr>
          <w:bCs/>
          <w:sz w:val="24"/>
          <w:szCs w:val="24"/>
          <w:lang w:val="lt-LT"/>
        </w:rPr>
      </w:pPr>
    </w:p>
    <w:p w14:paraId="08ACCA55" w14:textId="25B23DE3" w:rsidR="0042144A" w:rsidRPr="0042144A" w:rsidRDefault="0042144A" w:rsidP="0042144A">
      <w:pPr>
        <w:jc w:val="both"/>
        <w:rPr>
          <w:bCs/>
          <w:sz w:val="24"/>
          <w:szCs w:val="24"/>
          <w:lang w:val="lt-LT"/>
        </w:rPr>
      </w:pPr>
    </w:p>
    <w:p w14:paraId="57050D57" w14:textId="77777777" w:rsidR="009466A1" w:rsidRDefault="009466A1" w:rsidP="00821C53">
      <w:pPr>
        <w:jc w:val="both"/>
        <w:rPr>
          <w:b/>
          <w:sz w:val="24"/>
          <w:szCs w:val="24"/>
          <w:lang w:val="lt-LT"/>
        </w:rPr>
      </w:pPr>
    </w:p>
    <w:p w14:paraId="07BB685F" w14:textId="77777777" w:rsidR="006A204B" w:rsidRDefault="006A204B" w:rsidP="00821C53">
      <w:pPr>
        <w:jc w:val="both"/>
        <w:rPr>
          <w:b/>
          <w:sz w:val="24"/>
          <w:szCs w:val="24"/>
          <w:lang w:val="lt-LT"/>
        </w:rPr>
      </w:pPr>
    </w:p>
    <w:p w14:paraId="79C6D20D" w14:textId="77777777" w:rsidR="006A204B" w:rsidRDefault="006A204B" w:rsidP="00821C53">
      <w:pPr>
        <w:jc w:val="both"/>
        <w:rPr>
          <w:b/>
          <w:sz w:val="24"/>
          <w:szCs w:val="24"/>
          <w:lang w:val="lt-LT"/>
        </w:rPr>
      </w:pPr>
    </w:p>
    <w:p w14:paraId="3CFF72A4" w14:textId="77777777" w:rsidR="006A204B" w:rsidRDefault="006A204B" w:rsidP="00821C53">
      <w:pPr>
        <w:jc w:val="both"/>
        <w:rPr>
          <w:b/>
          <w:sz w:val="24"/>
          <w:szCs w:val="24"/>
          <w:lang w:val="lt-LT"/>
        </w:rPr>
      </w:pPr>
    </w:p>
    <w:p w14:paraId="0BA234C5" w14:textId="5B7545B1" w:rsidR="009466A1" w:rsidRDefault="009466A1" w:rsidP="00821C53">
      <w:pPr>
        <w:jc w:val="both"/>
        <w:rPr>
          <w:b/>
          <w:sz w:val="24"/>
          <w:szCs w:val="24"/>
          <w:lang w:val="lt-LT"/>
        </w:rPr>
      </w:pPr>
      <w:r>
        <w:rPr>
          <w:b/>
          <w:sz w:val="24"/>
          <w:szCs w:val="24"/>
          <w:lang w:val="lt-LT"/>
        </w:rPr>
        <w:lastRenderedPageBreak/>
        <w:t>TELEKOMUNIKACIJOS</w:t>
      </w:r>
    </w:p>
    <w:p w14:paraId="6ED3270F" w14:textId="77777777" w:rsidR="009466A1" w:rsidRDefault="009466A1" w:rsidP="00821C53">
      <w:pPr>
        <w:jc w:val="both"/>
        <w:rPr>
          <w:b/>
          <w:sz w:val="24"/>
          <w:szCs w:val="24"/>
          <w:lang w:val="lt-LT"/>
        </w:rPr>
      </w:pPr>
    </w:p>
    <w:p w14:paraId="5EF607E1" w14:textId="60F22AD1" w:rsidR="00821C53" w:rsidRPr="007337E6" w:rsidRDefault="00FA554A" w:rsidP="005E4D3A">
      <w:pPr>
        <w:jc w:val="both"/>
        <w:rPr>
          <w:bCs/>
          <w:sz w:val="24"/>
          <w:szCs w:val="24"/>
          <w:lang w:val="lt-LT"/>
        </w:rPr>
      </w:pPr>
      <w:r>
        <w:rPr>
          <w:b/>
          <w:sz w:val="24"/>
          <w:szCs w:val="24"/>
          <w:lang w:val="lt-LT"/>
        </w:rPr>
        <w:t>8</w:t>
      </w:r>
      <w:r w:rsidR="00821C53" w:rsidRPr="00EB51E6">
        <w:rPr>
          <w:b/>
          <w:sz w:val="24"/>
          <w:szCs w:val="24"/>
          <w:lang w:val="lt-LT"/>
        </w:rPr>
        <w:t xml:space="preserve">.  </w:t>
      </w:r>
      <w:r w:rsidR="005E4D3A" w:rsidRPr="005E4D3A">
        <w:rPr>
          <w:b/>
          <w:sz w:val="24"/>
          <w:szCs w:val="24"/>
          <w:lang w:val="lt-LT"/>
        </w:rPr>
        <w:t>Europos duomenų valdymo reglamentas (Duomenų valdymo aktas)</w:t>
      </w:r>
      <w:r w:rsidR="005E4D3A">
        <w:rPr>
          <w:b/>
          <w:sz w:val="24"/>
          <w:szCs w:val="24"/>
          <w:lang w:val="lt-LT"/>
        </w:rPr>
        <w:t xml:space="preserve"> – </w:t>
      </w:r>
      <w:r w:rsidR="005E4D3A" w:rsidRPr="005E4D3A">
        <w:rPr>
          <w:bCs/>
          <w:sz w:val="24"/>
          <w:szCs w:val="24"/>
          <w:lang w:val="lt-LT"/>
        </w:rPr>
        <w:t>Pažangos ataskaita</w:t>
      </w:r>
      <w:r w:rsidR="005E4D3A">
        <w:rPr>
          <w:bCs/>
          <w:sz w:val="24"/>
          <w:szCs w:val="24"/>
          <w:lang w:val="lt-LT"/>
        </w:rPr>
        <w:t xml:space="preserve"> </w:t>
      </w:r>
      <w:r w:rsidR="005E4D3A" w:rsidRPr="005E4D3A">
        <w:rPr>
          <w:bCs/>
          <w:i/>
          <w:iCs/>
          <w:sz w:val="24"/>
          <w:szCs w:val="24"/>
          <w:lang w:val="lt-LT"/>
        </w:rPr>
        <w:t>(atsakinga EIM)</w:t>
      </w:r>
    </w:p>
    <w:p w14:paraId="1F993A67" w14:textId="77777777" w:rsidR="00821C53" w:rsidRDefault="00821C53" w:rsidP="00821C53">
      <w:pPr>
        <w:jc w:val="both"/>
        <w:rPr>
          <w:sz w:val="24"/>
          <w:szCs w:val="24"/>
          <w:lang w:val="lt-LT"/>
        </w:rPr>
      </w:pPr>
    </w:p>
    <w:p w14:paraId="546237F7" w14:textId="77777777" w:rsidR="00821C53" w:rsidRDefault="00821C53" w:rsidP="00821C53">
      <w:pPr>
        <w:ind w:firstLine="567"/>
        <w:jc w:val="both"/>
        <w:rPr>
          <w:i/>
          <w:sz w:val="24"/>
          <w:szCs w:val="24"/>
          <w:lang w:val="lt-LT"/>
        </w:rPr>
      </w:pPr>
      <w:r w:rsidRPr="00EB51E6">
        <w:rPr>
          <w:i/>
          <w:sz w:val="24"/>
          <w:szCs w:val="24"/>
          <w:lang w:val="lt-LT"/>
        </w:rPr>
        <w:t>Klausimo esmė</w:t>
      </w:r>
    </w:p>
    <w:p w14:paraId="058E0877" w14:textId="787C6FBB" w:rsidR="005E4D3A" w:rsidRPr="005E4D3A" w:rsidRDefault="005E4D3A" w:rsidP="005E4D3A">
      <w:pPr>
        <w:ind w:firstLine="567"/>
        <w:jc w:val="both"/>
        <w:rPr>
          <w:iCs/>
          <w:sz w:val="24"/>
          <w:szCs w:val="24"/>
          <w:lang w:val="lt-LT"/>
        </w:rPr>
      </w:pPr>
      <w:r w:rsidRPr="005E4D3A">
        <w:rPr>
          <w:iCs/>
          <w:sz w:val="24"/>
          <w:szCs w:val="24"/>
          <w:lang w:val="lt-LT"/>
        </w:rPr>
        <w:t>2020 m. lapkričio 25 d. Komisija  priėmė Reglamento dėl Europos duomenų valdymo pasiūlymą (Duomenų valdymo aktas).</w:t>
      </w:r>
      <w:r>
        <w:rPr>
          <w:iCs/>
          <w:sz w:val="24"/>
          <w:szCs w:val="24"/>
          <w:lang w:val="lt-LT"/>
        </w:rPr>
        <w:t xml:space="preserve"> </w:t>
      </w:r>
      <w:r w:rsidRPr="005E4D3A">
        <w:rPr>
          <w:iCs/>
          <w:sz w:val="24"/>
          <w:szCs w:val="24"/>
          <w:lang w:val="lt-LT"/>
        </w:rPr>
        <w:t>Tai pirmoji iš priemonių, kurias Komisija paskelbė 2020 m. Europos duomenų strategijoje.</w:t>
      </w:r>
    </w:p>
    <w:p w14:paraId="45E1F542" w14:textId="77777777" w:rsidR="005E4D3A" w:rsidRPr="005E4D3A" w:rsidRDefault="005E4D3A" w:rsidP="005E4D3A">
      <w:pPr>
        <w:ind w:firstLine="567"/>
        <w:jc w:val="both"/>
        <w:rPr>
          <w:iCs/>
          <w:sz w:val="24"/>
          <w:szCs w:val="24"/>
          <w:lang w:val="lt-LT"/>
        </w:rPr>
      </w:pPr>
      <w:r w:rsidRPr="005E4D3A">
        <w:rPr>
          <w:iCs/>
          <w:sz w:val="24"/>
          <w:szCs w:val="24"/>
          <w:lang w:val="lt-LT"/>
        </w:rPr>
        <w:t>Šio Reglamento tikslas – didinti pasitikėjimą dalijimusi duomenimis, stiprinti mechanizmus, kuriais didinamas duomenų prieinamumas, ir šalinti technines pakartotinio duomenų naudojimo kliūtis. Tai padės užtikrinti galimybę naudotis duomenimis, skirtais ekonomikai (naujiems produktams ir paslaugoms kurti, didesniam efektyvumui užtikrinti) ir visuomenei (visuomenės uždaviniams spręsti). Iniciatyva siekiama sukurti pagrindą naujam europiniam duomenų valdymo būdui, kuris būtų alternatyva platformų modeliui, kurį šiuo metu siūlo technologijų milžinės.</w:t>
      </w:r>
    </w:p>
    <w:p w14:paraId="61B008F1" w14:textId="23883542" w:rsidR="00821C53" w:rsidRPr="005E4D3A" w:rsidRDefault="005E4D3A" w:rsidP="005E4D3A">
      <w:pPr>
        <w:ind w:firstLine="567"/>
        <w:jc w:val="both"/>
        <w:rPr>
          <w:iCs/>
          <w:sz w:val="24"/>
          <w:szCs w:val="24"/>
          <w:lang w:val="lt-LT"/>
        </w:rPr>
      </w:pPr>
      <w:r w:rsidRPr="005E4D3A">
        <w:rPr>
          <w:iCs/>
          <w:sz w:val="24"/>
          <w:szCs w:val="24"/>
          <w:lang w:val="lt-LT"/>
        </w:rPr>
        <w:t>Pažangos ataskaitoje trumpai ir aiškiai atspindėti nuveikti darbai, įskaitant ir vykusius tematinius seminarus, skirtus konkretiems praktiniams aspektams.</w:t>
      </w:r>
    </w:p>
    <w:p w14:paraId="4752DDAC" w14:textId="77777777" w:rsidR="005E4D3A" w:rsidRPr="00EB51E6" w:rsidRDefault="005E4D3A" w:rsidP="00821C53">
      <w:pPr>
        <w:ind w:firstLine="567"/>
        <w:jc w:val="both"/>
        <w:rPr>
          <w:i/>
          <w:sz w:val="24"/>
          <w:szCs w:val="24"/>
          <w:lang w:val="lt-LT"/>
        </w:rPr>
      </w:pPr>
    </w:p>
    <w:p w14:paraId="3953E10A" w14:textId="77777777" w:rsidR="00821C53" w:rsidRDefault="00821C53" w:rsidP="00821C53">
      <w:pPr>
        <w:ind w:firstLine="567"/>
        <w:jc w:val="both"/>
        <w:rPr>
          <w:i/>
          <w:sz w:val="24"/>
          <w:szCs w:val="24"/>
          <w:lang w:val="lt-LT"/>
        </w:rPr>
      </w:pPr>
      <w:r w:rsidRPr="0050777C">
        <w:rPr>
          <w:i/>
          <w:sz w:val="24"/>
          <w:szCs w:val="24"/>
          <w:lang w:val="lt-LT"/>
        </w:rPr>
        <w:t>Lietuvos pozicija</w:t>
      </w:r>
    </w:p>
    <w:p w14:paraId="38162094" w14:textId="42811FC5" w:rsidR="005E4D3A" w:rsidRPr="005E4D3A" w:rsidRDefault="000A558B" w:rsidP="005E4D3A">
      <w:pPr>
        <w:spacing w:after="160" w:line="256" w:lineRule="auto"/>
        <w:ind w:firstLine="567"/>
        <w:contextualSpacing/>
        <w:jc w:val="both"/>
        <w:rPr>
          <w:rFonts w:eastAsia="Calibri"/>
          <w:sz w:val="24"/>
          <w:szCs w:val="24"/>
          <w:lang w:val="lt-LT"/>
        </w:rPr>
      </w:pPr>
      <w:r>
        <w:rPr>
          <w:rFonts w:eastAsia="Calibri"/>
          <w:sz w:val="24"/>
          <w:szCs w:val="24"/>
          <w:lang w:val="lt-LT"/>
        </w:rPr>
        <w:t>Lietuva pritaria Pažangos ataskaitai</w:t>
      </w:r>
      <w:r w:rsidR="005E4D3A" w:rsidRPr="005E4D3A">
        <w:rPr>
          <w:rFonts w:eastAsia="Calibri"/>
          <w:sz w:val="24"/>
          <w:szCs w:val="24"/>
          <w:lang w:val="lt-LT"/>
        </w:rPr>
        <w:t>. Pasisakome už visapusiškai efektyvų ir saugų duomenų naudojimą, kuris būtinas siekiant ES pažangos, ypač plėtojant duomenimis grįstas technologijas, paslaugas ir produktus. Manome, kad didėjant duomenų srautams, svarbu pasirinkti tinkamiausius duomenų valdymo būdus ES lygiu, todėl teigiamai vertiname Komisijos pasiūlymo siekius.</w:t>
      </w:r>
    </w:p>
    <w:p w14:paraId="7AD0F485" w14:textId="77777777" w:rsidR="00821C53" w:rsidRDefault="00821C53" w:rsidP="00821C53">
      <w:pPr>
        <w:jc w:val="both"/>
        <w:rPr>
          <w:b/>
          <w:sz w:val="24"/>
          <w:szCs w:val="24"/>
          <w:lang w:val="lt-LT"/>
        </w:rPr>
      </w:pPr>
    </w:p>
    <w:p w14:paraId="3D419C69" w14:textId="493AC1A8" w:rsidR="00821C53" w:rsidRPr="007337E6" w:rsidRDefault="00FA554A" w:rsidP="000A558B">
      <w:pPr>
        <w:jc w:val="both"/>
        <w:rPr>
          <w:bCs/>
          <w:sz w:val="24"/>
          <w:szCs w:val="24"/>
          <w:lang w:val="lt-LT"/>
        </w:rPr>
      </w:pPr>
      <w:r>
        <w:rPr>
          <w:b/>
          <w:sz w:val="24"/>
          <w:szCs w:val="24"/>
          <w:lang w:val="lt-LT"/>
        </w:rPr>
        <w:t>9</w:t>
      </w:r>
      <w:r w:rsidR="00821C53" w:rsidRPr="0050777C">
        <w:rPr>
          <w:b/>
          <w:sz w:val="24"/>
          <w:szCs w:val="24"/>
          <w:lang w:val="lt-LT"/>
        </w:rPr>
        <w:t xml:space="preserve">.  </w:t>
      </w:r>
      <w:r w:rsidR="000A558B" w:rsidRPr="000A558B">
        <w:rPr>
          <w:b/>
          <w:sz w:val="24"/>
          <w:szCs w:val="24"/>
          <w:lang w:val="lt-LT"/>
        </w:rPr>
        <w:t>Direktyva dėl aukšto bendro kibernetinio saugumo lygio visoje Sąjungoje priemonių</w:t>
      </w:r>
      <w:r w:rsidR="000A558B">
        <w:rPr>
          <w:b/>
          <w:sz w:val="24"/>
          <w:szCs w:val="24"/>
          <w:lang w:val="lt-LT"/>
        </w:rPr>
        <w:t xml:space="preserve"> – </w:t>
      </w:r>
      <w:r w:rsidR="000A558B" w:rsidRPr="000A558B">
        <w:rPr>
          <w:bCs/>
          <w:sz w:val="24"/>
          <w:szCs w:val="24"/>
          <w:lang w:val="lt-LT"/>
        </w:rPr>
        <w:t>Pažangos ataskaita</w:t>
      </w:r>
      <w:r w:rsidR="000A558B">
        <w:rPr>
          <w:bCs/>
          <w:sz w:val="24"/>
          <w:szCs w:val="24"/>
          <w:lang w:val="lt-LT"/>
        </w:rPr>
        <w:t xml:space="preserve"> </w:t>
      </w:r>
      <w:r w:rsidR="000A558B" w:rsidRPr="000A558B">
        <w:rPr>
          <w:bCs/>
          <w:i/>
          <w:iCs/>
          <w:sz w:val="24"/>
          <w:szCs w:val="24"/>
          <w:lang w:val="lt-LT"/>
        </w:rPr>
        <w:t>(atsakinga KAM)</w:t>
      </w:r>
    </w:p>
    <w:p w14:paraId="191A38FF" w14:textId="77777777" w:rsidR="00821C53" w:rsidRDefault="00821C53" w:rsidP="00821C53">
      <w:pPr>
        <w:jc w:val="both"/>
        <w:rPr>
          <w:sz w:val="24"/>
          <w:szCs w:val="24"/>
          <w:lang w:val="lt-LT"/>
        </w:rPr>
      </w:pPr>
    </w:p>
    <w:p w14:paraId="1E0941BD" w14:textId="77777777" w:rsidR="00821C53" w:rsidRPr="0050777C" w:rsidRDefault="00821C53" w:rsidP="00821C53">
      <w:pPr>
        <w:ind w:firstLine="567"/>
        <w:jc w:val="both"/>
        <w:rPr>
          <w:i/>
          <w:sz w:val="24"/>
          <w:szCs w:val="24"/>
          <w:lang w:val="lt-LT"/>
        </w:rPr>
      </w:pPr>
      <w:r w:rsidRPr="0050777C">
        <w:rPr>
          <w:i/>
          <w:sz w:val="24"/>
          <w:szCs w:val="24"/>
          <w:lang w:val="lt-LT"/>
        </w:rPr>
        <w:t>Klausimo esmė</w:t>
      </w:r>
    </w:p>
    <w:p w14:paraId="73D3E17E" w14:textId="327AC8B6" w:rsidR="00C042EF" w:rsidRPr="00C042EF" w:rsidRDefault="00C042EF" w:rsidP="006A204B">
      <w:pPr>
        <w:ind w:firstLine="567"/>
        <w:jc w:val="both"/>
        <w:rPr>
          <w:iCs/>
          <w:sz w:val="24"/>
          <w:szCs w:val="24"/>
          <w:lang w:val="lt-LT"/>
        </w:rPr>
      </w:pPr>
      <w:r w:rsidRPr="00C042EF">
        <w:rPr>
          <w:iCs/>
          <w:sz w:val="24"/>
          <w:szCs w:val="24"/>
          <w:lang w:val="lt-LT"/>
        </w:rPr>
        <w:t xml:space="preserve">2020 m. </w:t>
      </w:r>
      <w:r>
        <w:rPr>
          <w:iCs/>
          <w:sz w:val="24"/>
          <w:szCs w:val="24"/>
          <w:lang w:val="lt-LT"/>
        </w:rPr>
        <w:t>g</w:t>
      </w:r>
      <w:r w:rsidRPr="00C042EF">
        <w:rPr>
          <w:iCs/>
          <w:sz w:val="24"/>
          <w:szCs w:val="24"/>
          <w:lang w:val="lt-LT"/>
        </w:rPr>
        <w:t xml:space="preserve">ruodžio </w:t>
      </w:r>
      <w:r>
        <w:rPr>
          <w:iCs/>
          <w:sz w:val="24"/>
          <w:szCs w:val="24"/>
          <w:lang w:val="lt-LT"/>
        </w:rPr>
        <w:t>mėn.</w:t>
      </w:r>
      <w:r w:rsidRPr="00C042EF">
        <w:rPr>
          <w:iCs/>
          <w:sz w:val="24"/>
          <w:szCs w:val="24"/>
          <w:lang w:val="lt-LT"/>
        </w:rPr>
        <w:t xml:space="preserve"> Komisija p</w:t>
      </w:r>
      <w:r>
        <w:rPr>
          <w:iCs/>
          <w:sz w:val="24"/>
          <w:szCs w:val="24"/>
          <w:lang w:val="lt-LT"/>
        </w:rPr>
        <w:t>ateikė</w:t>
      </w:r>
      <w:r w:rsidRPr="00C042EF">
        <w:rPr>
          <w:iCs/>
          <w:sz w:val="24"/>
          <w:szCs w:val="24"/>
          <w:lang w:val="lt-LT"/>
        </w:rPr>
        <w:t xml:space="preserve"> pasiūlymą</w:t>
      </w:r>
      <w:r>
        <w:rPr>
          <w:iCs/>
          <w:sz w:val="24"/>
          <w:szCs w:val="24"/>
          <w:lang w:val="lt-LT"/>
        </w:rPr>
        <w:t xml:space="preserve">, </w:t>
      </w:r>
      <w:r w:rsidRPr="00C042EF">
        <w:rPr>
          <w:iCs/>
          <w:sz w:val="24"/>
          <w:szCs w:val="24"/>
          <w:lang w:val="lt-LT"/>
        </w:rPr>
        <w:t xml:space="preserve"> siekdama pakeisti dabartinę direktyvą dėl tinklo ir informacijos saugumo sistemos („TIS direktyva“). Pasiūlymas buvo vienas iš veiksmų, numatytų ES skaitmeninio dešimtmečio kibernetinio saugumo strategijoje, siekiant sustiprinti atsparumą kibernetinėms grėsmėms ir užtikrinti, kad piliečiai ir įmonės galėtų naudotis patikimomis skaitmeninėmis technologijomis.</w:t>
      </w:r>
    </w:p>
    <w:p w14:paraId="4878BE9A" w14:textId="3E6F4F1F" w:rsidR="00821C53" w:rsidRPr="00C042EF" w:rsidRDefault="00C042EF" w:rsidP="00C042EF">
      <w:pPr>
        <w:ind w:firstLine="709"/>
        <w:jc w:val="both"/>
        <w:rPr>
          <w:iCs/>
          <w:sz w:val="24"/>
          <w:szCs w:val="24"/>
          <w:lang w:val="lt-LT"/>
        </w:rPr>
      </w:pPr>
      <w:r w:rsidRPr="00C042EF">
        <w:rPr>
          <w:iCs/>
          <w:sz w:val="24"/>
          <w:szCs w:val="24"/>
          <w:lang w:val="lt-LT"/>
        </w:rPr>
        <w:t>Pasiūlymo</w:t>
      </w:r>
      <w:r>
        <w:rPr>
          <w:iCs/>
          <w:sz w:val="24"/>
          <w:szCs w:val="24"/>
          <w:lang w:val="lt-LT"/>
        </w:rPr>
        <w:t xml:space="preserve"> </w:t>
      </w:r>
      <w:r w:rsidRPr="00C042EF">
        <w:rPr>
          <w:iCs/>
          <w:sz w:val="24"/>
          <w:szCs w:val="24"/>
          <w:lang w:val="lt-LT"/>
        </w:rPr>
        <w:t>tikslas - toliau gerinti viešųjų ir privačių subjektų, kompetentingų institucijų ir visos Sąjungos atsparumą ir reagavimo į incidentus pajėgumus. Pasiūlymu žymiai išplečiama dabartinės TIS direktyvos taikymo sritis, kalbama apie tiekimo grandinių saugumą, sugriežtinami nustatyti saugumo reikalavimai ir supaprastinami pranešimo įpareigojimai, kartu nustatant griežtesnes priežiūros priemones ir griežtesnį vykdymą. Jame taip pat pateikiamos nuostatos, susijusios su dalijimusi informacija ir bendradarbiavimu kibernetinių krizių valdymo srityje nacionaliniu ir Sąjungos lygmenimis. Pasiūlyme taip pat numatytas domenų registravimo duomenų bazių reglamentavimas.</w:t>
      </w:r>
    </w:p>
    <w:p w14:paraId="5A212556" w14:textId="77777777" w:rsidR="00C042EF" w:rsidRDefault="00C042EF" w:rsidP="00821C53">
      <w:pPr>
        <w:ind w:firstLine="709"/>
        <w:jc w:val="both"/>
        <w:rPr>
          <w:i/>
          <w:sz w:val="24"/>
          <w:szCs w:val="24"/>
          <w:lang w:val="lt-LT"/>
        </w:rPr>
      </w:pPr>
    </w:p>
    <w:p w14:paraId="5B350744" w14:textId="77777777" w:rsidR="00821C53" w:rsidRDefault="00821C53" w:rsidP="00821C53">
      <w:pPr>
        <w:ind w:firstLine="709"/>
        <w:jc w:val="both"/>
        <w:rPr>
          <w:i/>
          <w:sz w:val="24"/>
          <w:szCs w:val="24"/>
          <w:lang w:val="lt-LT"/>
        </w:rPr>
      </w:pPr>
      <w:r w:rsidRPr="0050777C">
        <w:rPr>
          <w:i/>
          <w:sz w:val="24"/>
          <w:szCs w:val="24"/>
          <w:lang w:val="lt-LT"/>
        </w:rPr>
        <w:t>Lietuvos pozicija</w:t>
      </w:r>
    </w:p>
    <w:p w14:paraId="59DDE643" w14:textId="1D1AE243" w:rsidR="00821C53" w:rsidRDefault="00C042EF" w:rsidP="00821C53">
      <w:pPr>
        <w:ind w:firstLine="709"/>
        <w:jc w:val="both"/>
        <w:rPr>
          <w:iCs/>
          <w:sz w:val="24"/>
          <w:szCs w:val="24"/>
          <w:lang w:val="lt-LT"/>
        </w:rPr>
      </w:pPr>
      <w:r>
        <w:rPr>
          <w:iCs/>
          <w:sz w:val="24"/>
          <w:szCs w:val="24"/>
          <w:lang w:val="lt-LT"/>
        </w:rPr>
        <w:t xml:space="preserve">Lietuva pritaria pažangos ataskaitai. </w:t>
      </w:r>
      <w:r w:rsidRPr="00C042EF">
        <w:rPr>
          <w:iCs/>
          <w:sz w:val="24"/>
          <w:szCs w:val="24"/>
          <w:lang w:val="lt-LT"/>
        </w:rPr>
        <w:t xml:space="preserve">Lietuva mato poreikį itin svarbių ekonomikai ir visuomenei sektorių ir </w:t>
      </w:r>
      <w:proofErr w:type="spellStart"/>
      <w:r w:rsidRPr="00C042EF">
        <w:rPr>
          <w:iCs/>
          <w:sz w:val="24"/>
          <w:szCs w:val="24"/>
          <w:lang w:val="lt-LT"/>
        </w:rPr>
        <w:t>pasektorių</w:t>
      </w:r>
      <w:proofErr w:type="spellEnd"/>
      <w:r w:rsidRPr="00C042EF">
        <w:rPr>
          <w:iCs/>
          <w:sz w:val="24"/>
          <w:szCs w:val="24"/>
          <w:lang w:val="lt-LT"/>
        </w:rPr>
        <w:t xml:space="preserve"> įtraukimui į NIS 2 Direktyvos apimtį, naujo harmonizuoto dydžio kriterijaus pasiūlymo pridėtinę vertę, labiau suderintų kibernetinio saugumo reikalavimų ES mastu ir skatinamo informacijos dalijimosi ES valstybėse narėse ir tarp jų naudą todėl palaiko direktyvos tikslus. Nemažai Direktyvos pasiūlyme minėtų praktikų jau yra naudojamos ES valstybėse narėse (pvz. atsakingas pažeidžiamumų atskleidimas, tiekimo grandinės kibernetinio saugumo užtikrinimas, koordinuotas krizių valdymas ir t.t.). Atsižvelgiant į dabartinį kibernetinio saugumo grėsmių spektrą, pateikti pasiūlymai, nors ir reikalausiantys nemažai resursų iš ES valstybių narių ir subjektų, įtrauktų į Direktyvos apimtį, yra būtini siekiant užtikrinti kibernetinį saugumą Europos Sąjungoje.</w:t>
      </w:r>
    </w:p>
    <w:p w14:paraId="2B66F51D" w14:textId="27D62C08" w:rsidR="003B59A7" w:rsidRDefault="003B59A7" w:rsidP="00821C53">
      <w:pPr>
        <w:ind w:firstLine="709"/>
        <w:jc w:val="both"/>
        <w:rPr>
          <w:iCs/>
          <w:sz w:val="24"/>
          <w:szCs w:val="24"/>
          <w:lang w:val="lt-LT"/>
        </w:rPr>
      </w:pPr>
    </w:p>
    <w:p w14:paraId="5E640838" w14:textId="77777777" w:rsidR="003B59A7" w:rsidRDefault="003B59A7" w:rsidP="00821C53">
      <w:pPr>
        <w:ind w:firstLine="709"/>
        <w:jc w:val="both"/>
        <w:rPr>
          <w:iCs/>
          <w:sz w:val="24"/>
          <w:szCs w:val="24"/>
          <w:lang w:val="lt-LT"/>
        </w:rPr>
      </w:pPr>
    </w:p>
    <w:p w14:paraId="2FF8BF22" w14:textId="7FEE6B8B" w:rsidR="003B59A7" w:rsidRPr="007337E6" w:rsidRDefault="00FA554A" w:rsidP="003B59A7">
      <w:pPr>
        <w:jc w:val="both"/>
        <w:rPr>
          <w:bCs/>
          <w:sz w:val="24"/>
          <w:szCs w:val="24"/>
          <w:lang w:val="lt-LT"/>
        </w:rPr>
      </w:pPr>
      <w:r>
        <w:rPr>
          <w:b/>
          <w:sz w:val="24"/>
          <w:szCs w:val="24"/>
          <w:lang w:val="lt-LT"/>
        </w:rPr>
        <w:lastRenderedPageBreak/>
        <w:t>10</w:t>
      </w:r>
      <w:r w:rsidR="003B59A7" w:rsidRPr="0050777C">
        <w:rPr>
          <w:b/>
          <w:sz w:val="24"/>
          <w:szCs w:val="24"/>
          <w:lang w:val="lt-LT"/>
        </w:rPr>
        <w:t xml:space="preserve">.  </w:t>
      </w:r>
      <w:r w:rsidR="003B59A7" w:rsidRPr="003B59A7">
        <w:rPr>
          <w:b/>
          <w:sz w:val="24"/>
          <w:szCs w:val="24"/>
          <w:lang w:val="lt-LT"/>
        </w:rPr>
        <w:t>2030 m. Skaitmeninis kompasas: kaip parodyti kelią į skaitmeninę ES ateitį?</w:t>
      </w:r>
      <w:r w:rsidR="003B59A7">
        <w:rPr>
          <w:b/>
          <w:sz w:val="24"/>
          <w:szCs w:val="24"/>
          <w:lang w:val="lt-LT"/>
        </w:rPr>
        <w:t xml:space="preserve"> – </w:t>
      </w:r>
      <w:r w:rsidR="003B59A7" w:rsidRPr="003B59A7">
        <w:rPr>
          <w:bCs/>
          <w:sz w:val="24"/>
          <w:szCs w:val="24"/>
          <w:lang w:val="lt-LT"/>
        </w:rPr>
        <w:t>Politinės diskusijos</w:t>
      </w:r>
      <w:r w:rsidR="003B59A7">
        <w:rPr>
          <w:bCs/>
          <w:sz w:val="24"/>
          <w:szCs w:val="24"/>
          <w:lang w:val="lt-LT"/>
        </w:rPr>
        <w:t xml:space="preserve"> </w:t>
      </w:r>
      <w:r w:rsidR="003B59A7" w:rsidRPr="003B59A7">
        <w:rPr>
          <w:bCs/>
          <w:i/>
          <w:iCs/>
          <w:sz w:val="24"/>
          <w:szCs w:val="24"/>
          <w:lang w:val="lt-LT"/>
        </w:rPr>
        <w:t>(atsakinga EIM)</w:t>
      </w:r>
    </w:p>
    <w:p w14:paraId="74C95ABB" w14:textId="77777777" w:rsidR="003B59A7" w:rsidRDefault="003B59A7" w:rsidP="003B59A7">
      <w:pPr>
        <w:jc w:val="both"/>
        <w:rPr>
          <w:sz w:val="24"/>
          <w:szCs w:val="24"/>
          <w:lang w:val="lt-LT"/>
        </w:rPr>
      </w:pPr>
    </w:p>
    <w:p w14:paraId="6BAAC0E6" w14:textId="77777777" w:rsidR="003B59A7" w:rsidRPr="0050777C" w:rsidRDefault="003B59A7" w:rsidP="003B59A7">
      <w:pPr>
        <w:ind w:firstLine="567"/>
        <w:jc w:val="both"/>
        <w:rPr>
          <w:i/>
          <w:sz w:val="24"/>
          <w:szCs w:val="24"/>
          <w:lang w:val="lt-LT"/>
        </w:rPr>
      </w:pPr>
      <w:r w:rsidRPr="0050777C">
        <w:rPr>
          <w:i/>
          <w:sz w:val="24"/>
          <w:szCs w:val="24"/>
          <w:lang w:val="lt-LT"/>
        </w:rPr>
        <w:t>Klausimo esmė</w:t>
      </w:r>
    </w:p>
    <w:p w14:paraId="4A1B3865" w14:textId="3753CBD6" w:rsidR="004F4227" w:rsidRPr="00143A37" w:rsidRDefault="004F4227" w:rsidP="00143A37">
      <w:pPr>
        <w:ind w:firstLine="709"/>
        <w:jc w:val="both"/>
        <w:rPr>
          <w:iCs/>
          <w:sz w:val="24"/>
          <w:szCs w:val="24"/>
          <w:lang w:val="lt-LT"/>
        </w:rPr>
      </w:pPr>
      <w:r w:rsidRPr="004F4227">
        <w:rPr>
          <w:iCs/>
          <w:sz w:val="24"/>
          <w:szCs w:val="24"/>
          <w:lang w:val="lt-LT"/>
        </w:rPr>
        <w:t>Komisija 2021 m. kovo 9 d. priėmė komunikatą „2030 m. skaitmeninės politikos kelrodis: Europos skaitmeninio dešimtmečio kelias“, kuriame pasiūlė nustatyti skaitmeninės politikos kelrodį ir taip 2030 m. numatomus ES skaitmeninės politikos užmojus paversti konkrečiais tikslais.</w:t>
      </w:r>
    </w:p>
    <w:p w14:paraId="721B0D40" w14:textId="77777777" w:rsidR="00143A37" w:rsidRPr="00143A37" w:rsidRDefault="00143A37" w:rsidP="00143A37">
      <w:pPr>
        <w:ind w:firstLine="709"/>
        <w:jc w:val="both"/>
        <w:rPr>
          <w:iCs/>
          <w:sz w:val="24"/>
          <w:szCs w:val="24"/>
          <w:lang w:val="lt-LT"/>
        </w:rPr>
      </w:pPr>
      <w:r w:rsidRPr="00143A37">
        <w:rPr>
          <w:iCs/>
          <w:sz w:val="24"/>
          <w:szCs w:val="24"/>
          <w:lang w:val="lt-LT"/>
        </w:rPr>
        <w:t>Dokumente išskiriamos 4 ES skaitmeninės transformacijos sritys:</w:t>
      </w:r>
    </w:p>
    <w:p w14:paraId="12D8503B" w14:textId="77777777" w:rsidR="00143A37" w:rsidRPr="00143A37" w:rsidRDefault="00143A37" w:rsidP="00143A37">
      <w:pPr>
        <w:ind w:firstLine="709"/>
        <w:jc w:val="both"/>
        <w:rPr>
          <w:iCs/>
          <w:sz w:val="24"/>
          <w:szCs w:val="24"/>
          <w:lang w:val="lt-LT"/>
        </w:rPr>
      </w:pPr>
      <w:r w:rsidRPr="004F4227">
        <w:rPr>
          <w:i/>
          <w:sz w:val="24"/>
          <w:szCs w:val="24"/>
          <w:lang w:val="lt-LT"/>
        </w:rPr>
        <w:t>Skaitmeninių įgūdžių plėtra</w:t>
      </w:r>
      <w:r w:rsidRPr="00143A37">
        <w:rPr>
          <w:iCs/>
          <w:sz w:val="24"/>
          <w:szCs w:val="24"/>
          <w:lang w:val="lt-LT"/>
        </w:rPr>
        <w:t xml:space="preserve">. Išsikeltas tikslas, kad iki 2030 m. ES darbo rinkai būtų parengta 20 mln. IT sričių specialistų (atkreipiant dėmesį ir į tolygesnį IT specialistų pasiskirstymą pagal lytį, </w:t>
      </w:r>
      <w:proofErr w:type="spellStart"/>
      <w:r w:rsidRPr="00143A37">
        <w:rPr>
          <w:iCs/>
          <w:sz w:val="24"/>
          <w:szCs w:val="24"/>
          <w:lang w:val="lt-LT"/>
        </w:rPr>
        <w:t>t.y</w:t>
      </w:r>
      <w:proofErr w:type="spellEnd"/>
      <w:r w:rsidRPr="00143A37">
        <w:rPr>
          <w:iCs/>
          <w:sz w:val="24"/>
          <w:szCs w:val="24"/>
          <w:lang w:val="lt-LT"/>
        </w:rPr>
        <w:t xml:space="preserve">., skatinti moteris aktyviau studijuoti formalias ar neformalias Informacinių technologijų studijų krypčių programas). </w:t>
      </w:r>
    </w:p>
    <w:p w14:paraId="0F8AA434" w14:textId="77777777" w:rsidR="00143A37" w:rsidRPr="00143A37" w:rsidRDefault="00143A37" w:rsidP="00143A37">
      <w:pPr>
        <w:ind w:firstLine="709"/>
        <w:jc w:val="both"/>
        <w:rPr>
          <w:iCs/>
          <w:sz w:val="24"/>
          <w:szCs w:val="24"/>
          <w:lang w:val="lt-LT"/>
        </w:rPr>
      </w:pPr>
      <w:proofErr w:type="spellStart"/>
      <w:r w:rsidRPr="004F4227">
        <w:rPr>
          <w:i/>
          <w:sz w:val="24"/>
          <w:szCs w:val="24"/>
          <w:lang w:val="lt-LT"/>
        </w:rPr>
        <w:t>Skaitmenininės</w:t>
      </w:r>
      <w:proofErr w:type="spellEnd"/>
      <w:r w:rsidRPr="004F4227">
        <w:rPr>
          <w:i/>
          <w:sz w:val="24"/>
          <w:szCs w:val="24"/>
          <w:lang w:val="lt-LT"/>
        </w:rPr>
        <w:t xml:space="preserve"> infrastruktūros plėtra.</w:t>
      </w:r>
      <w:r w:rsidRPr="00143A37">
        <w:rPr>
          <w:iCs/>
          <w:sz w:val="24"/>
          <w:szCs w:val="24"/>
          <w:lang w:val="lt-LT"/>
        </w:rPr>
        <w:t xml:space="preserve"> Gigabaitinės, saugios kvantinės komunikacijos infrastruktūros ir 5G plėtra, neutralumas klimatui. Iki 2025 m. planuojama turėti pirmąjį kvantinį kompiuterį. </w:t>
      </w:r>
    </w:p>
    <w:p w14:paraId="54CA1E47" w14:textId="77777777" w:rsidR="00143A37" w:rsidRPr="00143A37" w:rsidRDefault="00143A37" w:rsidP="00143A37">
      <w:pPr>
        <w:ind w:firstLine="709"/>
        <w:jc w:val="both"/>
        <w:rPr>
          <w:iCs/>
          <w:sz w:val="24"/>
          <w:szCs w:val="24"/>
          <w:lang w:val="lt-LT"/>
        </w:rPr>
      </w:pPr>
      <w:r w:rsidRPr="004F4227">
        <w:rPr>
          <w:i/>
          <w:sz w:val="24"/>
          <w:szCs w:val="24"/>
          <w:lang w:val="lt-LT"/>
        </w:rPr>
        <w:t xml:space="preserve">Verslo skaitmeninė </w:t>
      </w:r>
      <w:proofErr w:type="spellStart"/>
      <w:r w:rsidRPr="004F4227">
        <w:rPr>
          <w:i/>
          <w:sz w:val="24"/>
          <w:szCs w:val="24"/>
          <w:lang w:val="lt-LT"/>
        </w:rPr>
        <w:t>tranformacija</w:t>
      </w:r>
      <w:proofErr w:type="spellEnd"/>
      <w:r w:rsidRPr="00143A37">
        <w:rPr>
          <w:iCs/>
          <w:sz w:val="24"/>
          <w:szCs w:val="24"/>
          <w:lang w:val="lt-LT"/>
        </w:rPr>
        <w:t xml:space="preserve">. Debesijos ir duomenų ekonomikos plėtra. MVĮ transformacija numatoma kaip vienas esminių veiksnių verslo sektoriaus skaitmeninimo procese. Atkreipiamas dėmesys į poreikį pagerinti verslo galimybes gauti finansavimą siekiant padidinti „vienaragių“ skaičių ES. </w:t>
      </w:r>
    </w:p>
    <w:p w14:paraId="68F87D41" w14:textId="77777777" w:rsidR="00143A37" w:rsidRPr="00143A37" w:rsidRDefault="00143A37" w:rsidP="00143A37">
      <w:pPr>
        <w:ind w:firstLine="709"/>
        <w:jc w:val="both"/>
        <w:rPr>
          <w:iCs/>
          <w:sz w:val="24"/>
          <w:szCs w:val="24"/>
          <w:lang w:val="lt-LT"/>
        </w:rPr>
      </w:pPr>
      <w:r w:rsidRPr="004F4227">
        <w:rPr>
          <w:i/>
          <w:sz w:val="24"/>
          <w:szCs w:val="24"/>
          <w:lang w:val="lt-LT"/>
        </w:rPr>
        <w:t>Viešųjų paslaugų skaitmeninimas</w:t>
      </w:r>
      <w:r w:rsidRPr="00143A37">
        <w:rPr>
          <w:iCs/>
          <w:sz w:val="24"/>
          <w:szCs w:val="24"/>
          <w:lang w:val="lt-LT"/>
        </w:rPr>
        <w:t>. Viešųjų skaitmeninių paslaugų plėtra ES. Viešojo sektoriaus, sveikatos duomenų panaudojimas, taikant dirbtinio intelekto įrankius, ligų diagnozavimas, tinkamo gydymo parinkimas. Skaitmeninės pilietybės ir elektroninės tapatybės (e-ID) nustatymo įdiegimas ES lygiu.</w:t>
      </w:r>
    </w:p>
    <w:p w14:paraId="13538C4E" w14:textId="50D4E9FE" w:rsidR="00143A37" w:rsidRPr="00143A37" w:rsidRDefault="004F4227" w:rsidP="00143A37">
      <w:pPr>
        <w:ind w:firstLine="709"/>
        <w:jc w:val="both"/>
        <w:rPr>
          <w:iCs/>
          <w:sz w:val="24"/>
          <w:szCs w:val="24"/>
          <w:lang w:val="lt-LT"/>
        </w:rPr>
      </w:pPr>
      <w:r>
        <w:rPr>
          <w:iCs/>
          <w:sz w:val="24"/>
          <w:szCs w:val="24"/>
          <w:lang w:val="lt-LT"/>
        </w:rPr>
        <w:t xml:space="preserve">Ministrų diskusijoms teikiami šie klausimai: </w:t>
      </w:r>
      <w:r w:rsidR="00143A37" w:rsidRPr="00143A37">
        <w:rPr>
          <w:iCs/>
          <w:sz w:val="24"/>
          <w:szCs w:val="24"/>
          <w:lang w:val="lt-LT"/>
        </w:rPr>
        <w:t xml:space="preserve"> </w:t>
      </w:r>
    </w:p>
    <w:p w14:paraId="6277EBAB" w14:textId="2ECCC950" w:rsidR="00143A37" w:rsidRPr="00143A37" w:rsidRDefault="00143A37" w:rsidP="00143A37">
      <w:pPr>
        <w:ind w:firstLine="709"/>
        <w:jc w:val="both"/>
        <w:rPr>
          <w:iCs/>
          <w:sz w:val="24"/>
          <w:szCs w:val="24"/>
          <w:lang w:val="lt-LT"/>
        </w:rPr>
      </w:pPr>
      <w:r w:rsidRPr="00143A37">
        <w:rPr>
          <w:iCs/>
          <w:sz w:val="24"/>
          <w:szCs w:val="24"/>
          <w:lang w:val="lt-LT"/>
        </w:rPr>
        <w:t xml:space="preserve">1. </w:t>
      </w:r>
      <w:r w:rsidR="004F4227">
        <w:rPr>
          <w:iCs/>
          <w:sz w:val="24"/>
          <w:szCs w:val="24"/>
          <w:lang w:val="lt-LT"/>
        </w:rPr>
        <w:t>K</w:t>
      </w:r>
      <w:r w:rsidRPr="00143A37">
        <w:rPr>
          <w:iCs/>
          <w:sz w:val="24"/>
          <w:szCs w:val="24"/>
          <w:lang w:val="lt-LT"/>
        </w:rPr>
        <w:t xml:space="preserve">okių pagrindinių veiksmų reikia imtis praktiniu lygmeniu, kad būtų pasiekti Komunikate dėl skaitmeninio kelrodžio nustatyti 2030 m. tikslai? Kaip pastarojo meto iniciatyvos, pavyzdžiui, Dirbtinio intelekto reglamentas ir Europos skaitmeninės tapatybės sistema, padės siekti tikslų, kokių valdymo veiksmų ir paramos politikos reikia šiems tikslams pasiekti ir kaip būtų galima paspartinti ir koordinuoti daugiašalių projektų įgyvendinimą, kad būtų užtikrintos deramos investicijos? </w:t>
      </w:r>
    </w:p>
    <w:p w14:paraId="601C5CA3" w14:textId="6100CAE7" w:rsidR="003B59A7" w:rsidRPr="00C042EF" w:rsidRDefault="00143A37" w:rsidP="00143A37">
      <w:pPr>
        <w:ind w:firstLine="709"/>
        <w:jc w:val="both"/>
        <w:rPr>
          <w:iCs/>
          <w:sz w:val="24"/>
          <w:szCs w:val="24"/>
          <w:lang w:val="lt-LT"/>
        </w:rPr>
      </w:pPr>
      <w:r w:rsidRPr="00143A37">
        <w:rPr>
          <w:iCs/>
          <w:sz w:val="24"/>
          <w:szCs w:val="24"/>
          <w:lang w:val="lt-LT"/>
        </w:rPr>
        <w:t>2. Kaip ES gali užtikrinti skaitmeninę transformaciją, kuri visapusiškai atspindėtų mūsų europines vertybes, ir kaip tarpinstitucinė deklaracija dėl skaitmeninių principų padės formuoti skaitmeninę visuomenę ir ekonomiką „europiniu būdu“, kartu remiantis nacionaline patirtimi?</w:t>
      </w:r>
    </w:p>
    <w:p w14:paraId="0A739057" w14:textId="77777777" w:rsidR="003B59A7" w:rsidRDefault="003B59A7" w:rsidP="003B59A7">
      <w:pPr>
        <w:ind w:firstLine="709"/>
        <w:jc w:val="both"/>
        <w:rPr>
          <w:i/>
          <w:sz w:val="24"/>
          <w:szCs w:val="24"/>
          <w:lang w:val="lt-LT"/>
        </w:rPr>
      </w:pPr>
    </w:p>
    <w:p w14:paraId="0E7505AB" w14:textId="77777777" w:rsidR="003B59A7" w:rsidRDefault="003B59A7" w:rsidP="003B59A7">
      <w:pPr>
        <w:ind w:firstLine="709"/>
        <w:jc w:val="both"/>
        <w:rPr>
          <w:i/>
          <w:sz w:val="24"/>
          <w:szCs w:val="24"/>
          <w:lang w:val="lt-LT"/>
        </w:rPr>
      </w:pPr>
      <w:bookmarkStart w:id="2" w:name="_Hlk73030784"/>
      <w:r w:rsidRPr="0050777C">
        <w:rPr>
          <w:i/>
          <w:sz w:val="24"/>
          <w:szCs w:val="24"/>
          <w:lang w:val="lt-LT"/>
        </w:rPr>
        <w:t>Lietuvos pozicija</w:t>
      </w:r>
    </w:p>
    <w:p w14:paraId="72DEFE84" w14:textId="77777777" w:rsidR="00B67283" w:rsidRDefault="004F4227" w:rsidP="004F4227">
      <w:pPr>
        <w:ind w:firstLine="709"/>
        <w:jc w:val="both"/>
        <w:rPr>
          <w:iCs/>
          <w:sz w:val="24"/>
          <w:szCs w:val="24"/>
          <w:lang w:val="lt-LT"/>
        </w:rPr>
      </w:pPr>
      <w:r w:rsidRPr="004F4227">
        <w:rPr>
          <w:iCs/>
          <w:sz w:val="24"/>
          <w:szCs w:val="24"/>
          <w:lang w:val="lt-LT"/>
        </w:rPr>
        <w:t>Skaitmeninė ir žalioji transformacija</w:t>
      </w:r>
      <w:r w:rsidR="00B67283">
        <w:rPr>
          <w:iCs/>
          <w:sz w:val="24"/>
          <w:szCs w:val="24"/>
          <w:lang w:val="lt-LT"/>
        </w:rPr>
        <w:t xml:space="preserve">, taip pat komunikate iškelti tikslai </w:t>
      </w:r>
      <w:r w:rsidRPr="004F4227">
        <w:rPr>
          <w:iCs/>
          <w:sz w:val="24"/>
          <w:szCs w:val="24"/>
          <w:lang w:val="lt-LT"/>
        </w:rPr>
        <w:t>atitinka 18-osios Lietuvos Vyriausybės programos tikslus</w:t>
      </w:r>
      <w:r w:rsidR="00B67283">
        <w:rPr>
          <w:iCs/>
          <w:sz w:val="24"/>
          <w:szCs w:val="24"/>
          <w:lang w:val="lt-LT"/>
        </w:rPr>
        <w:t xml:space="preserve"> ir </w:t>
      </w:r>
      <w:r w:rsidRPr="004F4227">
        <w:rPr>
          <w:iCs/>
          <w:sz w:val="24"/>
          <w:szCs w:val="24"/>
          <w:lang w:val="lt-LT"/>
        </w:rPr>
        <w:t xml:space="preserve"> nacionalinės politikos kryptis. Nuosekliai pasisakome už sąlygų laisvesnei tarptautinei prekybai sudarymą ir kūrimą (duomenų srautų judėjimui ir didesnei laisvei globaliai prekybai prekėmis ir paslaugomis). </w:t>
      </w:r>
    </w:p>
    <w:p w14:paraId="6BED89EE" w14:textId="32122EE4" w:rsidR="004F4227" w:rsidRPr="004F4227" w:rsidRDefault="004F4227" w:rsidP="004F4227">
      <w:pPr>
        <w:ind w:firstLine="709"/>
        <w:jc w:val="both"/>
        <w:rPr>
          <w:iCs/>
          <w:sz w:val="24"/>
          <w:szCs w:val="24"/>
          <w:lang w:val="lt-LT"/>
        </w:rPr>
      </w:pPr>
      <w:r w:rsidRPr="004F4227">
        <w:rPr>
          <w:iCs/>
          <w:sz w:val="24"/>
          <w:szCs w:val="24"/>
          <w:lang w:val="lt-LT"/>
        </w:rPr>
        <w:t xml:space="preserve">Atsakydami </w:t>
      </w:r>
      <w:r w:rsidR="00B67283">
        <w:rPr>
          <w:iCs/>
          <w:sz w:val="24"/>
          <w:szCs w:val="24"/>
          <w:lang w:val="lt-LT"/>
        </w:rPr>
        <w:t>į</w:t>
      </w:r>
      <w:r w:rsidRPr="004F4227">
        <w:rPr>
          <w:iCs/>
          <w:sz w:val="24"/>
          <w:szCs w:val="24"/>
          <w:lang w:val="lt-LT"/>
        </w:rPr>
        <w:t xml:space="preserve"> pirmąjį k</w:t>
      </w:r>
      <w:r w:rsidR="00B67283">
        <w:rPr>
          <w:iCs/>
          <w:sz w:val="24"/>
          <w:szCs w:val="24"/>
          <w:lang w:val="lt-LT"/>
        </w:rPr>
        <w:t>laus</w:t>
      </w:r>
      <w:r w:rsidRPr="004F4227">
        <w:rPr>
          <w:iCs/>
          <w:sz w:val="24"/>
          <w:szCs w:val="24"/>
          <w:lang w:val="lt-LT"/>
        </w:rPr>
        <w:t xml:space="preserve">imą akcentuotume, jog Skaitmeninio kelrodžio iniciatyvos ir (ar) jų įgyvendinimo procesas neturėtų paskatinti protekcionizmo, sukuriant papildomas kliūtis tarptautinei prekybai, inovatyvių sprendimų plėtrai ir paslaugoms virtualioje erdvėje. Pasisakome už poreikį kurti ir plėtoti palankias sąlygas globaliems duomenų srautams ir jų mainams su trečiosiomis šalimis, prieigai prie ES vidaus rinkos. Manome, kad svarbu pasinaudoti globalaus keitimosi duomenimis ekonomikai teikiama nauda. Papildomai pabrėžiame, kad reikalingas vieningas požiūris ir taisyklės dėl jautrios ES infrastruktūros ir technologijų apsaugos, </w:t>
      </w:r>
      <w:r w:rsidR="00B67283">
        <w:rPr>
          <w:iCs/>
          <w:sz w:val="24"/>
          <w:szCs w:val="24"/>
          <w:lang w:val="lt-LT"/>
        </w:rPr>
        <w:t xml:space="preserve">taip pat </w:t>
      </w:r>
      <w:r w:rsidRPr="004F4227">
        <w:rPr>
          <w:iCs/>
          <w:sz w:val="24"/>
          <w:szCs w:val="24"/>
          <w:lang w:val="lt-LT"/>
        </w:rPr>
        <w:t xml:space="preserve">trečiųjų šalių investicijų į skaitmeninę sritį vertinimo mechanizmai. Įgyvendinant strateginius tikslus aktualu išvengti technologinio disbalanso ir priklausomybės nuo šalių, kurių strateginiai tikslai neatitinka ES interesų. </w:t>
      </w:r>
    </w:p>
    <w:p w14:paraId="3A671D1B" w14:textId="54C1E32A" w:rsidR="003B59A7" w:rsidRDefault="004F4227" w:rsidP="004F4227">
      <w:pPr>
        <w:ind w:firstLine="709"/>
        <w:jc w:val="both"/>
        <w:rPr>
          <w:iCs/>
          <w:sz w:val="24"/>
          <w:szCs w:val="24"/>
          <w:lang w:val="lt-LT"/>
        </w:rPr>
      </w:pPr>
      <w:r w:rsidRPr="004F4227">
        <w:rPr>
          <w:iCs/>
          <w:sz w:val="24"/>
          <w:szCs w:val="24"/>
          <w:lang w:val="lt-LT"/>
        </w:rPr>
        <w:t xml:space="preserve">Atsakant į antrąjį klausimą, </w:t>
      </w:r>
      <w:r w:rsidR="00FC7747">
        <w:rPr>
          <w:iCs/>
          <w:sz w:val="24"/>
          <w:szCs w:val="24"/>
          <w:lang w:val="lt-LT"/>
        </w:rPr>
        <w:t>siūlome akcentuoti</w:t>
      </w:r>
      <w:r w:rsidRPr="004F4227">
        <w:rPr>
          <w:iCs/>
          <w:sz w:val="24"/>
          <w:szCs w:val="24"/>
          <w:lang w:val="lt-LT"/>
        </w:rPr>
        <w:t xml:space="preserve"> koordinavimo svarbą siekiant išvengti skaitmeninės atskirties didėjimo tarp skirtingai išvystytų regionų/šalių. Minimas “europinis būdas” yra gera idėja, kuri turi būti realizuota koordinuojant veiksmus ir ambicijas tarpusavyje. Geriausias to pavyzdys – Wifi4EU projektas, kuris pasižymi geografiniu balansu, aiškia įdiegimo logika ir nauda visiems europiečiams.</w:t>
      </w:r>
    </w:p>
    <w:p w14:paraId="30D77B3F" w14:textId="77777777" w:rsidR="00821C53" w:rsidRDefault="00821C53" w:rsidP="003F4CB7">
      <w:pPr>
        <w:ind w:firstLine="709"/>
        <w:jc w:val="both"/>
        <w:rPr>
          <w:sz w:val="24"/>
          <w:szCs w:val="24"/>
          <w:lang w:val="lt-LT"/>
        </w:rPr>
      </w:pPr>
    </w:p>
    <w:bookmarkEnd w:id="2"/>
    <w:p w14:paraId="559FF0BC" w14:textId="77777777" w:rsidR="00821C53" w:rsidRDefault="00821C53" w:rsidP="003F4CB7">
      <w:pPr>
        <w:ind w:firstLine="709"/>
        <w:jc w:val="both"/>
        <w:rPr>
          <w:sz w:val="24"/>
          <w:szCs w:val="24"/>
          <w:lang w:val="lt-LT"/>
        </w:rPr>
      </w:pPr>
    </w:p>
    <w:sectPr w:rsidR="00821C53" w:rsidSect="007F272C">
      <w:headerReference w:type="default" r:id="rId8"/>
      <w:footerReference w:type="default" r:id="rId9"/>
      <w:pgSz w:w="11906" w:h="16838"/>
      <w:pgMar w:top="851" w:right="849" w:bottom="70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AB44" w14:textId="77777777" w:rsidR="00E13FF5" w:rsidRDefault="00E13FF5" w:rsidP="001C3D19">
      <w:r>
        <w:separator/>
      </w:r>
    </w:p>
  </w:endnote>
  <w:endnote w:type="continuationSeparator" w:id="0">
    <w:p w14:paraId="2DFA925B" w14:textId="77777777" w:rsidR="00E13FF5" w:rsidRDefault="00E13FF5"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643C" w14:textId="77777777" w:rsidR="00064601" w:rsidRDefault="00064601">
    <w:pPr>
      <w:pStyle w:val="Porat"/>
      <w:jc w:val="right"/>
    </w:pPr>
  </w:p>
  <w:p w14:paraId="02701862" w14:textId="77777777"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35C2" w14:textId="77777777" w:rsidR="00E13FF5" w:rsidRDefault="00E13FF5" w:rsidP="001C3D19">
      <w:r>
        <w:separator/>
      </w:r>
    </w:p>
  </w:footnote>
  <w:footnote w:type="continuationSeparator" w:id="0">
    <w:p w14:paraId="7DEED3F9" w14:textId="77777777" w:rsidR="00E13FF5" w:rsidRDefault="00E13FF5"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92275"/>
      <w:docPartObj>
        <w:docPartGallery w:val="Page Numbers (Top of Page)"/>
        <w:docPartUnique/>
      </w:docPartObj>
    </w:sdtPr>
    <w:sdtEndPr/>
    <w:sdtContent>
      <w:p w14:paraId="6513B5E0" w14:textId="77777777" w:rsidR="00064601" w:rsidRDefault="00064601">
        <w:pPr>
          <w:pStyle w:val="Antrats"/>
          <w:jc w:val="center"/>
        </w:pPr>
        <w:r>
          <w:fldChar w:fldCharType="begin"/>
        </w:r>
        <w:r>
          <w:instrText>PAGE   \* MERGEFORMAT</w:instrText>
        </w:r>
        <w:r>
          <w:fldChar w:fldCharType="separate"/>
        </w:r>
        <w:r w:rsidR="00705326" w:rsidRPr="00705326">
          <w:rPr>
            <w:noProof/>
            <w:lang w:val="lt-LT"/>
          </w:rPr>
          <w:t>2</w:t>
        </w:r>
        <w:r>
          <w:fldChar w:fldCharType="end"/>
        </w:r>
      </w:p>
    </w:sdtContent>
  </w:sdt>
  <w:p w14:paraId="40353D60" w14:textId="77777777"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A24"/>
    <w:multiLevelType w:val="hybridMultilevel"/>
    <w:tmpl w:val="66EAB59C"/>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1034557B"/>
    <w:multiLevelType w:val="hybridMultilevel"/>
    <w:tmpl w:val="1F22C2E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17626E"/>
    <w:multiLevelType w:val="hybridMultilevel"/>
    <w:tmpl w:val="9F68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14180"/>
    <w:multiLevelType w:val="hybridMultilevel"/>
    <w:tmpl w:val="83664422"/>
    <w:lvl w:ilvl="0" w:tplc="4D32D11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7570E12"/>
    <w:multiLevelType w:val="hybridMultilevel"/>
    <w:tmpl w:val="94B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abstractNum w:abstractNumId="8" w15:restartNumberingAfterBreak="0">
    <w:nsid w:val="7C6162C5"/>
    <w:multiLevelType w:val="hybridMultilevel"/>
    <w:tmpl w:val="B3D8F51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num>
  <w:num w:numId="2">
    <w:abstractNumId w:val="2"/>
  </w:num>
  <w:num w:numId="3">
    <w:abstractNumId w:val="1"/>
  </w:num>
  <w:num w:numId="4">
    <w:abstractNumId w:val="6"/>
  </w:num>
  <w:num w:numId="5">
    <w:abstractNumId w:val="8"/>
  </w:num>
  <w:num w:numId="6">
    <w:abstractNumId w:val="0"/>
  </w:num>
  <w:num w:numId="7">
    <w:abstractNumId w:val="5"/>
  </w:num>
  <w:num w:numId="8">
    <w:abstractNumId w:val="4"/>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13F78"/>
    <w:rsid w:val="00017964"/>
    <w:rsid w:val="00021302"/>
    <w:rsid w:val="00027F29"/>
    <w:rsid w:val="00031A60"/>
    <w:rsid w:val="00032329"/>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74AA"/>
    <w:rsid w:val="000801D5"/>
    <w:rsid w:val="000855E0"/>
    <w:rsid w:val="00087D05"/>
    <w:rsid w:val="000A558B"/>
    <w:rsid w:val="000B1018"/>
    <w:rsid w:val="000B11F7"/>
    <w:rsid w:val="000B1FA4"/>
    <w:rsid w:val="000C2133"/>
    <w:rsid w:val="000C2B1B"/>
    <w:rsid w:val="000C3BD5"/>
    <w:rsid w:val="000C48EB"/>
    <w:rsid w:val="000C5599"/>
    <w:rsid w:val="000C6079"/>
    <w:rsid w:val="000D06BE"/>
    <w:rsid w:val="000D3013"/>
    <w:rsid w:val="000D3BA1"/>
    <w:rsid w:val="000D77A5"/>
    <w:rsid w:val="000E1C0E"/>
    <w:rsid w:val="000E5C26"/>
    <w:rsid w:val="000E7E95"/>
    <w:rsid w:val="000E7F35"/>
    <w:rsid w:val="000F23E1"/>
    <w:rsid w:val="000F436E"/>
    <w:rsid w:val="000F59F3"/>
    <w:rsid w:val="000F616D"/>
    <w:rsid w:val="00103E18"/>
    <w:rsid w:val="001046AD"/>
    <w:rsid w:val="00104CCA"/>
    <w:rsid w:val="001103EC"/>
    <w:rsid w:val="001149DF"/>
    <w:rsid w:val="00115E38"/>
    <w:rsid w:val="0011730F"/>
    <w:rsid w:val="00117C80"/>
    <w:rsid w:val="00121558"/>
    <w:rsid w:val="00125823"/>
    <w:rsid w:val="00127C28"/>
    <w:rsid w:val="001308B3"/>
    <w:rsid w:val="00135640"/>
    <w:rsid w:val="0013712C"/>
    <w:rsid w:val="0013728E"/>
    <w:rsid w:val="0013745D"/>
    <w:rsid w:val="00142C35"/>
    <w:rsid w:val="00143A37"/>
    <w:rsid w:val="00146FBF"/>
    <w:rsid w:val="00147060"/>
    <w:rsid w:val="00147936"/>
    <w:rsid w:val="0015227A"/>
    <w:rsid w:val="00161FF6"/>
    <w:rsid w:val="001628BD"/>
    <w:rsid w:val="0016404F"/>
    <w:rsid w:val="001649D4"/>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77FC"/>
    <w:rsid w:val="001E0AEF"/>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407C8"/>
    <w:rsid w:val="00243D1B"/>
    <w:rsid w:val="0024531C"/>
    <w:rsid w:val="002470FC"/>
    <w:rsid w:val="00250186"/>
    <w:rsid w:val="00251E60"/>
    <w:rsid w:val="00253186"/>
    <w:rsid w:val="00261029"/>
    <w:rsid w:val="00270443"/>
    <w:rsid w:val="00270EBE"/>
    <w:rsid w:val="00285FCB"/>
    <w:rsid w:val="00286001"/>
    <w:rsid w:val="002879FB"/>
    <w:rsid w:val="002977F9"/>
    <w:rsid w:val="002A12D0"/>
    <w:rsid w:val="002A5479"/>
    <w:rsid w:val="002C12A6"/>
    <w:rsid w:val="002C17D3"/>
    <w:rsid w:val="002C366F"/>
    <w:rsid w:val="002C614F"/>
    <w:rsid w:val="002C6F95"/>
    <w:rsid w:val="002D61EA"/>
    <w:rsid w:val="002D7DB4"/>
    <w:rsid w:val="002E258A"/>
    <w:rsid w:val="002F35FF"/>
    <w:rsid w:val="002F3949"/>
    <w:rsid w:val="00300BB2"/>
    <w:rsid w:val="00302EDC"/>
    <w:rsid w:val="00303101"/>
    <w:rsid w:val="0030350F"/>
    <w:rsid w:val="00303C75"/>
    <w:rsid w:val="00313276"/>
    <w:rsid w:val="0031337D"/>
    <w:rsid w:val="00322651"/>
    <w:rsid w:val="00323E7E"/>
    <w:rsid w:val="00325B61"/>
    <w:rsid w:val="0032733C"/>
    <w:rsid w:val="0033178D"/>
    <w:rsid w:val="003317CE"/>
    <w:rsid w:val="00333F9B"/>
    <w:rsid w:val="00335210"/>
    <w:rsid w:val="003361DF"/>
    <w:rsid w:val="003401B6"/>
    <w:rsid w:val="00340B3E"/>
    <w:rsid w:val="00340C49"/>
    <w:rsid w:val="0034334E"/>
    <w:rsid w:val="00346255"/>
    <w:rsid w:val="00346B38"/>
    <w:rsid w:val="00351B25"/>
    <w:rsid w:val="003520FD"/>
    <w:rsid w:val="003524CC"/>
    <w:rsid w:val="003526C2"/>
    <w:rsid w:val="00353724"/>
    <w:rsid w:val="00355760"/>
    <w:rsid w:val="00357D02"/>
    <w:rsid w:val="00362FAD"/>
    <w:rsid w:val="00370F47"/>
    <w:rsid w:val="00372EF1"/>
    <w:rsid w:val="003754E8"/>
    <w:rsid w:val="00377BBE"/>
    <w:rsid w:val="00377DAF"/>
    <w:rsid w:val="00377F4E"/>
    <w:rsid w:val="003920AB"/>
    <w:rsid w:val="003926C5"/>
    <w:rsid w:val="0039307F"/>
    <w:rsid w:val="00394473"/>
    <w:rsid w:val="00394DB5"/>
    <w:rsid w:val="003959A3"/>
    <w:rsid w:val="0039750B"/>
    <w:rsid w:val="003A4620"/>
    <w:rsid w:val="003A5FF0"/>
    <w:rsid w:val="003A7793"/>
    <w:rsid w:val="003B59A7"/>
    <w:rsid w:val="003C1C60"/>
    <w:rsid w:val="003C2210"/>
    <w:rsid w:val="003C2CBA"/>
    <w:rsid w:val="003D0EAF"/>
    <w:rsid w:val="003D19B2"/>
    <w:rsid w:val="003D2278"/>
    <w:rsid w:val="003D58E7"/>
    <w:rsid w:val="003E50E2"/>
    <w:rsid w:val="003E6D78"/>
    <w:rsid w:val="003E7853"/>
    <w:rsid w:val="003E7F7F"/>
    <w:rsid w:val="003F06A5"/>
    <w:rsid w:val="003F26DF"/>
    <w:rsid w:val="003F4CB7"/>
    <w:rsid w:val="0040040A"/>
    <w:rsid w:val="0040067B"/>
    <w:rsid w:val="00401B55"/>
    <w:rsid w:val="004048A4"/>
    <w:rsid w:val="00404BA8"/>
    <w:rsid w:val="0040577F"/>
    <w:rsid w:val="004125BD"/>
    <w:rsid w:val="00413A77"/>
    <w:rsid w:val="00414D87"/>
    <w:rsid w:val="00420503"/>
    <w:rsid w:val="0042144A"/>
    <w:rsid w:val="00424EA9"/>
    <w:rsid w:val="004272D9"/>
    <w:rsid w:val="00430B95"/>
    <w:rsid w:val="00430FD6"/>
    <w:rsid w:val="0043146D"/>
    <w:rsid w:val="00432942"/>
    <w:rsid w:val="0043488B"/>
    <w:rsid w:val="00441530"/>
    <w:rsid w:val="00443A51"/>
    <w:rsid w:val="00454D76"/>
    <w:rsid w:val="0046027B"/>
    <w:rsid w:val="00461DF1"/>
    <w:rsid w:val="00465476"/>
    <w:rsid w:val="00466F90"/>
    <w:rsid w:val="00470182"/>
    <w:rsid w:val="004726BA"/>
    <w:rsid w:val="00472E71"/>
    <w:rsid w:val="00477A7F"/>
    <w:rsid w:val="00486668"/>
    <w:rsid w:val="00486C09"/>
    <w:rsid w:val="004879CE"/>
    <w:rsid w:val="00487CF2"/>
    <w:rsid w:val="004925E3"/>
    <w:rsid w:val="004952D4"/>
    <w:rsid w:val="00495B46"/>
    <w:rsid w:val="00496DA0"/>
    <w:rsid w:val="004A0154"/>
    <w:rsid w:val="004A1BF0"/>
    <w:rsid w:val="004A50E7"/>
    <w:rsid w:val="004B42CA"/>
    <w:rsid w:val="004B699E"/>
    <w:rsid w:val="004C3204"/>
    <w:rsid w:val="004C4B75"/>
    <w:rsid w:val="004C5EBB"/>
    <w:rsid w:val="004D2269"/>
    <w:rsid w:val="004D41B3"/>
    <w:rsid w:val="004D4AE9"/>
    <w:rsid w:val="004E18D2"/>
    <w:rsid w:val="004E57BA"/>
    <w:rsid w:val="004F169B"/>
    <w:rsid w:val="004F4227"/>
    <w:rsid w:val="0050182C"/>
    <w:rsid w:val="0050777C"/>
    <w:rsid w:val="005079FB"/>
    <w:rsid w:val="005134F3"/>
    <w:rsid w:val="00520150"/>
    <w:rsid w:val="005268CA"/>
    <w:rsid w:val="00526C54"/>
    <w:rsid w:val="00527351"/>
    <w:rsid w:val="005309A7"/>
    <w:rsid w:val="005316E2"/>
    <w:rsid w:val="005321B4"/>
    <w:rsid w:val="00535262"/>
    <w:rsid w:val="00536F93"/>
    <w:rsid w:val="00541EA5"/>
    <w:rsid w:val="00546F5C"/>
    <w:rsid w:val="0054799E"/>
    <w:rsid w:val="0055473A"/>
    <w:rsid w:val="00555238"/>
    <w:rsid w:val="005557D0"/>
    <w:rsid w:val="00556BEC"/>
    <w:rsid w:val="00557DDF"/>
    <w:rsid w:val="005612E2"/>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5A46"/>
    <w:rsid w:val="00596E4D"/>
    <w:rsid w:val="005A2B84"/>
    <w:rsid w:val="005A545E"/>
    <w:rsid w:val="005B163B"/>
    <w:rsid w:val="005B382A"/>
    <w:rsid w:val="005B669D"/>
    <w:rsid w:val="005B7E38"/>
    <w:rsid w:val="005C109F"/>
    <w:rsid w:val="005C1E76"/>
    <w:rsid w:val="005C2987"/>
    <w:rsid w:val="005C38C4"/>
    <w:rsid w:val="005D29B0"/>
    <w:rsid w:val="005E0975"/>
    <w:rsid w:val="005E2188"/>
    <w:rsid w:val="005E2B29"/>
    <w:rsid w:val="005E2B4D"/>
    <w:rsid w:val="005E3CD7"/>
    <w:rsid w:val="005E4D3A"/>
    <w:rsid w:val="005F3129"/>
    <w:rsid w:val="005F473A"/>
    <w:rsid w:val="005F77C3"/>
    <w:rsid w:val="0060006B"/>
    <w:rsid w:val="0060059F"/>
    <w:rsid w:val="00606289"/>
    <w:rsid w:val="0060699B"/>
    <w:rsid w:val="00607114"/>
    <w:rsid w:val="006114BF"/>
    <w:rsid w:val="00613147"/>
    <w:rsid w:val="00613C48"/>
    <w:rsid w:val="006141A3"/>
    <w:rsid w:val="00614B6B"/>
    <w:rsid w:val="006160F5"/>
    <w:rsid w:val="00621090"/>
    <w:rsid w:val="0062417F"/>
    <w:rsid w:val="00626E28"/>
    <w:rsid w:val="00630C1C"/>
    <w:rsid w:val="00631E6E"/>
    <w:rsid w:val="00633000"/>
    <w:rsid w:val="00633543"/>
    <w:rsid w:val="0063419F"/>
    <w:rsid w:val="00635006"/>
    <w:rsid w:val="00635BDB"/>
    <w:rsid w:val="00652088"/>
    <w:rsid w:val="00652660"/>
    <w:rsid w:val="00652B03"/>
    <w:rsid w:val="00660EDE"/>
    <w:rsid w:val="00661381"/>
    <w:rsid w:val="0066296C"/>
    <w:rsid w:val="006641DB"/>
    <w:rsid w:val="006655A8"/>
    <w:rsid w:val="00665A80"/>
    <w:rsid w:val="00676DE3"/>
    <w:rsid w:val="00677C07"/>
    <w:rsid w:val="0068622E"/>
    <w:rsid w:val="006907D6"/>
    <w:rsid w:val="00696807"/>
    <w:rsid w:val="00696876"/>
    <w:rsid w:val="00697A06"/>
    <w:rsid w:val="006A0191"/>
    <w:rsid w:val="006A204B"/>
    <w:rsid w:val="006A5417"/>
    <w:rsid w:val="006B10F3"/>
    <w:rsid w:val="006B30DF"/>
    <w:rsid w:val="006B4D7A"/>
    <w:rsid w:val="006C1F93"/>
    <w:rsid w:val="006C3D45"/>
    <w:rsid w:val="006C4291"/>
    <w:rsid w:val="006C59FD"/>
    <w:rsid w:val="006C5FB9"/>
    <w:rsid w:val="006C7A59"/>
    <w:rsid w:val="006D06D2"/>
    <w:rsid w:val="006D47C8"/>
    <w:rsid w:val="006D48B9"/>
    <w:rsid w:val="006D6E59"/>
    <w:rsid w:val="006D7BF1"/>
    <w:rsid w:val="006E3B23"/>
    <w:rsid w:val="006E52D6"/>
    <w:rsid w:val="006E658E"/>
    <w:rsid w:val="006E66E2"/>
    <w:rsid w:val="006F0982"/>
    <w:rsid w:val="006F1447"/>
    <w:rsid w:val="006F230D"/>
    <w:rsid w:val="006F645A"/>
    <w:rsid w:val="006F757C"/>
    <w:rsid w:val="006F7A97"/>
    <w:rsid w:val="00700E46"/>
    <w:rsid w:val="00703B0F"/>
    <w:rsid w:val="00705326"/>
    <w:rsid w:val="0070650E"/>
    <w:rsid w:val="00707839"/>
    <w:rsid w:val="00707C14"/>
    <w:rsid w:val="00710BA2"/>
    <w:rsid w:val="0071694D"/>
    <w:rsid w:val="00717921"/>
    <w:rsid w:val="00720ABC"/>
    <w:rsid w:val="00725F5B"/>
    <w:rsid w:val="00726881"/>
    <w:rsid w:val="007315A9"/>
    <w:rsid w:val="007330C9"/>
    <w:rsid w:val="007337E6"/>
    <w:rsid w:val="007423CE"/>
    <w:rsid w:val="007425C4"/>
    <w:rsid w:val="00747C3D"/>
    <w:rsid w:val="007508A2"/>
    <w:rsid w:val="00755AE8"/>
    <w:rsid w:val="00762F7A"/>
    <w:rsid w:val="0076716F"/>
    <w:rsid w:val="0077160A"/>
    <w:rsid w:val="0077361C"/>
    <w:rsid w:val="00773823"/>
    <w:rsid w:val="00774E16"/>
    <w:rsid w:val="00776B34"/>
    <w:rsid w:val="0077718C"/>
    <w:rsid w:val="007776E0"/>
    <w:rsid w:val="00780B84"/>
    <w:rsid w:val="00782C4A"/>
    <w:rsid w:val="007838F7"/>
    <w:rsid w:val="007877E3"/>
    <w:rsid w:val="00787B97"/>
    <w:rsid w:val="007933B9"/>
    <w:rsid w:val="0079379D"/>
    <w:rsid w:val="00793DF6"/>
    <w:rsid w:val="00794BB6"/>
    <w:rsid w:val="00795222"/>
    <w:rsid w:val="007952D8"/>
    <w:rsid w:val="00797BCA"/>
    <w:rsid w:val="007A0BE6"/>
    <w:rsid w:val="007A2561"/>
    <w:rsid w:val="007B5EAB"/>
    <w:rsid w:val="007C7A78"/>
    <w:rsid w:val="007D0A99"/>
    <w:rsid w:val="007D2344"/>
    <w:rsid w:val="007D4889"/>
    <w:rsid w:val="007D6FA6"/>
    <w:rsid w:val="007E49A6"/>
    <w:rsid w:val="007E5B67"/>
    <w:rsid w:val="007F272C"/>
    <w:rsid w:val="007F671F"/>
    <w:rsid w:val="00802BEA"/>
    <w:rsid w:val="00804587"/>
    <w:rsid w:val="00805CE2"/>
    <w:rsid w:val="00807D76"/>
    <w:rsid w:val="0081139F"/>
    <w:rsid w:val="0081629B"/>
    <w:rsid w:val="00820B81"/>
    <w:rsid w:val="00821C53"/>
    <w:rsid w:val="008222B9"/>
    <w:rsid w:val="00822628"/>
    <w:rsid w:val="0082562A"/>
    <w:rsid w:val="00830BDD"/>
    <w:rsid w:val="00831E58"/>
    <w:rsid w:val="008336CE"/>
    <w:rsid w:val="00835204"/>
    <w:rsid w:val="00835474"/>
    <w:rsid w:val="0084118A"/>
    <w:rsid w:val="00843BEA"/>
    <w:rsid w:val="008441A9"/>
    <w:rsid w:val="0084575E"/>
    <w:rsid w:val="00851538"/>
    <w:rsid w:val="00851D2F"/>
    <w:rsid w:val="00853F5C"/>
    <w:rsid w:val="00854CDD"/>
    <w:rsid w:val="008576CD"/>
    <w:rsid w:val="00862926"/>
    <w:rsid w:val="008655C4"/>
    <w:rsid w:val="00865731"/>
    <w:rsid w:val="00867C4C"/>
    <w:rsid w:val="00873871"/>
    <w:rsid w:val="00874452"/>
    <w:rsid w:val="00877768"/>
    <w:rsid w:val="00880DB1"/>
    <w:rsid w:val="00881204"/>
    <w:rsid w:val="00882998"/>
    <w:rsid w:val="00882F2A"/>
    <w:rsid w:val="0088348C"/>
    <w:rsid w:val="00883492"/>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3E91"/>
    <w:rsid w:val="008C5732"/>
    <w:rsid w:val="008C658F"/>
    <w:rsid w:val="008D18A8"/>
    <w:rsid w:val="008D5CB5"/>
    <w:rsid w:val="008D70A5"/>
    <w:rsid w:val="008E0B26"/>
    <w:rsid w:val="008E15DD"/>
    <w:rsid w:val="008E4A83"/>
    <w:rsid w:val="008F0BA9"/>
    <w:rsid w:val="008F27DF"/>
    <w:rsid w:val="008F4322"/>
    <w:rsid w:val="008F4F6A"/>
    <w:rsid w:val="008F539B"/>
    <w:rsid w:val="008F5DB6"/>
    <w:rsid w:val="00906A09"/>
    <w:rsid w:val="00907B69"/>
    <w:rsid w:val="00913A57"/>
    <w:rsid w:val="00920B1B"/>
    <w:rsid w:val="00920B76"/>
    <w:rsid w:val="00921CF6"/>
    <w:rsid w:val="009260B6"/>
    <w:rsid w:val="009312FE"/>
    <w:rsid w:val="00933627"/>
    <w:rsid w:val="00933FDE"/>
    <w:rsid w:val="00936284"/>
    <w:rsid w:val="009413B7"/>
    <w:rsid w:val="00942919"/>
    <w:rsid w:val="009439F2"/>
    <w:rsid w:val="009466A1"/>
    <w:rsid w:val="00951B3A"/>
    <w:rsid w:val="00953D46"/>
    <w:rsid w:val="00970F14"/>
    <w:rsid w:val="00972531"/>
    <w:rsid w:val="009758C1"/>
    <w:rsid w:val="00980415"/>
    <w:rsid w:val="009828F8"/>
    <w:rsid w:val="00985F14"/>
    <w:rsid w:val="009A050A"/>
    <w:rsid w:val="009A17A1"/>
    <w:rsid w:val="009A2F61"/>
    <w:rsid w:val="009A713F"/>
    <w:rsid w:val="009B22C4"/>
    <w:rsid w:val="009B371F"/>
    <w:rsid w:val="009B3C0C"/>
    <w:rsid w:val="009B684F"/>
    <w:rsid w:val="009B6F7F"/>
    <w:rsid w:val="009C0777"/>
    <w:rsid w:val="009C2268"/>
    <w:rsid w:val="009D16AA"/>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0B63"/>
    <w:rsid w:val="00A24CF6"/>
    <w:rsid w:val="00A26213"/>
    <w:rsid w:val="00A33BE3"/>
    <w:rsid w:val="00A36B56"/>
    <w:rsid w:val="00A4156F"/>
    <w:rsid w:val="00A44920"/>
    <w:rsid w:val="00A4741E"/>
    <w:rsid w:val="00A47E8F"/>
    <w:rsid w:val="00A536F7"/>
    <w:rsid w:val="00A53998"/>
    <w:rsid w:val="00A613AC"/>
    <w:rsid w:val="00A6222A"/>
    <w:rsid w:val="00A640F8"/>
    <w:rsid w:val="00A65E30"/>
    <w:rsid w:val="00A67E06"/>
    <w:rsid w:val="00A75175"/>
    <w:rsid w:val="00A7590F"/>
    <w:rsid w:val="00A7676C"/>
    <w:rsid w:val="00A813A8"/>
    <w:rsid w:val="00A86C8C"/>
    <w:rsid w:val="00A90DFF"/>
    <w:rsid w:val="00A9315A"/>
    <w:rsid w:val="00AA3302"/>
    <w:rsid w:val="00AB020D"/>
    <w:rsid w:val="00AB28DD"/>
    <w:rsid w:val="00AB514E"/>
    <w:rsid w:val="00AB58BB"/>
    <w:rsid w:val="00AB69F4"/>
    <w:rsid w:val="00AC3D9B"/>
    <w:rsid w:val="00AC43BF"/>
    <w:rsid w:val="00AC44B8"/>
    <w:rsid w:val="00AC5799"/>
    <w:rsid w:val="00AE0217"/>
    <w:rsid w:val="00AE0D1A"/>
    <w:rsid w:val="00AE4E0A"/>
    <w:rsid w:val="00AE5A07"/>
    <w:rsid w:val="00AE730B"/>
    <w:rsid w:val="00AF2C92"/>
    <w:rsid w:val="00B02F59"/>
    <w:rsid w:val="00B06E33"/>
    <w:rsid w:val="00B10285"/>
    <w:rsid w:val="00B11A1E"/>
    <w:rsid w:val="00B13ADF"/>
    <w:rsid w:val="00B228CB"/>
    <w:rsid w:val="00B23053"/>
    <w:rsid w:val="00B33FF2"/>
    <w:rsid w:val="00B36673"/>
    <w:rsid w:val="00B37033"/>
    <w:rsid w:val="00B40124"/>
    <w:rsid w:val="00B40970"/>
    <w:rsid w:val="00B42938"/>
    <w:rsid w:val="00B42D19"/>
    <w:rsid w:val="00B42FCE"/>
    <w:rsid w:val="00B437FA"/>
    <w:rsid w:val="00B45B22"/>
    <w:rsid w:val="00B47D3F"/>
    <w:rsid w:val="00B50C5B"/>
    <w:rsid w:val="00B518C9"/>
    <w:rsid w:val="00B52528"/>
    <w:rsid w:val="00B57607"/>
    <w:rsid w:val="00B6203A"/>
    <w:rsid w:val="00B668C7"/>
    <w:rsid w:val="00B66A09"/>
    <w:rsid w:val="00B66C65"/>
    <w:rsid w:val="00B671BC"/>
    <w:rsid w:val="00B67283"/>
    <w:rsid w:val="00B70245"/>
    <w:rsid w:val="00B75A7B"/>
    <w:rsid w:val="00B94AE3"/>
    <w:rsid w:val="00B95897"/>
    <w:rsid w:val="00B95DC1"/>
    <w:rsid w:val="00B977C7"/>
    <w:rsid w:val="00BA10E7"/>
    <w:rsid w:val="00BA11AF"/>
    <w:rsid w:val="00BA4D69"/>
    <w:rsid w:val="00BA4F15"/>
    <w:rsid w:val="00BA5E28"/>
    <w:rsid w:val="00BA7D45"/>
    <w:rsid w:val="00BB018B"/>
    <w:rsid w:val="00BC1192"/>
    <w:rsid w:val="00BC252D"/>
    <w:rsid w:val="00BC29A2"/>
    <w:rsid w:val="00BD170A"/>
    <w:rsid w:val="00BD38BC"/>
    <w:rsid w:val="00BE25E8"/>
    <w:rsid w:val="00BE4665"/>
    <w:rsid w:val="00BE57EB"/>
    <w:rsid w:val="00BE6CD4"/>
    <w:rsid w:val="00C01888"/>
    <w:rsid w:val="00C042EF"/>
    <w:rsid w:val="00C11F07"/>
    <w:rsid w:val="00C163AE"/>
    <w:rsid w:val="00C20F12"/>
    <w:rsid w:val="00C234C8"/>
    <w:rsid w:val="00C2408F"/>
    <w:rsid w:val="00C24FB8"/>
    <w:rsid w:val="00C27BA4"/>
    <w:rsid w:val="00C329A9"/>
    <w:rsid w:val="00C339E2"/>
    <w:rsid w:val="00C34C36"/>
    <w:rsid w:val="00C37252"/>
    <w:rsid w:val="00C40DA8"/>
    <w:rsid w:val="00C40DBB"/>
    <w:rsid w:val="00C41721"/>
    <w:rsid w:val="00C4388D"/>
    <w:rsid w:val="00C44C76"/>
    <w:rsid w:val="00C45C6B"/>
    <w:rsid w:val="00C53047"/>
    <w:rsid w:val="00C56CAB"/>
    <w:rsid w:val="00C62644"/>
    <w:rsid w:val="00C66C05"/>
    <w:rsid w:val="00C67037"/>
    <w:rsid w:val="00C7486A"/>
    <w:rsid w:val="00C74DDD"/>
    <w:rsid w:val="00C8025A"/>
    <w:rsid w:val="00C84611"/>
    <w:rsid w:val="00C8774A"/>
    <w:rsid w:val="00C87DCB"/>
    <w:rsid w:val="00C93BA1"/>
    <w:rsid w:val="00C9771F"/>
    <w:rsid w:val="00CA7936"/>
    <w:rsid w:val="00CA7F2A"/>
    <w:rsid w:val="00CB164B"/>
    <w:rsid w:val="00CB2683"/>
    <w:rsid w:val="00CB41FE"/>
    <w:rsid w:val="00CB5559"/>
    <w:rsid w:val="00CB70A9"/>
    <w:rsid w:val="00CC56F8"/>
    <w:rsid w:val="00CD77EA"/>
    <w:rsid w:val="00CE09CF"/>
    <w:rsid w:val="00CE0FCE"/>
    <w:rsid w:val="00CE699D"/>
    <w:rsid w:val="00CE753C"/>
    <w:rsid w:val="00CE7B79"/>
    <w:rsid w:val="00CF0660"/>
    <w:rsid w:val="00CF1681"/>
    <w:rsid w:val="00CF3D77"/>
    <w:rsid w:val="00CF4BB3"/>
    <w:rsid w:val="00D05667"/>
    <w:rsid w:val="00D05B80"/>
    <w:rsid w:val="00D12415"/>
    <w:rsid w:val="00D164AE"/>
    <w:rsid w:val="00D261B4"/>
    <w:rsid w:val="00D323F2"/>
    <w:rsid w:val="00D33890"/>
    <w:rsid w:val="00D34A8A"/>
    <w:rsid w:val="00D40BC4"/>
    <w:rsid w:val="00D4322B"/>
    <w:rsid w:val="00D44810"/>
    <w:rsid w:val="00D468CE"/>
    <w:rsid w:val="00D478A8"/>
    <w:rsid w:val="00D53304"/>
    <w:rsid w:val="00D56DE8"/>
    <w:rsid w:val="00D60642"/>
    <w:rsid w:val="00D60678"/>
    <w:rsid w:val="00D641E3"/>
    <w:rsid w:val="00D6456A"/>
    <w:rsid w:val="00D64751"/>
    <w:rsid w:val="00D66917"/>
    <w:rsid w:val="00D702F7"/>
    <w:rsid w:val="00D7055C"/>
    <w:rsid w:val="00D70D6B"/>
    <w:rsid w:val="00D73B8F"/>
    <w:rsid w:val="00D9158E"/>
    <w:rsid w:val="00D94F34"/>
    <w:rsid w:val="00D973D9"/>
    <w:rsid w:val="00DA4A3E"/>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0427E"/>
    <w:rsid w:val="00E1199E"/>
    <w:rsid w:val="00E125D5"/>
    <w:rsid w:val="00E13FF5"/>
    <w:rsid w:val="00E16644"/>
    <w:rsid w:val="00E208F0"/>
    <w:rsid w:val="00E24DB7"/>
    <w:rsid w:val="00E24FF6"/>
    <w:rsid w:val="00E25ACC"/>
    <w:rsid w:val="00E300B5"/>
    <w:rsid w:val="00E30A5B"/>
    <w:rsid w:val="00E34D0D"/>
    <w:rsid w:val="00E3520F"/>
    <w:rsid w:val="00E35705"/>
    <w:rsid w:val="00E41443"/>
    <w:rsid w:val="00E41511"/>
    <w:rsid w:val="00E42F02"/>
    <w:rsid w:val="00E44185"/>
    <w:rsid w:val="00E4444F"/>
    <w:rsid w:val="00E44690"/>
    <w:rsid w:val="00E45EF1"/>
    <w:rsid w:val="00E51E38"/>
    <w:rsid w:val="00E5344D"/>
    <w:rsid w:val="00E560AB"/>
    <w:rsid w:val="00E61B1F"/>
    <w:rsid w:val="00E627DC"/>
    <w:rsid w:val="00E644C4"/>
    <w:rsid w:val="00E74745"/>
    <w:rsid w:val="00E769C9"/>
    <w:rsid w:val="00E84988"/>
    <w:rsid w:val="00E86AAD"/>
    <w:rsid w:val="00E91D64"/>
    <w:rsid w:val="00EA6E99"/>
    <w:rsid w:val="00EB4C8E"/>
    <w:rsid w:val="00EB51E6"/>
    <w:rsid w:val="00EB5209"/>
    <w:rsid w:val="00EB6C23"/>
    <w:rsid w:val="00EC0495"/>
    <w:rsid w:val="00EC06B8"/>
    <w:rsid w:val="00EC25F0"/>
    <w:rsid w:val="00EC2CDF"/>
    <w:rsid w:val="00EC756E"/>
    <w:rsid w:val="00ED45C0"/>
    <w:rsid w:val="00EE2576"/>
    <w:rsid w:val="00EE2B69"/>
    <w:rsid w:val="00EE661E"/>
    <w:rsid w:val="00EE7F60"/>
    <w:rsid w:val="00EF615F"/>
    <w:rsid w:val="00F04AF6"/>
    <w:rsid w:val="00F1159D"/>
    <w:rsid w:val="00F12137"/>
    <w:rsid w:val="00F13803"/>
    <w:rsid w:val="00F14AC9"/>
    <w:rsid w:val="00F154CF"/>
    <w:rsid w:val="00F15CC3"/>
    <w:rsid w:val="00F16327"/>
    <w:rsid w:val="00F17C60"/>
    <w:rsid w:val="00F2696A"/>
    <w:rsid w:val="00F31C01"/>
    <w:rsid w:val="00F34CC1"/>
    <w:rsid w:val="00F40396"/>
    <w:rsid w:val="00F4263D"/>
    <w:rsid w:val="00F46CA3"/>
    <w:rsid w:val="00F47381"/>
    <w:rsid w:val="00F540DC"/>
    <w:rsid w:val="00F54E69"/>
    <w:rsid w:val="00F55219"/>
    <w:rsid w:val="00F61AAE"/>
    <w:rsid w:val="00F65461"/>
    <w:rsid w:val="00F67C80"/>
    <w:rsid w:val="00F77A0A"/>
    <w:rsid w:val="00F93878"/>
    <w:rsid w:val="00F939F8"/>
    <w:rsid w:val="00F9506D"/>
    <w:rsid w:val="00F95372"/>
    <w:rsid w:val="00F96FE2"/>
    <w:rsid w:val="00FA4B86"/>
    <w:rsid w:val="00FA554A"/>
    <w:rsid w:val="00FA5AE4"/>
    <w:rsid w:val="00FA7B03"/>
    <w:rsid w:val="00FB079A"/>
    <w:rsid w:val="00FB6709"/>
    <w:rsid w:val="00FB709B"/>
    <w:rsid w:val="00FC2288"/>
    <w:rsid w:val="00FC2311"/>
    <w:rsid w:val="00FC71DE"/>
    <w:rsid w:val="00FC7747"/>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50C63D"/>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5C0"/>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aliases w:val="List Paragraph (numbered (a)),References,WB List Paragraph,Dot pt,F5 List Paragraph,Recommendation,List Paragraph11,Numerowanie,Kolorowa lista — akcent 11,Akapit z listą1,Listaszerű bekezdés1,Akapit z listą,Bullet EY"/>
    <w:basedOn w:val="prastasis"/>
    <w:link w:val="SraopastraipaDiagrama"/>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3"/>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3"/>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3"/>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3"/>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3"/>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3"/>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3"/>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3"/>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3"/>
      </w:numPr>
      <w:spacing w:before="120" w:after="120" w:line="360" w:lineRule="auto"/>
    </w:pPr>
    <w:rPr>
      <w:rFonts w:eastAsia="Calibri"/>
      <w:sz w:val="24"/>
      <w:szCs w:val="22"/>
      <w:lang w:val="lt-LT"/>
    </w:rPr>
  </w:style>
  <w:style w:type="paragraph" w:customStyle="1" w:styleId="Dash1">
    <w:name w:val="Dash 1"/>
    <w:basedOn w:val="prastasis"/>
    <w:rsid w:val="00A67E06"/>
    <w:pPr>
      <w:numPr>
        <w:numId w:val="2"/>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 w:type="character" w:customStyle="1" w:styleId="SraopastraipaDiagrama">
    <w:name w:val="Sąrašo pastraipa Diagrama"/>
    <w:aliases w:val="List Paragraph (numbered (a)) Diagrama,References Diagrama,WB List Paragraph Diagrama,Dot pt Diagrama,F5 List Paragraph Diagrama,Recommendation Diagrama,List Paragraph11 Diagrama,Numerowanie Diagrama,Akapit z listą1 Diagrama"/>
    <w:link w:val="Sraopastraipa"/>
    <w:uiPriority w:val="34"/>
    <w:locked/>
    <w:rsid w:val="00CE7B7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C298-4A8D-4663-9FE4-E7ABAAF4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14017</Words>
  <Characters>7991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2021-05-25T12:24:00Z</dcterms:created>
  <dc:creator>Dimitrij Zadojenko</dc:creator>
  <cp:lastModifiedBy>Vaiva Obelevičienė</cp:lastModifiedBy>
  <cp:lastPrinted>2019-11-25T11:33:00Z</cp:lastPrinted>
  <dcterms:modified xsi:type="dcterms:W3CDTF">2021-05-28T16:43:00Z</dcterms:modified>
  <cp:revision>31</cp:revision>
</cp:coreProperties>
</file>