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Layout w:type="fixed"/>
        <w:tblLook w:val="0000" w:firstRow="0" w:lastRow="0" w:firstColumn="0" w:lastColumn="0" w:noHBand="0" w:noVBand="0"/>
      </w:tblPr>
      <w:tblGrid>
        <w:gridCol w:w="4068"/>
        <w:gridCol w:w="16"/>
      </w:tblGrid>
      <w:tr w:rsidR="00033F22" w:rsidTr="00D22A39">
        <w:trPr>
          <w:cantSplit/>
          <w:trHeight w:val="340"/>
        </w:trPr>
        <w:tc>
          <w:tcPr>
            <w:tcW w:w="4084" w:type="dxa"/>
            <w:gridSpan w:val="2"/>
          </w:tcPr>
          <w:p w:rsidR="00033F22" w:rsidRDefault="00033F22" w:rsidP="009F4C55">
            <w:pPr>
              <w:framePr w:hSpace="180" w:wrap="around" w:vAnchor="text" w:hAnchor="page" w:x="7286" w:y="12"/>
              <w:ind w:right="24"/>
            </w:pPr>
            <w:r>
              <w:t>20</w:t>
            </w:r>
            <w:r w:rsidR="00CB007C">
              <w:t>20</w:t>
            </w:r>
            <w:r>
              <w:t>-</w:t>
            </w:r>
            <w:r w:rsidR="004920AA">
              <w:t>10</w:t>
            </w:r>
            <w:r>
              <w:t>-</w:t>
            </w:r>
            <w:r w:rsidR="009127B2">
              <w:t xml:space="preserve">  </w:t>
            </w:r>
            <w:r w:rsidR="00E75D83">
              <w:t xml:space="preserve"> </w:t>
            </w:r>
            <w:r w:rsidR="004920AA">
              <w:t xml:space="preserve"> </w:t>
            </w:r>
            <w:r>
              <w:t xml:space="preserve">Nr. </w:t>
            </w:r>
            <w:r w:rsidR="004920AA">
              <w:t>(1.40E)7R-</w:t>
            </w:r>
          </w:p>
        </w:tc>
      </w:tr>
      <w:tr w:rsidR="00033F22" w:rsidTr="00D22A39">
        <w:trPr>
          <w:gridAfter w:val="1"/>
          <w:wAfter w:w="16" w:type="dxa"/>
          <w:cantSplit/>
          <w:trHeight w:val="340"/>
        </w:trPr>
        <w:tc>
          <w:tcPr>
            <w:tcW w:w="4068" w:type="dxa"/>
          </w:tcPr>
          <w:p w:rsidR="00033F22" w:rsidRDefault="00033F22" w:rsidP="007B4A13">
            <w:pPr>
              <w:framePr w:hSpace="180" w:wrap="around" w:vAnchor="text" w:hAnchor="page" w:x="7286" w:y="12"/>
              <w:ind w:right="24"/>
            </w:pPr>
          </w:p>
        </w:tc>
      </w:tr>
    </w:tbl>
    <w:p w:rsidR="00E75D83" w:rsidRDefault="00C261BD" w:rsidP="00E75D83">
      <w:pPr>
        <w:pStyle w:val="Adresas"/>
      </w:pPr>
      <w:r>
        <w:t>Finansų ministerijai</w:t>
      </w:r>
    </w:p>
    <w:p w:rsidR="00E75D83" w:rsidRDefault="00E75D83" w:rsidP="00E75D83">
      <w:pPr>
        <w:pStyle w:val="Adresas"/>
      </w:pPr>
    </w:p>
    <w:p w:rsidR="00E75D83" w:rsidRDefault="00E75D83" w:rsidP="00E75D83">
      <w:pPr>
        <w:pStyle w:val="Adresas"/>
      </w:pPr>
    </w:p>
    <w:p w:rsidR="009127B2" w:rsidRPr="009127B2" w:rsidRDefault="009127B2" w:rsidP="00147E6D">
      <w:pPr>
        <w:pStyle w:val="Kopija"/>
        <w:ind w:right="279"/>
        <w:jc w:val="both"/>
        <w:rPr>
          <w:b/>
          <w:lang w:eastAsia="en-US"/>
        </w:rPr>
      </w:pPr>
      <w:r w:rsidRPr="009127B2">
        <w:rPr>
          <w:b/>
          <w:lang w:eastAsia="en-US"/>
        </w:rPr>
        <w:t>DĖL 20</w:t>
      </w:r>
      <w:r w:rsidR="00CB007C">
        <w:rPr>
          <w:b/>
          <w:lang w:eastAsia="en-US"/>
        </w:rPr>
        <w:t>20</w:t>
      </w:r>
      <w:r w:rsidRPr="009127B2">
        <w:rPr>
          <w:b/>
          <w:lang w:eastAsia="en-US"/>
        </w:rPr>
        <w:t xml:space="preserve"> METŲ LIETUVOS RESPUBLIKOS VALSTYBĖS BIUDŽETO PATVIRTINTŲ ASIGNAVIMŲ PASKIRSTYMO PAGAL PROGRAMAS PATIKSLINIMO</w:t>
      </w:r>
      <w:r w:rsidR="002E2E7A">
        <w:rPr>
          <w:b/>
          <w:lang w:eastAsia="en-US"/>
        </w:rPr>
        <w:t xml:space="preserve"> </w:t>
      </w:r>
    </w:p>
    <w:p w:rsidR="009127B2" w:rsidRDefault="009127B2" w:rsidP="009127B2">
      <w:pPr>
        <w:suppressAutoHyphens w:val="0"/>
        <w:jc w:val="both"/>
        <w:rPr>
          <w:b/>
          <w:lang w:eastAsia="en-US"/>
        </w:rPr>
      </w:pPr>
    </w:p>
    <w:p w:rsidR="009F4C55" w:rsidRPr="009127B2" w:rsidRDefault="009F4C55" w:rsidP="009127B2">
      <w:pPr>
        <w:suppressAutoHyphens w:val="0"/>
        <w:jc w:val="both"/>
        <w:rPr>
          <w:b/>
          <w:lang w:eastAsia="en-US"/>
        </w:rPr>
      </w:pPr>
    </w:p>
    <w:p w:rsidR="009127B2" w:rsidRDefault="009127B2" w:rsidP="00A56DDF">
      <w:pPr>
        <w:suppressAutoHyphens w:val="0"/>
        <w:ind w:firstLine="709"/>
        <w:jc w:val="both"/>
        <w:rPr>
          <w:lang w:eastAsia="en-US"/>
        </w:rPr>
      </w:pPr>
      <w:r w:rsidRPr="009127B2">
        <w:rPr>
          <w:noProof/>
        </w:rPr>
        <w:t>Teisingumo ministerija prašo patikslinti 20</w:t>
      </w:r>
      <w:r w:rsidR="00CB007C">
        <w:rPr>
          <w:noProof/>
        </w:rPr>
        <w:t>20</w:t>
      </w:r>
      <w:r w:rsidRPr="009127B2">
        <w:rPr>
          <w:noProof/>
        </w:rPr>
        <w:t xml:space="preserve"> metų Lietuvos Respublikos valstybės biudžeto patvirtintų asignavimų paskirstymą pagal programas, patvirtintą Lietuvos Respublikos Vyriausybės </w:t>
      </w:r>
      <w:r w:rsidRPr="00CB007C">
        <w:rPr>
          <w:noProof/>
        </w:rPr>
        <w:t>20</w:t>
      </w:r>
      <w:r w:rsidR="00CB007C" w:rsidRPr="00CB007C">
        <w:rPr>
          <w:noProof/>
        </w:rPr>
        <w:t>20</w:t>
      </w:r>
      <w:r w:rsidRPr="00CB007C">
        <w:rPr>
          <w:noProof/>
        </w:rPr>
        <w:t xml:space="preserve"> m. vasario 1</w:t>
      </w:r>
      <w:r w:rsidR="00CB007C" w:rsidRPr="00CB007C">
        <w:rPr>
          <w:noProof/>
        </w:rPr>
        <w:t>2</w:t>
      </w:r>
      <w:r w:rsidRPr="00CB007C">
        <w:rPr>
          <w:noProof/>
        </w:rPr>
        <w:t xml:space="preserve"> d. nutarimu Nr. 1</w:t>
      </w:r>
      <w:r w:rsidR="00CB007C" w:rsidRPr="00CB007C">
        <w:rPr>
          <w:noProof/>
        </w:rPr>
        <w:t>08</w:t>
      </w:r>
      <w:r w:rsidRPr="00CB007C">
        <w:rPr>
          <w:noProof/>
          <w:lang w:eastAsia="en-US"/>
        </w:rPr>
        <w:t xml:space="preserve"> </w:t>
      </w:r>
      <w:r w:rsidRPr="009127B2">
        <w:rPr>
          <w:noProof/>
          <w:lang w:eastAsia="en-US"/>
        </w:rPr>
        <w:t>„Dėl 20</w:t>
      </w:r>
      <w:r w:rsidR="00CB007C">
        <w:rPr>
          <w:noProof/>
          <w:lang w:eastAsia="en-US"/>
        </w:rPr>
        <w:t>20</w:t>
      </w:r>
      <w:r w:rsidRPr="009127B2">
        <w:rPr>
          <w:noProof/>
          <w:lang w:eastAsia="en-US"/>
        </w:rPr>
        <w:t xml:space="preserve"> metų Lietuvos Respublikos valstybės biudžeto patvirtintų asignavimų paskirstymo pagal programas“, </w:t>
      </w:r>
      <w:r w:rsidRPr="009127B2">
        <w:rPr>
          <w:lang w:eastAsia="en-US"/>
        </w:rPr>
        <w:t>nekeičiant bendros 20</w:t>
      </w:r>
      <w:r w:rsidR="00CB007C">
        <w:rPr>
          <w:lang w:eastAsia="en-US"/>
        </w:rPr>
        <w:t>20</w:t>
      </w:r>
      <w:r w:rsidRPr="009127B2">
        <w:rPr>
          <w:lang w:eastAsia="en-US"/>
        </w:rPr>
        <w:t xml:space="preserve"> m</w:t>
      </w:r>
      <w:r w:rsidR="00401036">
        <w:rPr>
          <w:lang w:eastAsia="en-US"/>
        </w:rPr>
        <w:t>etų</w:t>
      </w:r>
      <w:r w:rsidRPr="009127B2">
        <w:rPr>
          <w:lang w:eastAsia="en-US"/>
        </w:rPr>
        <w:t xml:space="preserve"> asignavimų sumos.</w:t>
      </w:r>
    </w:p>
    <w:p w:rsidR="00114875" w:rsidRPr="0000728E" w:rsidRDefault="008D40A0" w:rsidP="00A56DDF">
      <w:pPr>
        <w:suppressAutoHyphens w:val="0"/>
        <w:ind w:firstLine="709"/>
        <w:jc w:val="both"/>
        <w:rPr>
          <w:i/>
          <w:lang w:eastAsia="en-US"/>
        </w:rPr>
      </w:pPr>
      <w:r>
        <w:rPr>
          <w:i/>
          <w:lang w:eastAsia="en-US"/>
        </w:rPr>
        <w:t>Dėl lėšų ekonomijos.</w:t>
      </w:r>
    </w:p>
    <w:p w:rsidR="001705BF" w:rsidRDefault="00A26451" w:rsidP="00282D30">
      <w:pPr>
        <w:suppressAutoHyphens w:val="0"/>
        <w:ind w:firstLine="720"/>
        <w:jc w:val="both"/>
        <w:rPr>
          <w:lang w:eastAsia="lt-LT"/>
        </w:rPr>
      </w:pPr>
      <w:r w:rsidRPr="009F4C55">
        <w:rPr>
          <w:lang w:eastAsia="en-US"/>
        </w:rPr>
        <w:t xml:space="preserve">Teisingumo ministerijai </w:t>
      </w:r>
      <w:r w:rsidRPr="009F4C55">
        <w:rPr>
          <w:noProof/>
        </w:rPr>
        <w:t>03 01 „</w:t>
      </w:r>
      <w:r w:rsidRPr="009F4C55">
        <w:t>Bausmių sistema“</w:t>
      </w:r>
      <w:r w:rsidRPr="009F4C55">
        <w:rPr>
          <w:noProof/>
        </w:rPr>
        <w:t xml:space="preserve"> </w:t>
      </w:r>
      <w:r w:rsidRPr="009F4C55">
        <w:rPr>
          <w:lang w:eastAsia="en-US"/>
        </w:rPr>
        <w:t>priemonėje 03.001.01.03.09 „</w:t>
      </w:r>
      <w:r w:rsidRPr="009F4C55">
        <w:rPr>
          <w:lang w:eastAsia="lt-LT"/>
        </w:rPr>
        <w:t>Pagal vykdytinus dokumentus atlyginti žalą dėl netinkamų kalinimo sąlygų“</w:t>
      </w:r>
      <w:r w:rsidRPr="009F4C55">
        <w:rPr>
          <w:noProof/>
        </w:rPr>
        <w:t xml:space="preserve"> 2020 metams patvirtinti</w:t>
      </w:r>
      <w:r w:rsidR="00F5548F" w:rsidRPr="009F4C55">
        <w:rPr>
          <w:noProof/>
        </w:rPr>
        <w:t xml:space="preserve"> </w:t>
      </w:r>
      <w:r w:rsidR="00F5548F" w:rsidRPr="0000728E">
        <w:rPr>
          <w:i/>
          <w:noProof/>
        </w:rPr>
        <w:t>patikslinti</w:t>
      </w:r>
      <w:r w:rsidR="00F5548F" w:rsidRPr="0000728E">
        <w:rPr>
          <w:noProof/>
        </w:rPr>
        <w:t xml:space="preserve"> </w:t>
      </w:r>
      <w:r w:rsidR="00F5548F" w:rsidRPr="009F4C55">
        <w:rPr>
          <w:noProof/>
        </w:rPr>
        <w:t xml:space="preserve">asignavimai - </w:t>
      </w:r>
      <w:r w:rsidR="004920AA" w:rsidRPr="006B35A2">
        <w:rPr>
          <w:noProof/>
        </w:rPr>
        <w:t>293,</w:t>
      </w:r>
      <w:r w:rsidR="004403CE" w:rsidRPr="006B35A2">
        <w:rPr>
          <w:noProof/>
        </w:rPr>
        <w:t>8</w:t>
      </w:r>
      <w:r w:rsidR="004920AA" w:rsidRPr="006B35A2">
        <w:rPr>
          <w:noProof/>
        </w:rPr>
        <w:t xml:space="preserve"> tūkst. eurų</w:t>
      </w:r>
      <w:r w:rsidRPr="006B35A2">
        <w:rPr>
          <w:noProof/>
        </w:rPr>
        <w:t xml:space="preserve">. </w:t>
      </w:r>
      <w:r w:rsidR="00666C85" w:rsidRPr="006B35A2">
        <w:rPr>
          <w:noProof/>
        </w:rPr>
        <w:t>Įgyvendinant programos 03 01 „</w:t>
      </w:r>
      <w:r w:rsidR="00666C85" w:rsidRPr="006B35A2">
        <w:t>Bausmių sistema“</w:t>
      </w:r>
      <w:r w:rsidR="00666C85" w:rsidRPr="006B35A2">
        <w:rPr>
          <w:noProof/>
        </w:rPr>
        <w:t xml:space="preserve"> </w:t>
      </w:r>
      <w:r w:rsidR="00CB007C" w:rsidRPr="006B35A2">
        <w:rPr>
          <w:lang w:eastAsia="en-US"/>
        </w:rPr>
        <w:t>priemonę 03.001.01.03.09 „</w:t>
      </w:r>
      <w:r w:rsidR="00CB007C" w:rsidRPr="006B35A2">
        <w:rPr>
          <w:lang w:eastAsia="lt-LT"/>
        </w:rPr>
        <w:t xml:space="preserve">Pagal vykdytinus dokumentus atlyginti žalą dėl netinkamų kalinimo sąlygų“ ir </w:t>
      </w:r>
      <w:r w:rsidR="001705BF" w:rsidRPr="006B35A2">
        <w:rPr>
          <w:lang w:eastAsia="en-US"/>
        </w:rPr>
        <w:t>stebint žalų atlyginimo dėl netinkamų kalinimo sąlygų išmokėjimo tendencijas</w:t>
      </w:r>
      <w:r w:rsidR="00CB007C" w:rsidRPr="006B35A2">
        <w:rPr>
          <w:lang w:eastAsia="en-US"/>
        </w:rPr>
        <w:t xml:space="preserve"> </w:t>
      </w:r>
      <w:r w:rsidR="00F5548F" w:rsidRPr="006B35A2">
        <w:rPr>
          <w:lang w:eastAsia="en-US"/>
        </w:rPr>
        <w:t xml:space="preserve">per </w:t>
      </w:r>
      <w:r w:rsidRPr="006B35A2">
        <w:rPr>
          <w:lang w:eastAsia="en-US"/>
        </w:rPr>
        <w:t xml:space="preserve">š. m. </w:t>
      </w:r>
      <w:r w:rsidR="00F5548F" w:rsidRPr="006B35A2">
        <w:rPr>
          <w:lang w:eastAsia="en-US"/>
        </w:rPr>
        <w:t>I-II</w:t>
      </w:r>
      <w:r w:rsidR="00DE0A48" w:rsidRPr="006B35A2">
        <w:rPr>
          <w:lang w:eastAsia="en-US"/>
        </w:rPr>
        <w:t>I</w:t>
      </w:r>
      <w:r w:rsidR="00F5548F" w:rsidRPr="006B35A2">
        <w:rPr>
          <w:lang w:eastAsia="en-US"/>
        </w:rPr>
        <w:t xml:space="preserve"> ketvirčius</w:t>
      </w:r>
      <w:r w:rsidR="00022FF3" w:rsidRPr="006B35A2">
        <w:rPr>
          <w:lang w:eastAsia="en-US"/>
        </w:rPr>
        <w:t xml:space="preserve"> panaudota </w:t>
      </w:r>
      <w:r w:rsidR="00FC78C5" w:rsidRPr="006B35A2">
        <w:rPr>
          <w:lang w:eastAsia="en-US"/>
        </w:rPr>
        <w:t>–</w:t>
      </w:r>
      <w:r w:rsidR="00480DCF" w:rsidRPr="006B35A2">
        <w:rPr>
          <w:lang w:eastAsia="en-US"/>
        </w:rPr>
        <w:t xml:space="preserve"> </w:t>
      </w:r>
      <w:r w:rsidR="004920AA" w:rsidRPr="006B35A2">
        <w:rPr>
          <w:lang w:eastAsia="en-US"/>
        </w:rPr>
        <w:t> 238,0</w:t>
      </w:r>
      <w:r w:rsidR="0039471E" w:rsidRPr="006B35A2">
        <w:rPr>
          <w:lang w:eastAsia="en-US"/>
        </w:rPr>
        <w:t xml:space="preserve"> </w:t>
      </w:r>
      <w:r w:rsidR="00022FF3" w:rsidRPr="006B35A2">
        <w:rPr>
          <w:lang w:eastAsia="en-US"/>
        </w:rPr>
        <w:t>tūkst. eurų</w:t>
      </w:r>
      <w:r w:rsidR="00540756" w:rsidRPr="006B35A2">
        <w:rPr>
          <w:lang w:eastAsia="en-US"/>
        </w:rPr>
        <w:t>.</w:t>
      </w:r>
      <w:r w:rsidR="001705BF" w:rsidRPr="006B35A2">
        <w:rPr>
          <w:lang w:eastAsia="en-US"/>
        </w:rPr>
        <w:t xml:space="preserve"> </w:t>
      </w:r>
      <w:r w:rsidR="00540756" w:rsidRPr="006B35A2">
        <w:rPr>
          <w:lang w:eastAsia="en-US"/>
        </w:rPr>
        <w:t>M</w:t>
      </w:r>
      <w:r w:rsidR="001705BF" w:rsidRPr="006B35A2">
        <w:rPr>
          <w:lang w:eastAsia="en-US"/>
        </w:rPr>
        <w:t>a</w:t>
      </w:r>
      <w:r w:rsidR="00CB007C" w:rsidRPr="006B35A2">
        <w:rPr>
          <w:lang w:eastAsia="en-US"/>
        </w:rPr>
        <w:t>nytina,</w:t>
      </w:r>
      <w:r w:rsidR="001705BF" w:rsidRPr="006B35A2">
        <w:rPr>
          <w:lang w:eastAsia="en-US"/>
        </w:rPr>
        <w:t xml:space="preserve"> kad programos 03 01 „Bausmių sistema“ priemonėje 03.001.01.03.09 „</w:t>
      </w:r>
      <w:r w:rsidR="001705BF" w:rsidRPr="006B35A2">
        <w:rPr>
          <w:lang w:eastAsia="lt-LT"/>
        </w:rPr>
        <w:t>Pagal vykdytinus dokumentus atlyginti žalą dėl netinkamų kalinimo sąlygų“ susidarys lėšų ekonomija.</w:t>
      </w:r>
      <w:r w:rsidR="00A80EFF" w:rsidRPr="006B35A2">
        <w:rPr>
          <w:lang w:eastAsia="lt-LT"/>
        </w:rPr>
        <w:t xml:space="preserve"> </w:t>
      </w:r>
      <w:r w:rsidR="009F4C55" w:rsidRPr="006B35A2">
        <w:rPr>
          <w:lang w:eastAsia="lt-LT"/>
        </w:rPr>
        <w:t>Tokiam</w:t>
      </w:r>
      <w:r w:rsidR="00A80EFF" w:rsidRPr="006B35A2">
        <w:rPr>
          <w:lang w:eastAsia="lt-LT"/>
        </w:rPr>
        <w:t xml:space="preserve"> faktiniam lėšų panaudojimui</w:t>
      </w:r>
      <w:r w:rsidR="009F4C55" w:rsidRPr="006B35A2">
        <w:rPr>
          <w:lang w:eastAsia="lt-LT"/>
        </w:rPr>
        <w:t xml:space="preserve"> įtakos</w:t>
      </w:r>
      <w:r w:rsidR="00A80EFF" w:rsidRPr="006B35A2">
        <w:rPr>
          <w:lang w:eastAsia="lt-LT"/>
        </w:rPr>
        <w:t xml:space="preserve"> turėjo COVID-19 pandemijos laikotarpis ir aplinkybės.</w:t>
      </w:r>
      <w:r w:rsidR="001705BF" w:rsidRPr="006B35A2">
        <w:rPr>
          <w:lang w:eastAsia="lt-LT"/>
        </w:rPr>
        <w:t xml:space="preserve"> </w:t>
      </w:r>
    </w:p>
    <w:p w:rsidR="0000728E" w:rsidRDefault="0000728E" w:rsidP="00282D30">
      <w:pPr>
        <w:suppressAutoHyphens w:val="0"/>
        <w:ind w:firstLine="720"/>
        <w:jc w:val="both"/>
        <w:rPr>
          <w:lang w:eastAsia="lt-LT"/>
        </w:rPr>
      </w:pPr>
      <w:r>
        <w:rPr>
          <w:lang w:eastAsia="lt-LT"/>
        </w:rPr>
        <w:t>Įgyvendinant programos 03 01 „Bausmių sistema“ priemonę 03.01.02.01.01 „Kompensuoti smurtiniais nusikaltimais padarytą žalą“ susidarė lėšų ekonomija, kadangi į Nukentėjusių nuo nusikaltimų asmenų fondą surenkama daugiau lėšų ir pirmiau yra naudojamos pajamų įmokų lėšos (finansavimo šaltinis – 1.6.1.1.1.).</w:t>
      </w:r>
    </w:p>
    <w:p w:rsidR="00114875" w:rsidRPr="0000728E" w:rsidRDefault="008D40A0" w:rsidP="00282D30">
      <w:pPr>
        <w:suppressAutoHyphens w:val="0"/>
        <w:ind w:firstLine="720"/>
        <w:jc w:val="both"/>
        <w:rPr>
          <w:i/>
          <w:lang w:eastAsia="lt-LT"/>
        </w:rPr>
      </w:pPr>
      <w:r>
        <w:rPr>
          <w:i/>
          <w:lang w:eastAsia="lt-LT"/>
        </w:rPr>
        <w:t>Dėl lėšų poreikio.</w:t>
      </w:r>
    </w:p>
    <w:p w:rsidR="00DB3931" w:rsidRDefault="00207097" w:rsidP="00DB3931">
      <w:pPr>
        <w:ind w:firstLine="720"/>
        <w:jc w:val="both"/>
        <w:rPr>
          <w:noProof/>
        </w:rPr>
      </w:pPr>
      <w:r w:rsidRPr="009F4C55">
        <w:rPr>
          <w:noProof/>
        </w:rPr>
        <w:t>Teisingumo ministerijai programos 01 04 „Teisės sistema“ priemonėje 01.04.01.03.02 „Pagal vykdytinus dokumentus atlyginti asmenims turtinę ir neturtinę žalą, atsiradusią dėl valdžios institucijų neteisėtų veiksmų, ir atstovauti Lietuvos Respublikos interesams tarptautiniuose arbitražo teismuose“ 2020 metams patvirtinti</w:t>
      </w:r>
      <w:r w:rsidR="00C71BEA" w:rsidRPr="009F4C55">
        <w:rPr>
          <w:noProof/>
        </w:rPr>
        <w:t xml:space="preserve"> </w:t>
      </w:r>
      <w:r w:rsidR="00C71BEA" w:rsidRPr="0000728E">
        <w:rPr>
          <w:i/>
          <w:noProof/>
        </w:rPr>
        <w:t>patikslinti</w:t>
      </w:r>
      <w:r w:rsidR="00241238" w:rsidRPr="0000728E">
        <w:rPr>
          <w:noProof/>
        </w:rPr>
        <w:t xml:space="preserve"> </w:t>
      </w:r>
      <w:r w:rsidR="004A3097" w:rsidRPr="009F4C55">
        <w:rPr>
          <w:noProof/>
        </w:rPr>
        <w:t xml:space="preserve">valstybės biudžeto </w:t>
      </w:r>
      <w:r w:rsidRPr="009F4C55">
        <w:rPr>
          <w:noProof/>
        </w:rPr>
        <w:t xml:space="preserve">asignavimai </w:t>
      </w:r>
      <w:r w:rsidR="00241238" w:rsidRPr="009F4C55">
        <w:rPr>
          <w:noProof/>
        </w:rPr>
        <w:t>(neįskaitan</w:t>
      </w:r>
      <w:r w:rsidR="004A3097" w:rsidRPr="009F4C55">
        <w:rPr>
          <w:noProof/>
        </w:rPr>
        <w:t>t</w:t>
      </w:r>
      <w:r w:rsidR="00241238" w:rsidRPr="009F4C55">
        <w:rPr>
          <w:noProof/>
        </w:rPr>
        <w:t xml:space="preserve"> skolintų ir Lietuvos Respublikos Vyriausybės rezervo lėšų</w:t>
      </w:r>
      <w:r w:rsidR="00241238" w:rsidRPr="006B35A2">
        <w:rPr>
          <w:noProof/>
        </w:rPr>
        <w:t>)</w:t>
      </w:r>
      <w:r w:rsidR="009F4C55" w:rsidRPr="006B35A2">
        <w:rPr>
          <w:noProof/>
        </w:rPr>
        <w:t xml:space="preserve"> </w:t>
      </w:r>
      <w:r w:rsidR="004403CE" w:rsidRPr="006B35A2">
        <w:rPr>
          <w:noProof/>
        </w:rPr>
        <w:t>–</w:t>
      </w:r>
      <w:r w:rsidRPr="006B35A2">
        <w:rPr>
          <w:noProof/>
        </w:rPr>
        <w:t xml:space="preserve"> </w:t>
      </w:r>
      <w:r w:rsidR="004403CE" w:rsidRPr="006B35A2">
        <w:rPr>
          <w:noProof/>
        </w:rPr>
        <w:t>777,6</w:t>
      </w:r>
      <w:r w:rsidR="00F86388" w:rsidRPr="006B35A2">
        <w:rPr>
          <w:noProof/>
        </w:rPr>
        <w:t xml:space="preserve"> </w:t>
      </w:r>
      <w:r w:rsidRPr="006B35A2">
        <w:rPr>
          <w:noProof/>
        </w:rPr>
        <w:t xml:space="preserve">tūkst. </w:t>
      </w:r>
      <w:r w:rsidR="00E63D07" w:rsidRPr="006B35A2">
        <w:rPr>
          <w:noProof/>
        </w:rPr>
        <w:t>eurų</w:t>
      </w:r>
      <w:r w:rsidR="009F4C55" w:rsidRPr="006B35A2">
        <w:rPr>
          <w:noProof/>
        </w:rPr>
        <w:t>.</w:t>
      </w:r>
      <w:r w:rsidRPr="006B35A2">
        <w:rPr>
          <w:noProof/>
        </w:rPr>
        <w:t xml:space="preserve"> Šiuo metu</w:t>
      </w:r>
      <w:r w:rsidR="00F86388" w:rsidRPr="006B35A2">
        <w:rPr>
          <w:noProof/>
        </w:rPr>
        <w:t xml:space="preserve"> yr</w:t>
      </w:r>
      <w:r w:rsidR="006B35A2">
        <w:rPr>
          <w:noProof/>
        </w:rPr>
        <w:t xml:space="preserve">a įsiskolinimas 106,0 tūkst. eurų. </w:t>
      </w:r>
    </w:p>
    <w:p w:rsidR="00DB3931" w:rsidRPr="00DB3931" w:rsidRDefault="00DB3931" w:rsidP="00DB3931">
      <w:pPr>
        <w:suppressAutoHyphens w:val="0"/>
        <w:ind w:firstLine="720"/>
        <w:jc w:val="both"/>
        <w:rPr>
          <w:noProof/>
          <w:color w:val="FF0000"/>
          <w:lang w:eastAsia="lt-LT"/>
        </w:rPr>
      </w:pPr>
      <w:r w:rsidRPr="00DB3931">
        <w:rPr>
          <w:noProof/>
          <w:lang w:eastAsia="lt-LT"/>
        </w:rPr>
        <w:t xml:space="preserve">2020 m. balandžio 21 d. sprendimu byloje Anželika Šimaitienė prieš Lietuvą (peticijos Nr. 36093/13)1 Europos Žmogaus Teisių Teismas nustatė Žmogaus teisių ir pagrindinių laisvių apsaugos konvencijos pirmojo protokolo 1 straipsnio (nuosavybės apsauga) pažeidimą ir priteisė </w:t>
      </w:r>
      <w:r w:rsidRPr="00DB3931">
        <w:rPr>
          <w:noProof/>
          <w:lang w:eastAsia="lt-LT"/>
        </w:rPr>
        <w:lastRenderedPageBreak/>
        <w:t xml:space="preserve">pareiškėjai teisingo atlyginimo kompensaciją - 94 370 </w:t>
      </w:r>
      <w:r>
        <w:rPr>
          <w:noProof/>
          <w:lang w:eastAsia="lt-LT"/>
        </w:rPr>
        <w:t>eurų</w:t>
      </w:r>
      <w:r w:rsidRPr="00DB3931">
        <w:rPr>
          <w:noProof/>
          <w:lang w:eastAsia="lt-LT"/>
        </w:rPr>
        <w:t xml:space="preserve"> turtinei žalai, 6 500 </w:t>
      </w:r>
      <w:r>
        <w:rPr>
          <w:noProof/>
          <w:lang w:eastAsia="lt-LT"/>
        </w:rPr>
        <w:t>eurų</w:t>
      </w:r>
      <w:r w:rsidRPr="00DB3931">
        <w:rPr>
          <w:noProof/>
          <w:lang w:eastAsia="lt-LT"/>
        </w:rPr>
        <w:t xml:space="preserve"> neturtinei žalai bei</w:t>
      </w:r>
      <w:r>
        <w:rPr>
          <w:noProof/>
          <w:lang w:eastAsia="lt-LT"/>
        </w:rPr>
        <w:t xml:space="preserve"> </w:t>
      </w:r>
      <w:r w:rsidRPr="00DB3931">
        <w:rPr>
          <w:noProof/>
          <w:lang w:eastAsia="lt-LT"/>
        </w:rPr>
        <w:t xml:space="preserve">5000 </w:t>
      </w:r>
      <w:r>
        <w:rPr>
          <w:noProof/>
          <w:lang w:eastAsia="lt-LT"/>
        </w:rPr>
        <w:t>eurų</w:t>
      </w:r>
      <w:r w:rsidRPr="00DB3931">
        <w:rPr>
          <w:noProof/>
          <w:lang w:eastAsia="lt-LT"/>
        </w:rPr>
        <w:t xml:space="preserve"> bylinėjimosi išlaidoms atlyginti. Minėtas Europos Žmogaus Teisių Teismo sprendimas tapo galutinis 2020 m. spalio 12 d. Kaip numatyta Europos Žmogaus Teisių Teismo sprendime, pareiškėjai Anželikai Šimaitienei 105 870 </w:t>
      </w:r>
      <w:r>
        <w:rPr>
          <w:noProof/>
          <w:lang w:eastAsia="lt-LT"/>
        </w:rPr>
        <w:t>eurų</w:t>
      </w:r>
      <w:r w:rsidRPr="00DB3931">
        <w:rPr>
          <w:noProof/>
          <w:lang w:eastAsia="lt-LT"/>
        </w:rPr>
        <w:t xml:space="preserve"> kompensacija turi būti sumokėta per tris mėnesius nuo sprendimo įsig</w:t>
      </w:r>
      <w:r w:rsidR="008D40A0">
        <w:rPr>
          <w:noProof/>
          <w:lang w:eastAsia="lt-LT"/>
        </w:rPr>
        <w:t>a</w:t>
      </w:r>
      <w:r w:rsidRPr="00DB3931">
        <w:rPr>
          <w:noProof/>
          <w:lang w:eastAsia="lt-LT"/>
        </w:rPr>
        <w:t>liojimo</w:t>
      </w:r>
      <w:r w:rsidR="008D40A0">
        <w:rPr>
          <w:noProof/>
          <w:lang w:eastAsia="lt-LT"/>
        </w:rPr>
        <w:t>.</w:t>
      </w:r>
      <w:r w:rsidRPr="00DB3931">
        <w:rPr>
          <w:noProof/>
          <w:lang w:eastAsia="lt-LT"/>
        </w:rPr>
        <w:t xml:space="preserve"> </w:t>
      </w:r>
    </w:p>
    <w:p w:rsidR="00746DCD" w:rsidRDefault="00746DCD" w:rsidP="00746DCD">
      <w:pPr>
        <w:ind w:firstLine="720"/>
        <w:jc w:val="both"/>
        <w:rPr>
          <w:szCs w:val="20"/>
        </w:rPr>
      </w:pPr>
      <w:r>
        <w:t xml:space="preserve">Pagal </w:t>
      </w:r>
      <w:r w:rsidRPr="009B365E">
        <w:t>Europos patentų konvencij</w:t>
      </w:r>
      <w:r>
        <w:t>os nuostatas</w:t>
      </w:r>
      <w:r w:rsidRPr="009B365E">
        <w:t xml:space="preserve"> </w:t>
      </w:r>
      <w:r>
        <w:t>Valstybinis patentų biuras</w:t>
      </w:r>
      <w:r w:rsidRPr="009B365E">
        <w:t xml:space="preserve"> </w:t>
      </w:r>
      <w:r>
        <w:t xml:space="preserve">(toliau – VPB) </w:t>
      </w:r>
      <w:r w:rsidRPr="009B365E">
        <w:t xml:space="preserve">apskaičiuoja metų mokesčius sumokėtus į valstybės biudžetą už Europos patentų galiojimą Lietuvos Respublikoje </w:t>
      </w:r>
      <w:r w:rsidRPr="009B365E">
        <w:rPr>
          <w:snapToGrid w:val="0"/>
          <w:color w:val="000000"/>
        </w:rPr>
        <w:t xml:space="preserve">ir, vykdydamas valstybės įsipareigojimą, </w:t>
      </w:r>
      <w:r w:rsidRPr="009B365E">
        <w:t xml:space="preserve">50% šių mokesčių </w:t>
      </w:r>
      <w:r w:rsidRPr="009B365E">
        <w:rPr>
          <w:snapToGrid w:val="0"/>
          <w:color w:val="000000"/>
        </w:rPr>
        <w:t>grąžina</w:t>
      </w:r>
      <w:r w:rsidRPr="009B365E">
        <w:t xml:space="preserve"> Europos patentų tarnybai.</w:t>
      </w:r>
      <w:r w:rsidRPr="00F03914">
        <w:t xml:space="preserve"> </w:t>
      </w:r>
      <w:r w:rsidRPr="00DC4CE2">
        <w:rPr>
          <w:color w:val="000000"/>
        </w:rPr>
        <w:t>Atsižvelgiant į tai, kad Lietuvoje kasmet įsigalioja vis daugiau Europos patentų ir metiniai galiojimo mokesčiai mokami nuo 3-ųjų iki 20-ųjų patento galiojimo metų, pareiškėjų įmoka į valstybės biudžetą kasmet didėja</w:t>
      </w:r>
      <w:r>
        <w:rPr>
          <w:color w:val="000000"/>
        </w:rPr>
        <w:t>. Dėl to r</w:t>
      </w:r>
      <w:r>
        <w:t>engiant 2020 m. valstybės biudžeto poreikį VPB prašė skirti šiem</w:t>
      </w:r>
      <w:r w:rsidR="006E2F3F">
        <w:t>s</w:t>
      </w:r>
      <w:r>
        <w:t xml:space="preserve"> mokesčiam</w:t>
      </w:r>
      <w:r w:rsidR="006E2F3F">
        <w:t>s</w:t>
      </w:r>
      <w:r>
        <w:t xml:space="preserve"> sumokėti 1200 tūkst. </w:t>
      </w:r>
      <w:r w:rsidR="006E2F3F">
        <w:t>eurų</w:t>
      </w:r>
      <w:r>
        <w:t>. Tačiau buvo skirta tik 950</w:t>
      </w:r>
      <w:r>
        <w:rPr>
          <w:szCs w:val="20"/>
        </w:rPr>
        <w:t xml:space="preserve"> tūkst. </w:t>
      </w:r>
      <w:r w:rsidR="006E2F3F">
        <w:rPr>
          <w:szCs w:val="20"/>
        </w:rPr>
        <w:t>eurų.</w:t>
      </w:r>
      <w:r>
        <w:rPr>
          <w:szCs w:val="20"/>
        </w:rPr>
        <w:t xml:space="preserve"> Per 2020 metus Europos patentų tarnybai jau pervesta 783,8 tūkst. </w:t>
      </w:r>
      <w:r w:rsidR="006E2F3F">
        <w:rPr>
          <w:szCs w:val="20"/>
        </w:rPr>
        <w:t>eurų</w:t>
      </w:r>
      <w:r>
        <w:rPr>
          <w:szCs w:val="20"/>
        </w:rPr>
        <w:t>. Už  2020 m. III k</w:t>
      </w:r>
      <w:r w:rsidR="006E2F3F">
        <w:rPr>
          <w:szCs w:val="20"/>
        </w:rPr>
        <w:t>e</w:t>
      </w:r>
      <w:r>
        <w:rPr>
          <w:szCs w:val="20"/>
        </w:rPr>
        <w:t>tv</w:t>
      </w:r>
      <w:r w:rsidR="006E2F3F">
        <w:rPr>
          <w:szCs w:val="20"/>
        </w:rPr>
        <w:t>irtį</w:t>
      </w:r>
      <w:r>
        <w:rPr>
          <w:szCs w:val="20"/>
        </w:rPr>
        <w:t xml:space="preserve"> mokėtina suma sudaro 283,4 tūkst. </w:t>
      </w:r>
      <w:r w:rsidR="006E2F3F">
        <w:rPr>
          <w:szCs w:val="20"/>
        </w:rPr>
        <w:t>eurų</w:t>
      </w:r>
      <w:r>
        <w:rPr>
          <w:szCs w:val="20"/>
        </w:rPr>
        <w:t xml:space="preserve">, o skirtų asignavimų likutis tik 166,2 tūkst. </w:t>
      </w:r>
      <w:r w:rsidR="006E2F3F">
        <w:rPr>
          <w:szCs w:val="20"/>
        </w:rPr>
        <w:t>eurų</w:t>
      </w:r>
      <w:r>
        <w:rPr>
          <w:szCs w:val="20"/>
        </w:rPr>
        <w:t xml:space="preserve"> </w:t>
      </w:r>
      <w:r w:rsidR="006E2F3F">
        <w:rPr>
          <w:szCs w:val="20"/>
        </w:rPr>
        <w:t xml:space="preserve">(atitinkamai trūkstama suma - 117,2 tūkst. eurų). </w:t>
      </w:r>
      <w:r>
        <w:rPr>
          <w:szCs w:val="20"/>
        </w:rPr>
        <w:t xml:space="preserve">Mokesčiai turi būti sumokėti iki 2020 m. spalio 31 d.  </w:t>
      </w:r>
      <w:r w:rsidR="006E2F3F">
        <w:rPr>
          <w:szCs w:val="20"/>
        </w:rPr>
        <w:t xml:space="preserve">Teisingumo ministerija įvertinusi ir tai, kad </w:t>
      </w:r>
      <w:r>
        <w:rPr>
          <w:szCs w:val="20"/>
        </w:rPr>
        <w:t>VPB</w:t>
      </w:r>
      <w:r w:rsidR="006E2F3F">
        <w:rPr>
          <w:szCs w:val="20"/>
        </w:rPr>
        <w:t xml:space="preserve"> </w:t>
      </w:r>
      <w:r>
        <w:rPr>
          <w:szCs w:val="20"/>
        </w:rPr>
        <w:t xml:space="preserve">iš dėl COVID-19 pandemijos sutaupytų </w:t>
      </w:r>
      <w:r w:rsidRPr="006E2F3F">
        <w:rPr>
          <w:szCs w:val="20"/>
        </w:rPr>
        <w:t>pajamų įmokų</w:t>
      </w:r>
      <w:r w:rsidR="006E2F3F">
        <w:rPr>
          <w:szCs w:val="20"/>
        </w:rPr>
        <w:t xml:space="preserve"> lėšų</w:t>
      </w:r>
      <w:r w:rsidRPr="006E2F3F">
        <w:rPr>
          <w:szCs w:val="20"/>
        </w:rPr>
        <w:t xml:space="preserve"> </w:t>
      </w:r>
      <w:r w:rsidR="006E2F3F" w:rsidRPr="006E2F3F">
        <w:rPr>
          <w:szCs w:val="20"/>
        </w:rPr>
        <w:t xml:space="preserve">dalį </w:t>
      </w:r>
      <w:r w:rsidRPr="006E2F3F">
        <w:t xml:space="preserve">Europos patentų galiojimo </w:t>
      </w:r>
      <w:r w:rsidRPr="006E2F3F">
        <w:rPr>
          <w:szCs w:val="20"/>
        </w:rPr>
        <w:t>mokesči</w:t>
      </w:r>
      <w:r w:rsidR="00E63D07">
        <w:rPr>
          <w:szCs w:val="20"/>
        </w:rPr>
        <w:t xml:space="preserve">ų </w:t>
      </w:r>
      <w:r w:rsidR="006E2F3F" w:rsidRPr="006E2F3F">
        <w:rPr>
          <w:szCs w:val="20"/>
        </w:rPr>
        <w:t>padengs, perskirstoma suma yra</w:t>
      </w:r>
      <w:r w:rsidR="006E2F3F">
        <w:rPr>
          <w:szCs w:val="20"/>
        </w:rPr>
        <w:t xml:space="preserve"> -</w:t>
      </w:r>
      <w:r w:rsidR="006E2F3F" w:rsidRPr="006E2F3F">
        <w:rPr>
          <w:szCs w:val="20"/>
        </w:rPr>
        <w:t xml:space="preserve"> </w:t>
      </w:r>
      <w:r w:rsidR="00D97593" w:rsidRPr="006E2F3F">
        <w:rPr>
          <w:szCs w:val="20"/>
        </w:rPr>
        <w:t xml:space="preserve"> 55 tūkst. eurų</w:t>
      </w:r>
      <w:r w:rsidR="006E2F3F" w:rsidRPr="006E2F3F">
        <w:rPr>
          <w:szCs w:val="20"/>
        </w:rPr>
        <w:t>.</w:t>
      </w:r>
    </w:p>
    <w:p w:rsidR="00662AC4" w:rsidRDefault="006452F1" w:rsidP="00746DCD">
      <w:pPr>
        <w:ind w:firstLine="720"/>
        <w:jc w:val="both"/>
        <w:rPr>
          <w:szCs w:val="20"/>
        </w:rPr>
      </w:pPr>
      <w:r>
        <w:rPr>
          <w:szCs w:val="20"/>
        </w:rPr>
        <w:t>Dar po 2018 m. Valstybinės mokesčių inspekcijos prie Lietuvos Respublikos finansų ministerijos</w:t>
      </w:r>
      <w:r w:rsidRPr="006452F1">
        <w:rPr>
          <w:szCs w:val="20"/>
        </w:rPr>
        <w:t xml:space="preserve"> </w:t>
      </w:r>
      <w:r>
        <w:rPr>
          <w:szCs w:val="20"/>
        </w:rPr>
        <w:t>Valstybės garantuojamos teisinės pagalbos tarnyboje (toliau – Tarnyba) atlikto mokestinio tyrimo Tarnyba valstybės biudžetui yra skolinga Gyventojų pajamų ir privalomojo sveikatos draudimo mokesčius</w:t>
      </w:r>
      <w:r w:rsidRPr="006452F1">
        <w:rPr>
          <w:szCs w:val="20"/>
        </w:rPr>
        <w:t xml:space="preserve"> </w:t>
      </w:r>
      <w:r>
        <w:rPr>
          <w:szCs w:val="20"/>
        </w:rPr>
        <w:t>– 29 tūkst. eurų.</w:t>
      </w:r>
    </w:p>
    <w:p w:rsidR="00401036" w:rsidRDefault="00147E6D" w:rsidP="00A56DDF">
      <w:pPr>
        <w:suppressAutoHyphens w:val="0"/>
        <w:ind w:firstLine="720"/>
        <w:jc w:val="both"/>
        <w:rPr>
          <w:lang w:eastAsia="en-US"/>
        </w:rPr>
      </w:pPr>
      <w:r>
        <w:rPr>
          <w:lang w:eastAsia="en-US"/>
        </w:rPr>
        <w:t xml:space="preserve">1. </w:t>
      </w:r>
      <w:r w:rsidR="009127B2" w:rsidRPr="009127B2">
        <w:rPr>
          <w:lang w:eastAsia="en-US"/>
        </w:rPr>
        <w:t>Vadovaudamasi Lietuvos Respublikos valstybės biudžeto ir savivaldybių biudžetų sudarymo ir vykdymo taisyklėmis, patvirtintomis Lietuvos Respublikos Vyriausybės 2001 m. gegužės 14 d. nutarimu Nr. 543</w:t>
      </w:r>
      <w:r w:rsidR="009127B2" w:rsidRPr="00A072A6">
        <w:rPr>
          <w:lang w:eastAsia="en-US"/>
        </w:rPr>
        <w:t xml:space="preserve"> </w:t>
      </w:r>
      <w:r w:rsidR="009127B2" w:rsidRPr="00A072A6">
        <w:t>„Dėl Lietuvos Respublikos valstybės biudžeto ir savivaldybių biudžetų sudarymo ir vykdymo taisyklių patvirtinimo“</w:t>
      </w:r>
      <w:r w:rsidR="009127B2" w:rsidRPr="009127B2">
        <w:rPr>
          <w:lang w:eastAsia="en-US"/>
        </w:rPr>
        <w:t>, Teisingumo ministerija prašo</w:t>
      </w:r>
      <w:r w:rsidR="00401036">
        <w:rPr>
          <w:lang w:eastAsia="en-US"/>
        </w:rPr>
        <w:t>:</w:t>
      </w:r>
    </w:p>
    <w:p w:rsidR="001705BF" w:rsidRDefault="001705BF" w:rsidP="00A56DDF">
      <w:pPr>
        <w:ind w:firstLine="709"/>
        <w:jc w:val="both"/>
        <w:rPr>
          <w:b/>
          <w:lang w:eastAsia="en-US"/>
        </w:rPr>
      </w:pPr>
      <w:r>
        <w:rPr>
          <w:b/>
          <w:lang w:eastAsia="en-US"/>
        </w:rPr>
        <w:t>p</w:t>
      </w:r>
      <w:r w:rsidR="009127B2" w:rsidRPr="009127B2">
        <w:rPr>
          <w:b/>
          <w:lang w:eastAsia="en-US"/>
        </w:rPr>
        <w:t>adidinti</w:t>
      </w:r>
      <w:r>
        <w:rPr>
          <w:b/>
          <w:lang w:eastAsia="en-US"/>
        </w:rPr>
        <w:t>:</w:t>
      </w:r>
    </w:p>
    <w:p w:rsidR="00401036" w:rsidRPr="008D40A0" w:rsidRDefault="009127B2" w:rsidP="00A56DDF">
      <w:pPr>
        <w:ind w:firstLine="709"/>
        <w:jc w:val="both"/>
        <w:rPr>
          <w:noProof/>
          <w:lang w:eastAsia="en-US"/>
        </w:rPr>
      </w:pPr>
      <w:r w:rsidRPr="008D40A0">
        <w:rPr>
          <w:lang w:eastAsia="en-US"/>
        </w:rPr>
        <w:t xml:space="preserve"> </w:t>
      </w:r>
      <w:r w:rsidR="001705BF" w:rsidRPr="008D40A0">
        <w:rPr>
          <w:lang w:eastAsia="en-US"/>
        </w:rPr>
        <w:t xml:space="preserve">- </w:t>
      </w:r>
      <w:r w:rsidRPr="008D40A0">
        <w:rPr>
          <w:lang w:eastAsia="en-US"/>
        </w:rPr>
        <w:t xml:space="preserve">programos </w:t>
      </w:r>
      <w:r w:rsidRPr="008D40A0">
        <w:rPr>
          <w:b/>
          <w:noProof/>
          <w:lang w:eastAsia="en-US"/>
        </w:rPr>
        <w:t>01 04 „Teisės sistema“</w:t>
      </w:r>
      <w:r w:rsidRPr="008D40A0">
        <w:rPr>
          <w:noProof/>
          <w:lang w:eastAsia="en-US"/>
        </w:rPr>
        <w:t xml:space="preserve"> (finansavimo šaltinis – 1.1.1.1.1.; išlaidų klasifikacija pagal valstybės funkcijas – 0</w:t>
      </w:r>
      <w:r w:rsidR="00BA5E02" w:rsidRPr="008D40A0">
        <w:rPr>
          <w:noProof/>
          <w:lang w:eastAsia="en-US"/>
        </w:rPr>
        <w:t>3</w:t>
      </w:r>
      <w:r w:rsidRPr="008D40A0">
        <w:rPr>
          <w:noProof/>
          <w:lang w:eastAsia="en-US"/>
        </w:rPr>
        <w:t>.0</w:t>
      </w:r>
      <w:r w:rsidR="00BA5E02" w:rsidRPr="008D40A0">
        <w:rPr>
          <w:noProof/>
          <w:lang w:eastAsia="en-US"/>
        </w:rPr>
        <w:t>3</w:t>
      </w:r>
      <w:r w:rsidRPr="008D40A0">
        <w:rPr>
          <w:noProof/>
          <w:lang w:eastAsia="en-US"/>
        </w:rPr>
        <w:t>.01.0</w:t>
      </w:r>
      <w:r w:rsidR="00BA5E02" w:rsidRPr="008D40A0">
        <w:rPr>
          <w:noProof/>
          <w:lang w:eastAsia="en-US"/>
        </w:rPr>
        <w:t>1</w:t>
      </w:r>
      <w:r w:rsidRPr="008D40A0">
        <w:rPr>
          <w:noProof/>
          <w:lang w:eastAsia="en-US"/>
        </w:rPr>
        <w:t xml:space="preserve">; ekonominis išlaidų straipsnis – </w:t>
      </w:r>
      <w:r w:rsidRPr="008D40A0">
        <w:t xml:space="preserve">2.2.1.1.1.30 „Kitų prekių ir paslaugų įsigijimo išlaidos“; </w:t>
      </w:r>
      <w:r w:rsidRPr="008D40A0">
        <w:rPr>
          <w:noProof/>
          <w:lang w:eastAsia="en-US"/>
        </w:rPr>
        <w:t xml:space="preserve">priemonė 01.04.01.03.02 „Pagal vykdytinus dokumentus atlyginti asmenims turtinę ir neturtinę žalą, atsiradusią dėl valdžios institucijų neteisėtų veiksmų, ir atstovauti Lietuvos Respublikos interesams tarptautiniuose arbitražo teismuose“) lėšas, skirtas išlaidoms – </w:t>
      </w:r>
      <w:r w:rsidR="00480DCF" w:rsidRPr="008D40A0">
        <w:rPr>
          <w:b/>
          <w:noProof/>
          <w:lang w:eastAsia="en-US"/>
        </w:rPr>
        <w:t>1</w:t>
      </w:r>
      <w:r w:rsidR="00DE0A48" w:rsidRPr="008D40A0">
        <w:rPr>
          <w:b/>
          <w:noProof/>
          <w:lang w:eastAsia="en-US"/>
        </w:rPr>
        <w:t>8</w:t>
      </w:r>
      <w:r w:rsidRPr="008D40A0">
        <w:rPr>
          <w:b/>
          <w:noProof/>
          <w:lang w:eastAsia="en-US"/>
        </w:rPr>
        <w:t xml:space="preserve"> </w:t>
      </w:r>
      <w:r w:rsidR="00E63D07" w:rsidRPr="008D40A0">
        <w:rPr>
          <w:b/>
          <w:noProof/>
          <w:lang w:eastAsia="en-US"/>
        </w:rPr>
        <w:t>tūkst.</w:t>
      </w:r>
      <w:r w:rsidRPr="008D40A0">
        <w:rPr>
          <w:b/>
          <w:noProof/>
          <w:lang w:eastAsia="en-US"/>
        </w:rPr>
        <w:t xml:space="preserve"> eurų</w:t>
      </w:r>
      <w:r w:rsidR="001705BF" w:rsidRPr="008D40A0">
        <w:rPr>
          <w:noProof/>
          <w:lang w:eastAsia="en-US"/>
        </w:rPr>
        <w:t>;</w:t>
      </w:r>
    </w:p>
    <w:p w:rsidR="00DE0A48" w:rsidRPr="008D40A0" w:rsidRDefault="00DE0A48" w:rsidP="00A56DDF">
      <w:pPr>
        <w:ind w:firstLine="709"/>
        <w:jc w:val="both"/>
        <w:rPr>
          <w:noProof/>
          <w:lang w:eastAsia="en-US"/>
        </w:rPr>
      </w:pPr>
      <w:r w:rsidRPr="008D40A0">
        <w:rPr>
          <w:lang w:eastAsia="en-US"/>
        </w:rPr>
        <w:t xml:space="preserve">- programos </w:t>
      </w:r>
      <w:r w:rsidRPr="008D40A0">
        <w:rPr>
          <w:b/>
          <w:noProof/>
          <w:lang w:eastAsia="en-US"/>
        </w:rPr>
        <w:t>02 01 „Paslaugos gyventojams ir verslui“</w:t>
      </w:r>
      <w:r w:rsidRPr="008D40A0">
        <w:rPr>
          <w:noProof/>
          <w:lang w:eastAsia="en-US"/>
        </w:rPr>
        <w:t xml:space="preserve"> (finansavimo šaltinis – 1.1.1.1.1.; išlaidų klasifikacija pagal valstybės funkcijas – 0</w:t>
      </w:r>
      <w:r w:rsidR="00BA5E02" w:rsidRPr="008D40A0">
        <w:rPr>
          <w:noProof/>
          <w:lang w:eastAsia="en-US"/>
        </w:rPr>
        <w:t>4</w:t>
      </w:r>
      <w:r w:rsidRPr="008D40A0">
        <w:rPr>
          <w:noProof/>
          <w:lang w:eastAsia="en-US"/>
        </w:rPr>
        <w:t>.0</w:t>
      </w:r>
      <w:r w:rsidR="00BA5E02" w:rsidRPr="008D40A0">
        <w:rPr>
          <w:noProof/>
          <w:lang w:eastAsia="en-US"/>
        </w:rPr>
        <w:t>1</w:t>
      </w:r>
      <w:r w:rsidRPr="008D40A0">
        <w:rPr>
          <w:noProof/>
          <w:lang w:eastAsia="en-US"/>
        </w:rPr>
        <w:t>.01.0</w:t>
      </w:r>
      <w:r w:rsidR="00557E35" w:rsidRPr="008D40A0">
        <w:rPr>
          <w:noProof/>
          <w:lang w:eastAsia="en-US"/>
        </w:rPr>
        <w:t>5</w:t>
      </w:r>
      <w:r w:rsidRPr="008D40A0">
        <w:rPr>
          <w:noProof/>
          <w:lang w:eastAsia="en-US"/>
        </w:rPr>
        <w:t xml:space="preserve">; ekonominis išlaidų straipsnis – </w:t>
      </w:r>
      <w:r w:rsidRPr="008D40A0">
        <w:t xml:space="preserve">2.2.1.1.1.30 „Kitų prekių ir paslaugų įsigijimo išlaidos“; </w:t>
      </w:r>
      <w:r w:rsidRPr="008D40A0">
        <w:rPr>
          <w:noProof/>
          <w:lang w:eastAsia="en-US"/>
        </w:rPr>
        <w:t xml:space="preserve">priemonė </w:t>
      </w:r>
      <w:r w:rsidR="00114875" w:rsidRPr="008D40A0">
        <w:t>02.01.02.01.04 „Vykdyti tarptautinių sutarčių ir ES teisės aktų pramoninės nuosavybės apsaugos srityje nuostatas dėl registravimo ir informavimo“</w:t>
      </w:r>
      <w:r w:rsidRPr="008D40A0">
        <w:rPr>
          <w:noProof/>
          <w:lang w:eastAsia="en-US"/>
        </w:rPr>
        <w:t xml:space="preserve">) lėšas, skirtas išlaidoms – </w:t>
      </w:r>
      <w:r w:rsidR="007D5E84" w:rsidRPr="008D40A0">
        <w:rPr>
          <w:b/>
          <w:noProof/>
          <w:lang w:eastAsia="en-US"/>
        </w:rPr>
        <w:t>55</w:t>
      </w:r>
      <w:r w:rsidRPr="008D40A0">
        <w:rPr>
          <w:b/>
          <w:noProof/>
          <w:lang w:eastAsia="en-US"/>
        </w:rPr>
        <w:t xml:space="preserve"> </w:t>
      </w:r>
      <w:r w:rsidR="00E63D07" w:rsidRPr="008D40A0">
        <w:rPr>
          <w:b/>
          <w:noProof/>
          <w:lang w:eastAsia="en-US"/>
        </w:rPr>
        <w:t>tūkst.</w:t>
      </w:r>
      <w:r w:rsidRPr="008D40A0">
        <w:rPr>
          <w:b/>
          <w:noProof/>
          <w:lang w:eastAsia="en-US"/>
        </w:rPr>
        <w:t xml:space="preserve"> eurų</w:t>
      </w:r>
      <w:r w:rsidRPr="008D40A0">
        <w:rPr>
          <w:noProof/>
          <w:lang w:eastAsia="en-US"/>
        </w:rPr>
        <w:t>;</w:t>
      </w:r>
    </w:p>
    <w:p w:rsidR="007D5E84" w:rsidRPr="008D40A0" w:rsidRDefault="007D5E84" w:rsidP="007D5E84">
      <w:pPr>
        <w:ind w:firstLine="709"/>
        <w:jc w:val="both"/>
        <w:rPr>
          <w:noProof/>
          <w:lang w:eastAsia="en-US"/>
        </w:rPr>
      </w:pPr>
      <w:r w:rsidRPr="008D40A0">
        <w:rPr>
          <w:lang w:eastAsia="en-US"/>
        </w:rPr>
        <w:t xml:space="preserve">- programos </w:t>
      </w:r>
      <w:r w:rsidRPr="008D40A0">
        <w:rPr>
          <w:b/>
          <w:noProof/>
          <w:lang w:eastAsia="en-US"/>
        </w:rPr>
        <w:t>02 07 „Paslaugos gerinti ginčų nagrinėjimą“</w:t>
      </w:r>
      <w:r w:rsidRPr="008D40A0">
        <w:rPr>
          <w:noProof/>
          <w:lang w:eastAsia="en-US"/>
        </w:rPr>
        <w:t xml:space="preserve"> (finansavimo šaltinis – 1.1.1.1.1.; išlaidų klasifikacija pagal valstybės funkcijas – 10.07.01.01; ekonominis išlaidų straipsnis – </w:t>
      </w:r>
      <w:r w:rsidRPr="008D40A0">
        <w:t xml:space="preserve">2.1.1.1.1.1 „Darbo užmokestis pinigais“; </w:t>
      </w:r>
      <w:r w:rsidRPr="008D40A0">
        <w:rPr>
          <w:noProof/>
          <w:lang w:eastAsia="en-US"/>
        </w:rPr>
        <w:t>priemonė 02.07.01.0</w:t>
      </w:r>
      <w:r w:rsidR="00582455">
        <w:rPr>
          <w:noProof/>
          <w:lang w:eastAsia="en-US"/>
        </w:rPr>
        <w:t>1</w:t>
      </w:r>
      <w:bookmarkStart w:id="0" w:name="_GoBack"/>
      <w:bookmarkEnd w:id="0"/>
      <w:r w:rsidRPr="008D40A0">
        <w:rPr>
          <w:noProof/>
          <w:lang w:eastAsia="en-US"/>
        </w:rPr>
        <w:t>.03 „</w:t>
      </w:r>
      <w:r w:rsidRPr="008D40A0">
        <w:t>Efektyviai administruoti paslaugas, palengvinančias asmenims pažeistų teisių gynimą</w:t>
      </w:r>
      <w:r w:rsidRPr="008D40A0">
        <w:rPr>
          <w:noProof/>
          <w:lang w:eastAsia="en-US"/>
        </w:rPr>
        <w:t xml:space="preserve">“) lėšas, skirtas išlaidoms; iš jų darbo užmokesčiui – </w:t>
      </w:r>
      <w:r w:rsidRPr="008D40A0">
        <w:rPr>
          <w:b/>
          <w:noProof/>
          <w:lang w:eastAsia="en-US"/>
        </w:rPr>
        <w:t xml:space="preserve">29 </w:t>
      </w:r>
      <w:r w:rsidR="00E63D07" w:rsidRPr="008D40A0">
        <w:rPr>
          <w:b/>
          <w:noProof/>
          <w:lang w:eastAsia="en-US"/>
        </w:rPr>
        <w:t>tūkst.</w:t>
      </w:r>
      <w:r w:rsidRPr="008D40A0">
        <w:rPr>
          <w:b/>
          <w:noProof/>
          <w:lang w:eastAsia="en-US"/>
        </w:rPr>
        <w:t xml:space="preserve"> eurų</w:t>
      </w:r>
      <w:r w:rsidRPr="008D40A0">
        <w:rPr>
          <w:noProof/>
          <w:lang w:eastAsia="en-US"/>
        </w:rPr>
        <w:t>;</w:t>
      </w:r>
    </w:p>
    <w:p w:rsidR="001705BF" w:rsidRPr="008D40A0" w:rsidRDefault="001705BF" w:rsidP="00A56DDF">
      <w:pPr>
        <w:ind w:firstLine="709"/>
        <w:jc w:val="both"/>
        <w:rPr>
          <w:b/>
          <w:lang w:eastAsia="en-US"/>
        </w:rPr>
      </w:pPr>
      <w:r w:rsidRPr="008D40A0">
        <w:rPr>
          <w:noProof/>
          <w:lang w:eastAsia="en-US"/>
        </w:rPr>
        <w:t xml:space="preserve">ir atitinkamai </w:t>
      </w:r>
      <w:r w:rsidR="009127B2" w:rsidRPr="008D40A0">
        <w:rPr>
          <w:b/>
          <w:lang w:eastAsia="en-US"/>
        </w:rPr>
        <w:t>sumažin</w:t>
      </w:r>
      <w:r w:rsidR="00401036" w:rsidRPr="008D40A0">
        <w:rPr>
          <w:b/>
          <w:lang w:eastAsia="en-US"/>
        </w:rPr>
        <w:t>ti</w:t>
      </w:r>
      <w:r w:rsidRPr="008D40A0">
        <w:rPr>
          <w:b/>
          <w:lang w:eastAsia="en-US"/>
        </w:rPr>
        <w:t>:</w:t>
      </w:r>
    </w:p>
    <w:p w:rsidR="004000AE" w:rsidRPr="008D40A0" w:rsidRDefault="004000AE" w:rsidP="004000AE">
      <w:pPr>
        <w:ind w:firstLine="709"/>
        <w:jc w:val="both"/>
        <w:rPr>
          <w:noProof/>
          <w:lang w:eastAsia="en-US"/>
        </w:rPr>
      </w:pPr>
      <w:r w:rsidRPr="008D40A0">
        <w:rPr>
          <w:lang w:eastAsia="en-US"/>
        </w:rPr>
        <w:t xml:space="preserve">- programos </w:t>
      </w:r>
      <w:r w:rsidRPr="008D40A0">
        <w:rPr>
          <w:b/>
          <w:noProof/>
          <w:lang w:eastAsia="en-US"/>
        </w:rPr>
        <w:t>01 04 „Teisės sistema“</w:t>
      </w:r>
      <w:r w:rsidRPr="008D40A0">
        <w:rPr>
          <w:noProof/>
          <w:lang w:eastAsia="en-US"/>
        </w:rPr>
        <w:t xml:space="preserve"> (finansavimo šaltinis – 1.1.1.1.1.; išlaidų klasifikacija pagal valstybės funkcijas – 03.06.01.09; ekonominis išlaidų straipsnis – </w:t>
      </w:r>
      <w:r w:rsidRPr="008D40A0">
        <w:t xml:space="preserve">2.1.1.1.1.1 „Darbo užmokestis pinigais“; </w:t>
      </w:r>
      <w:r w:rsidRPr="008D40A0">
        <w:rPr>
          <w:noProof/>
          <w:lang w:eastAsia="en-US"/>
        </w:rPr>
        <w:t xml:space="preserve">priemonė 01.04.04.01.01 „Organizuoti veiklą ir vykdyti veiklos planavimą, stebėseną bei kontrolę“) lėšas, skirtas išlaidoms; iš jų darbo užmokesčiui – </w:t>
      </w:r>
      <w:r w:rsidRPr="008D40A0">
        <w:rPr>
          <w:b/>
          <w:noProof/>
          <w:lang w:eastAsia="en-US"/>
        </w:rPr>
        <w:t xml:space="preserve">29 </w:t>
      </w:r>
      <w:r w:rsidR="00E63D07" w:rsidRPr="008D40A0">
        <w:rPr>
          <w:b/>
          <w:noProof/>
          <w:lang w:eastAsia="en-US"/>
        </w:rPr>
        <w:t>tūkst.</w:t>
      </w:r>
      <w:r w:rsidRPr="008D40A0">
        <w:rPr>
          <w:b/>
          <w:noProof/>
          <w:lang w:eastAsia="en-US"/>
        </w:rPr>
        <w:t xml:space="preserve"> eurų</w:t>
      </w:r>
      <w:r w:rsidRPr="008D40A0">
        <w:rPr>
          <w:noProof/>
          <w:lang w:eastAsia="en-US"/>
        </w:rPr>
        <w:t>;</w:t>
      </w:r>
    </w:p>
    <w:p w:rsidR="006752CB" w:rsidRPr="008D40A0" w:rsidRDefault="006752CB" w:rsidP="00A56DDF">
      <w:pPr>
        <w:ind w:firstLine="709"/>
        <w:jc w:val="both"/>
        <w:rPr>
          <w:b/>
          <w:lang w:eastAsia="lt-LT"/>
        </w:rPr>
      </w:pPr>
      <w:r w:rsidRPr="008D40A0">
        <w:rPr>
          <w:b/>
          <w:lang w:eastAsia="en-US"/>
        </w:rPr>
        <w:t>-</w:t>
      </w:r>
      <w:r w:rsidRPr="008D40A0">
        <w:rPr>
          <w:lang w:eastAsia="en-US"/>
        </w:rPr>
        <w:t xml:space="preserve"> </w:t>
      </w:r>
      <w:r w:rsidRPr="008D40A0">
        <w:t xml:space="preserve">programos </w:t>
      </w:r>
      <w:r w:rsidRPr="008D40A0">
        <w:rPr>
          <w:b/>
        </w:rPr>
        <w:t xml:space="preserve">03 01 „Bausmių sistema“ </w:t>
      </w:r>
      <w:r w:rsidRPr="008D40A0">
        <w:t>(</w:t>
      </w:r>
      <w:r w:rsidRPr="008D40A0">
        <w:rPr>
          <w:noProof/>
          <w:lang w:eastAsia="en-US"/>
        </w:rPr>
        <w:t xml:space="preserve">finansavimo šaltinis – 1.1.1.1.1.; išlaidų klasifikacija pagal valstybės funkcijas – 03.03.01.01; ekonominis išlaidų straipsnis – </w:t>
      </w:r>
      <w:r w:rsidRPr="008D40A0">
        <w:t xml:space="preserve">2.2.1.1.1.30 </w:t>
      </w:r>
      <w:r w:rsidRPr="008D40A0">
        <w:lastRenderedPageBreak/>
        <w:t xml:space="preserve">„Kitų prekių ir paslaugų įsigijimo išlaidos“; </w:t>
      </w:r>
      <w:r w:rsidRPr="008D40A0">
        <w:rPr>
          <w:noProof/>
          <w:lang w:eastAsia="en-US"/>
        </w:rPr>
        <w:t>priemonė</w:t>
      </w:r>
      <w:r w:rsidR="004000AE" w:rsidRPr="008D40A0">
        <w:rPr>
          <w:noProof/>
          <w:lang w:eastAsia="en-US"/>
        </w:rPr>
        <w:t xml:space="preserve"> 02.01.01.03.09</w:t>
      </w:r>
      <w:r w:rsidRPr="008D40A0">
        <w:rPr>
          <w:noProof/>
          <w:lang w:eastAsia="en-US"/>
        </w:rPr>
        <w:t xml:space="preserve"> „Pagal vykdytinus dokumentus atlyginti žalą dėl netinkamų kalinimo sąlygų“</w:t>
      </w:r>
      <w:r w:rsidRPr="008D40A0">
        <w:rPr>
          <w:lang w:eastAsia="lt-LT"/>
        </w:rPr>
        <w:t xml:space="preserve"> lėšas, skirtas išlaidoms – </w:t>
      </w:r>
      <w:r w:rsidR="007D5E84" w:rsidRPr="008D40A0">
        <w:rPr>
          <w:b/>
          <w:lang w:eastAsia="lt-LT"/>
        </w:rPr>
        <w:t>18</w:t>
      </w:r>
      <w:r w:rsidRPr="008D40A0">
        <w:rPr>
          <w:b/>
          <w:lang w:eastAsia="lt-LT"/>
        </w:rPr>
        <w:t> </w:t>
      </w:r>
      <w:r w:rsidR="00E63D07" w:rsidRPr="008D40A0">
        <w:rPr>
          <w:b/>
          <w:lang w:eastAsia="lt-LT"/>
        </w:rPr>
        <w:t>tūkst.</w:t>
      </w:r>
      <w:r w:rsidRPr="008D40A0">
        <w:rPr>
          <w:b/>
          <w:lang w:eastAsia="lt-LT"/>
        </w:rPr>
        <w:t xml:space="preserve"> eurų</w:t>
      </w:r>
      <w:r w:rsidR="007D5E84" w:rsidRPr="008D40A0">
        <w:rPr>
          <w:b/>
          <w:lang w:eastAsia="lt-LT"/>
        </w:rPr>
        <w:t>;</w:t>
      </w:r>
    </w:p>
    <w:p w:rsidR="007D5E84" w:rsidRPr="008D40A0" w:rsidRDefault="007D5E84" w:rsidP="007D5E84">
      <w:pPr>
        <w:ind w:firstLine="709"/>
        <w:jc w:val="both"/>
        <w:rPr>
          <w:b/>
          <w:lang w:eastAsia="lt-LT"/>
        </w:rPr>
      </w:pPr>
      <w:r w:rsidRPr="008D40A0">
        <w:rPr>
          <w:b/>
          <w:lang w:eastAsia="en-US"/>
        </w:rPr>
        <w:t>-</w:t>
      </w:r>
      <w:r w:rsidRPr="008D40A0">
        <w:rPr>
          <w:lang w:eastAsia="en-US"/>
        </w:rPr>
        <w:t xml:space="preserve"> </w:t>
      </w:r>
      <w:r w:rsidRPr="008D40A0">
        <w:t xml:space="preserve">programos </w:t>
      </w:r>
      <w:r w:rsidRPr="008D40A0">
        <w:rPr>
          <w:b/>
        </w:rPr>
        <w:t xml:space="preserve">03 01 „Bausmių sistema“ </w:t>
      </w:r>
      <w:r w:rsidRPr="008D40A0">
        <w:t>(</w:t>
      </w:r>
      <w:r w:rsidRPr="008D40A0">
        <w:rPr>
          <w:noProof/>
          <w:lang w:eastAsia="en-US"/>
        </w:rPr>
        <w:t xml:space="preserve">finansavimo šaltinis – 1.1.1.1.1.; išlaidų klasifikacija pagal valstybės funkcijas – 03.03.01.01; ekonominis išlaidų straipsnis – </w:t>
      </w:r>
      <w:r w:rsidRPr="008D40A0">
        <w:t xml:space="preserve">2.2.1.1.1.30 „Kitų prekių ir paslaugų įsigijimo išlaidos“; </w:t>
      </w:r>
      <w:r w:rsidRPr="008D40A0">
        <w:rPr>
          <w:noProof/>
          <w:lang w:eastAsia="en-US"/>
        </w:rPr>
        <w:t>priemonė</w:t>
      </w:r>
      <w:r w:rsidR="004000AE" w:rsidRPr="008D40A0">
        <w:rPr>
          <w:noProof/>
          <w:lang w:eastAsia="en-US"/>
        </w:rPr>
        <w:t xml:space="preserve"> 03.01.02.01.01 </w:t>
      </w:r>
      <w:r w:rsidRPr="008D40A0">
        <w:rPr>
          <w:noProof/>
          <w:lang w:eastAsia="en-US"/>
        </w:rPr>
        <w:t>„</w:t>
      </w:r>
      <w:r w:rsidR="004000AE" w:rsidRPr="008D40A0">
        <w:rPr>
          <w:noProof/>
          <w:lang w:eastAsia="en-US"/>
        </w:rPr>
        <w:t>Kompensuoti smurtiniais nusikaltimais padarytą žalą</w:t>
      </w:r>
      <w:r w:rsidRPr="008D40A0">
        <w:rPr>
          <w:noProof/>
          <w:lang w:eastAsia="en-US"/>
        </w:rPr>
        <w:t>“</w:t>
      </w:r>
      <w:r w:rsidRPr="008D40A0">
        <w:rPr>
          <w:lang w:eastAsia="lt-LT"/>
        </w:rPr>
        <w:t xml:space="preserve"> lėšas, skirtas išlaidoms – </w:t>
      </w:r>
      <w:r w:rsidR="004000AE" w:rsidRPr="008D40A0">
        <w:rPr>
          <w:b/>
          <w:lang w:eastAsia="lt-LT"/>
        </w:rPr>
        <w:t>55</w:t>
      </w:r>
      <w:r w:rsidRPr="008D40A0">
        <w:rPr>
          <w:b/>
          <w:lang w:eastAsia="lt-LT"/>
        </w:rPr>
        <w:t> </w:t>
      </w:r>
      <w:r w:rsidR="00E63D07" w:rsidRPr="008D40A0">
        <w:rPr>
          <w:b/>
          <w:lang w:eastAsia="lt-LT"/>
        </w:rPr>
        <w:t>tūkst.</w:t>
      </w:r>
      <w:r w:rsidRPr="008D40A0">
        <w:rPr>
          <w:b/>
          <w:lang w:eastAsia="lt-LT"/>
        </w:rPr>
        <w:t xml:space="preserve"> eurų</w:t>
      </w:r>
      <w:r w:rsidR="004000AE" w:rsidRPr="008D40A0">
        <w:rPr>
          <w:b/>
          <w:lang w:eastAsia="lt-LT"/>
        </w:rPr>
        <w:t>.</w:t>
      </w:r>
    </w:p>
    <w:p w:rsidR="00646548" w:rsidRPr="00646548" w:rsidRDefault="00147E6D" w:rsidP="008E50A5">
      <w:pPr>
        <w:suppressAutoHyphens w:val="0"/>
        <w:ind w:firstLine="709"/>
        <w:jc w:val="both"/>
        <w:rPr>
          <w:noProof/>
          <w:lang w:eastAsia="en-US"/>
        </w:rPr>
      </w:pPr>
      <w:r>
        <w:rPr>
          <w:noProof/>
          <w:lang w:eastAsia="en-US"/>
        </w:rPr>
        <w:t>2. Taip pat, v</w:t>
      </w:r>
      <w:r w:rsidR="00646548">
        <w:rPr>
          <w:noProof/>
          <w:lang w:eastAsia="en-US"/>
        </w:rPr>
        <w:t xml:space="preserve">adovaudamasi Lietuvos Respublikos valstybės biudžeto ir savivaldybių biudžetų sudarymo ir vykdymo taisyklėmis, patvirtintomis Lietuvos Respublikos Vyriausybės 2001 m. gegužės 14 d. nutarimu Nr. 543 „Dėl Lietuvos Respublikos valstybės biudžeto ir savivaldybių biudžetų sudarymo ir vykdymo taisyklių patvirtinimo“ Teisingumo ministerija prašo patikslinti 2020 metų Lietuvos Respublikos valstybės biudžeto asignavimus programoje 02 </w:t>
      </w:r>
      <w:r w:rsidR="00646548" w:rsidRPr="00646548">
        <w:rPr>
          <w:noProof/>
          <w:lang w:eastAsia="en-US"/>
        </w:rPr>
        <w:t>07 „Paslaugos gerinti ginčų nagrinėjimą“, nekeičiant bendros programai 2020 m. patvirtintos asignavimų sumos.</w:t>
      </w:r>
    </w:p>
    <w:p w:rsidR="001C76DA" w:rsidRDefault="00662AC4" w:rsidP="00662AC4">
      <w:pPr>
        <w:ind w:firstLine="709"/>
        <w:jc w:val="both"/>
        <w:rPr>
          <w:noProof/>
          <w:lang w:eastAsia="en-US"/>
        </w:rPr>
      </w:pPr>
      <w:r>
        <w:rPr>
          <w:noProof/>
          <w:lang w:eastAsia="en-US"/>
        </w:rPr>
        <w:t xml:space="preserve">Atsižvelgiant į tai, kad </w:t>
      </w:r>
      <w:r w:rsidR="00ED2FD5">
        <w:rPr>
          <w:noProof/>
          <w:lang w:eastAsia="en-US"/>
        </w:rPr>
        <w:t xml:space="preserve">Lietuvos teismo ekspertizės centrui (toliau – LTEC) ekspertinių tyrimų vykdymo užtikrinimui būtina atnaujinti nusidėvėjusią ir nuolat gendančią įrangą, </w:t>
      </w:r>
      <w:r w:rsidR="00114875">
        <w:rPr>
          <w:noProof/>
          <w:lang w:eastAsia="en-US"/>
        </w:rPr>
        <w:t xml:space="preserve">o tuo tarpu Valstybės garantuojamos teisinės pagalbos tarnybos vykdomoje </w:t>
      </w:r>
      <w:r w:rsidR="00114875" w:rsidRPr="001705BF">
        <w:rPr>
          <w:lang w:eastAsia="en-US"/>
        </w:rPr>
        <w:t>priemonė</w:t>
      </w:r>
      <w:r w:rsidR="00114875">
        <w:rPr>
          <w:lang w:eastAsia="en-US"/>
        </w:rPr>
        <w:t xml:space="preserve">je </w:t>
      </w:r>
      <w:r w:rsidR="00114875" w:rsidRPr="001705BF">
        <w:rPr>
          <w:lang w:eastAsia="en-US"/>
        </w:rPr>
        <w:t>„Sumokėti užmokestį už antrinės teisinės pagalbos teikimą, koordinavimą</w:t>
      </w:r>
      <w:r w:rsidR="00114875" w:rsidRPr="001705BF">
        <w:rPr>
          <w:rFonts w:ascii="Arial" w:hAnsi="Arial" w:cs="Arial"/>
          <w:color w:val="000000"/>
          <w:lang w:eastAsia="en-US"/>
        </w:rPr>
        <w:t xml:space="preserve"> </w:t>
      </w:r>
      <w:r w:rsidR="00114875" w:rsidRPr="001705BF">
        <w:rPr>
          <w:color w:val="000000"/>
          <w:lang w:eastAsia="en-US"/>
        </w:rPr>
        <w:t xml:space="preserve">ir </w:t>
      </w:r>
      <w:r w:rsidR="00114875" w:rsidRPr="001705BF">
        <w:rPr>
          <w:bCs/>
          <w:color w:val="000000"/>
          <w:lang w:eastAsia="en-US"/>
        </w:rPr>
        <w:t>valstybės užtikrinamą neteisminį taikinamąjį tarpininkavimą</w:t>
      </w:r>
      <w:r w:rsidR="00114875" w:rsidRPr="001705BF">
        <w:rPr>
          <w:lang w:eastAsia="en-US"/>
        </w:rPr>
        <w:t xml:space="preserve"> (įskaitant advokatų, nuolat teikiančių antrinę valstybės garantuojamą teisinę pagalbą, išlaikymo išlaidas) ir atlyginti kitas antrinės teisinės pagalbos išlaidas”</w:t>
      </w:r>
      <w:r w:rsidR="008D40A0">
        <w:rPr>
          <w:lang w:eastAsia="en-US"/>
        </w:rPr>
        <w:t xml:space="preserve"> dėl</w:t>
      </w:r>
      <w:r w:rsidR="008D40A0" w:rsidRPr="008D40A0">
        <w:rPr>
          <w:lang w:eastAsia="lt-LT"/>
        </w:rPr>
        <w:t xml:space="preserve"> </w:t>
      </w:r>
      <w:r w:rsidR="008D40A0">
        <w:rPr>
          <w:lang w:eastAsia="lt-LT"/>
        </w:rPr>
        <w:t>COVID-19 pandemijos laikotarpio</w:t>
      </w:r>
      <w:r w:rsidR="00114875">
        <w:rPr>
          <w:lang w:eastAsia="en-US"/>
        </w:rPr>
        <w:t xml:space="preserve"> susidarius lėšų ekonomijai, </w:t>
      </w:r>
      <w:r w:rsidR="00ED2FD5">
        <w:rPr>
          <w:noProof/>
          <w:lang w:eastAsia="en-US"/>
        </w:rPr>
        <w:t>LTEC būtina skirti papildomus biudžeto asignavimus turtui įsigyti.</w:t>
      </w:r>
    </w:p>
    <w:p w:rsidR="001C76DA" w:rsidRDefault="00ED2FD5" w:rsidP="00662AC4">
      <w:pPr>
        <w:ind w:firstLine="709"/>
        <w:jc w:val="both"/>
        <w:rPr>
          <w:noProof/>
          <w:lang w:eastAsia="en-US"/>
        </w:rPr>
      </w:pPr>
      <w:r>
        <w:rPr>
          <w:noProof/>
          <w:lang w:eastAsia="en-US"/>
        </w:rPr>
        <w:t>LTEC planuoja</w:t>
      </w:r>
      <w:r w:rsidR="001C76DA">
        <w:rPr>
          <w:noProof/>
          <w:lang w:eastAsia="en-US"/>
        </w:rPr>
        <w:t>mas</w:t>
      </w:r>
      <w:r>
        <w:rPr>
          <w:noProof/>
          <w:lang w:eastAsia="en-US"/>
        </w:rPr>
        <w:t xml:space="preserve"> įsigyti</w:t>
      </w:r>
      <w:r w:rsidR="001C76DA">
        <w:rPr>
          <w:noProof/>
          <w:lang w:eastAsia="en-US"/>
        </w:rPr>
        <w:t xml:space="preserve"> ilgalaikis turtas:</w:t>
      </w:r>
    </w:p>
    <w:p w:rsidR="00662AC4" w:rsidRDefault="001C76DA" w:rsidP="00662AC4">
      <w:pPr>
        <w:ind w:firstLine="709"/>
        <w:jc w:val="both"/>
        <w:rPr>
          <w:noProof/>
          <w:lang w:eastAsia="en-US"/>
        </w:rPr>
      </w:pPr>
      <w:r>
        <w:rPr>
          <w:noProof/>
          <w:lang w:eastAsia="en-US"/>
        </w:rPr>
        <w:t>-</w:t>
      </w:r>
      <w:r w:rsidR="00ED2FD5">
        <w:rPr>
          <w:noProof/>
          <w:lang w:eastAsia="en-US"/>
        </w:rPr>
        <w:t xml:space="preserve"> </w:t>
      </w:r>
      <w:r>
        <w:rPr>
          <w:noProof/>
          <w:lang w:eastAsia="en-US"/>
        </w:rPr>
        <w:t>D</w:t>
      </w:r>
      <w:r w:rsidR="00ED2FD5">
        <w:rPr>
          <w:noProof/>
          <w:lang w:eastAsia="en-US"/>
        </w:rPr>
        <w:t>ujų chromatograf</w:t>
      </w:r>
      <w:r>
        <w:rPr>
          <w:noProof/>
          <w:lang w:eastAsia="en-US"/>
        </w:rPr>
        <w:t>as</w:t>
      </w:r>
      <w:r w:rsidR="00ED2FD5">
        <w:rPr>
          <w:noProof/>
          <w:lang w:eastAsia="en-US"/>
        </w:rPr>
        <w:t xml:space="preserve"> su masių spektrometriniu detektoriumi (sistema GC-MS)</w:t>
      </w:r>
      <w:r>
        <w:rPr>
          <w:noProof/>
          <w:lang w:eastAsia="en-US"/>
        </w:rPr>
        <w:t>, kuris yra pagrindinis analizės prietaisas naudojamas atliekant vaistinių ir nevaistinių preparatų, naftos produktų, dopingo, narkotinių ir psichotropinių medžiagų tyrimus;</w:t>
      </w:r>
    </w:p>
    <w:p w:rsidR="001C76DA" w:rsidRDefault="001C76DA" w:rsidP="00662AC4">
      <w:pPr>
        <w:ind w:firstLine="709"/>
        <w:jc w:val="both"/>
        <w:rPr>
          <w:noProof/>
          <w:lang w:eastAsia="en-US"/>
        </w:rPr>
      </w:pPr>
      <w:r>
        <w:rPr>
          <w:noProof/>
          <w:lang w:eastAsia="en-US"/>
        </w:rPr>
        <w:t>- Fonoskopinių tyrimų ekspertų kompiuterinės darbo vietos su specializuota programine įranga, reikalingos užtikrinti kokybiškus garso įrašų, užfiksuotų naujausiomis garso fiksavimo technologijomis, ekspertinius tyrimus, bei siekiant patenkti išaugusį užsakovų poreikį atlikti ypatingos skubos ir skubius tyrimus bylose.</w:t>
      </w:r>
    </w:p>
    <w:p w:rsidR="00FA342B" w:rsidRPr="00147E6D" w:rsidRDefault="008D40A0" w:rsidP="00662AC4">
      <w:pPr>
        <w:ind w:firstLine="709"/>
        <w:jc w:val="both"/>
        <w:rPr>
          <w:noProof/>
          <w:lang w:eastAsia="en-US"/>
        </w:rPr>
      </w:pPr>
      <w:r w:rsidRPr="00147E6D">
        <w:rPr>
          <w:noProof/>
          <w:lang w:eastAsia="en-US"/>
        </w:rPr>
        <w:t>Atsižvelgiant į tai, p</w:t>
      </w:r>
      <w:r w:rsidR="00FA342B" w:rsidRPr="00147E6D">
        <w:rPr>
          <w:noProof/>
          <w:lang w:eastAsia="en-US"/>
        </w:rPr>
        <w:t>rašome sumažinti priemonės</w:t>
      </w:r>
      <w:r w:rsidR="00FA342B" w:rsidRPr="00147E6D">
        <w:rPr>
          <w:lang w:eastAsia="en-US"/>
        </w:rPr>
        <w:t xml:space="preserve"> 02.007.01.01.02 „Sumokėti užmokestį už antrinės teisinės pagalbos teikimą, koordinavimą</w:t>
      </w:r>
      <w:r w:rsidR="00FA342B" w:rsidRPr="00147E6D">
        <w:rPr>
          <w:rFonts w:ascii="Arial" w:hAnsi="Arial" w:cs="Arial"/>
          <w:lang w:eastAsia="en-US"/>
        </w:rPr>
        <w:t xml:space="preserve"> </w:t>
      </w:r>
      <w:r w:rsidR="00FA342B" w:rsidRPr="00147E6D">
        <w:rPr>
          <w:lang w:eastAsia="en-US"/>
        </w:rPr>
        <w:t xml:space="preserve">ir </w:t>
      </w:r>
      <w:r w:rsidR="00FA342B" w:rsidRPr="00147E6D">
        <w:rPr>
          <w:bCs/>
          <w:lang w:eastAsia="en-US"/>
        </w:rPr>
        <w:t>valstybės užtikrinamą neteisminį taikinamąjį tarpininkavimą</w:t>
      </w:r>
      <w:r w:rsidR="00FA342B" w:rsidRPr="00147E6D">
        <w:rPr>
          <w:lang w:eastAsia="en-US"/>
        </w:rPr>
        <w:t xml:space="preserve"> (įskaitant advokatų, nuolat teikiančių antrinę valstybės garantuojamą teisinę pagalbą, išlaikymo išlaidas) ir atlyginti kitas antrinės teisinės pagalbos išlaidas“ (finansavimo šaltinis 1.1.1.1.1; </w:t>
      </w:r>
      <w:r w:rsidR="00FA342B" w:rsidRPr="00147E6D">
        <w:rPr>
          <w:noProof/>
          <w:lang w:eastAsia="en-US"/>
        </w:rPr>
        <w:t xml:space="preserve">išlaidų klasifikacija pagal valstybės funkcijas – </w:t>
      </w:r>
      <w:r w:rsidR="00FA342B" w:rsidRPr="00147E6D">
        <w:rPr>
          <w:lang w:eastAsia="en-US"/>
        </w:rPr>
        <w:t xml:space="preserve">10.07.01.01; </w:t>
      </w:r>
      <w:r w:rsidR="00FA342B" w:rsidRPr="00147E6D">
        <w:rPr>
          <w:noProof/>
          <w:lang w:eastAsia="en-US"/>
        </w:rPr>
        <w:t xml:space="preserve">ekonominis išlaidų straipsnis – </w:t>
      </w:r>
      <w:r w:rsidR="00FA342B" w:rsidRPr="00147E6D">
        <w:t>2.2.1.1.1.30 „Kitų prekių ir paslaugų įsigijimo išlaidos“)</w:t>
      </w:r>
      <w:r w:rsidR="00FA342B" w:rsidRPr="00147E6D">
        <w:rPr>
          <w:lang w:eastAsia="en-US"/>
        </w:rPr>
        <w:t xml:space="preserve"> lėšas, skirtas išlaidoms - </w:t>
      </w:r>
      <w:r w:rsidR="00FA342B" w:rsidRPr="00147E6D">
        <w:rPr>
          <w:b/>
          <w:noProof/>
          <w:lang w:eastAsia="en-US"/>
        </w:rPr>
        <w:t xml:space="preserve">210 </w:t>
      </w:r>
      <w:r w:rsidR="00E63D07" w:rsidRPr="00147E6D">
        <w:rPr>
          <w:b/>
          <w:noProof/>
          <w:lang w:eastAsia="en-US"/>
        </w:rPr>
        <w:t>tūkst.</w:t>
      </w:r>
      <w:r w:rsidR="00FA342B" w:rsidRPr="00147E6D">
        <w:rPr>
          <w:b/>
          <w:noProof/>
          <w:lang w:eastAsia="en-US"/>
        </w:rPr>
        <w:t xml:space="preserve"> eurų </w:t>
      </w:r>
      <w:r w:rsidR="00FA342B" w:rsidRPr="00147E6D">
        <w:rPr>
          <w:noProof/>
          <w:lang w:eastAsia="en-US"/>
        </w:rPr>
        <w:t xml:space="preserve">ir atitinkamai </w:t>
      </w:r>
      <w:r w:rsidR="00FA342B" w:rsidRPr="00147E6D">
        <w:rPr>
          <w:b/>
          <w:noProof/>
          <w:lang w:eastAsia="en-US"/>
        </w:rPr>
        <w:t xml:space="preserve">padidinti </w:t>
      </w:r>
      <w:r w:rsidR="00FA342B" w:rsidRPr="00147E6D">
        <w:rPr>
          <w:noProof/>
          <w:lang w:eastAsia="en-US"/>
        </w:rPr>
        <w:t>priemonės 02.07.02.01.01</w:t>
      </w:r>
      <w:r w:rsidR="00662AC4" w:rsidRPr="00147E6D">
        <w:rPr>
          <w:noProof/>
          <w:lang w:eastAsia="en-US"/>
        </w:rPr>
        <w:t xml:space="preserve"> </w:t>
      </w:r>
      <w:r w:rsidR="00FA342B" w:rsidRPr="00147E6D">
        <w:rPr>
          <w:noProof/>
          <w:lang w:eastAsia="en-US"/>
        </w:rPr>
        <w:t>„</w:t>
      </w:r>
      <w:r w:rsidR="00FA342B" w:rsidRPr="00147E6D">
        <w:t>Atlikti teismo ekspertizes (tyrimus), taikant naujausius mokslo pasiekimus ir teismo ekspertizei (tyrimams) nustatytus kokybės reikalavimus“</w:t>
      </w:r>
      <w:r w:rsidR="00FA342B" w:rsidRPr="00147E6D">
        <w:rPr>
          <w:lang w:eastAsia="en-US"/>
        </w:rPr>
        <w:t xml:space="preserve"> (finansavimo šaltinis 1.1.1.1.1; </w:t>
      </w:r>
      <w:r w:rsidR="00FA342B" w:rsidRPr="00147E6D">
        <w:rPr>
          <w:noProof/>
          <w:lang w:eastAsia="en-US"/>
        </w:rPr>
        <w:t xml:space="preserve">išlaidų klasifikacija pagal valstybės funkcijas – </w:t>
      </w:r>
      <w:r w:rsidR="00FA342B" w:rsidRPr="00147E6D">
        <w:rPr>
          <w:lang w:eastAsia="en-US"/>
        </w:rPr>
        <w:t xml:space="preserve">03.03.01.01; </w:t>
      </w:r>
      <w:r w:rsidR="00FA342B" w:rsidRPr="00147E6D">
        <w:rPr>
          <w:noProof/>
          <w:lang w:eastAsia="en-US"/>
        </w:rPr>
        <w:t xml:space="preserve">ekonominis išlaidų straipsnis – </w:t>
      </w:r>
      <w:r w:rsidR="00662AC4" w:rsidRPr="00147E6D">
        <w:t>3.1.1.3.1.2.</w:t>
      </w:r>
      <w:r w:rsidR="00FA342B" w:rsidRPr="00147E6D">
        <w:t xml:space="preserve"> „Kitų </w:t>
      </w:r>
      <w:r w:rsidR="00662AC4" w:rsidRPr="00147E6D">
        <w:t>mašinų ir įrenginių įsigijimo išlaidos</w:t>
      </w:r>
      <w:r w:rsidR="00FA342B" w:rsidRPr="00147E6D">
        <w:t>“</w:t>
      </w:r>
      <w:r w:rsidR="00357B68" w:rsidRPr="00147E6D">
        <w:t>- 89 tūkst. eurų ir 3.1.1.3.1.4 „Kompiuterinės techninės ir elektroninių ryšių įrangos įsigijimo išlaidos“ – 121 tūkst. eurų</w:t>
      </w:r>
      <w:r w:rsidR="00FA342B" w:rsidRPr="00147E6D">
        <w:t>)</w:t>
      </w:r>
      <w:r w:rsidR="00FA342B" w:rsidRPr="00147E6D">
        <w:rPr>
          <w:lang w:eastAsia="en-US"/>
        </w:rPr>
        <w:t xml:space="preserve"> lėšas, skirtas </w:t>
      </w:r>
      <w:r w:rsidR="00662AC4" w:rsidRPr="00147E6D">
        <w:rPr>
          <w:lang w:eastAsia="en-US"/>
        </w:rPr>
        <w:t>turtui įsigyti</w:t>
      </w:r>
      <w:r w:rsidR="00FA342B" w:rsidRPr="00147E6D">
        <w:rPr>
          <w:lang w:eastAsia="en-US"/>
        </w:rPr>
        <w:t xml:space="preserve"> - </w:t>
      </w:r>
      <w:r w:rsidR="00FA342B" w:rsidRPr="00147E6D">
        <w:rPr>
          <w:b/>
          <w:noProof/>
          <w:lang w:eastAsia="en-US"/>
        </w:rPr>
        <w:t xml:space="preserve">210 </w:t>
      </w:r>
      <w:r w:rsidR="00E63D07" w:rsidRPr="00147E6D">
        <w:rPr>
          <w:b/>
          <w:noProof/>
          <w:lang w:eastAsia="en-US"/>
        </w:rPr>
        <w:t>tūkst.</w:t>
      </w:r>
      <w:r w:rsidR="00FA342B" w:rsidRPr="00147E6D">
        <w:rPr>
          <w:b/>
          <w:noProof/>
          <w:lang w:eastAsia="en-US"/>
        </w:rPr>
        <w:t xml:space="preserve"> eurų</w:t>
      </w:r>
      <w:r w:rsidR="00114875" w:rsidRPr="00147E6D">
        <w:rPr>
          <w:b/>
          <w:noProof/>
          <w:lang w:eastAsia="en-US"/>
        </w:rPr>
        <w:t xml:space="preserve"> </w:t>
      </w:r>
      <w:r w:rsidR="00114875" w:rsidRPr="00147E6D">
        <w:rPr>
          <w:noProof/>
          <w:lang w:eastAsia="en-US"/>
        </w:rPr>
        <w:t>(pagal pridedamą Formą Nr. 1)</w:t>
      </w:r>
      <w:r w:rsidR="00662AC4" w:rsidRPr="00147E6D">
        <w:rPr>
          <w:noProof/>
          <w:lang w:eastAsia="en-US"/>
        </w:rPr>
        <w:t>.</w:t>
      </w:r>
    </w:p>
    <w:p w:rsidR="00FA342B" w:rsidRPr="00646548" w:rsidRDefault="001C76DA" w:rsidP="00FA342B">
      <w:pPr>
        <w:suppressAutoHyphens w:val="0"/>
        <w:ind w:firstLine="709"/>
        <w:jc w:val="both"/>
        <w:rPr>
          <w:noProof/>
          <w:lang w:eastAsia="en-US"/>
        </w:rPr>
      </w:pPr>
      <w:r>
        <w:rPr>
          <w:noProof/>
          <w:lang w:eastAsia="en-US"/>
        </w:rPr>
        <w:t>PRIDEDAMA. Forma Nr. 1, 1 lapas.</w:t>
      </w:r>
    </w:p>
    <w:p w:rsidR="00FA342B" w:rsidRPr="00646548" w:rsidRDefault="00FA342B" w:rsidP="00FA342B">
      <w:pPr>
        <w:ind w:firstLine="1276"/>
        <w:jc w:val="both"/>
        <w:rPr>
          <w:noProof/>
          <w:lang w:eastAsia="en-US"/>
        </w:rPr>
      </w:pPr>
    </w:p>
    <w:p w:rsidR="009F4C55" w:rsidRPr="00646548" w:rsidRDefault="009F4C55" w:rsidP="008E50A5">
      <w:pPr>
        <w:suppressAutoHyphens w:val="0"/>
        <w:ind w:firstLine="709"/>
        <w:jc w:val="both"/>
        <w:rPr>
          <w:noProof/>
          <w:lang w:eastAsia="en-US"/>
        </w:rPr>
      </w:pPr>
    </w:p>
    <w:p w:rsidR="00C261BD" w:rsidRPr="00646548" w:rsidRDefault="005F33C7" w:rsidP="00C261BD">
      <w:pPr>
        <w:jc w:val="both"/>
        <w:rPr>
          <w:b/>
        </w:rPr>
      </w:pPr>
      <w:r w:rsidRPr="00646548">
        <w:t>T</w:t>
      </w:r>
      <w:r w:rsidRPr="00646548">
        <w:rPr>
          <w:bCs/>
        </w:rPr>
        <w:t>eisingumo minist</w:t>
      </w:r>
      <w:r w:rsidR="006B35A2">
        <w:rPr>
          <w:bCs/>
        </w:rPr>
        <w:t>ras</w:t>
      </w:r>
      <w:r w:rsidR="00646548" w:rsidRPr="00646548">
        <w:tab/>
      </w:r>
      <w:r w:rsidR="00646548" w:rsidRPr="00646548">
        <w:tab/>
      </w:r>
      <w:r w:rsidR="00646548" w:rsidRPr="00646548">
        <w:tab/>
      </w:r>
      <w:r w:rsidR="00646548" w:rsidRPr="00646548">
        <w:tab/>
        <w:t xml:space="preserve">       </w:t>
      </w:r>
      <w:r w:rsidR="006B35A2">
        <w:tab/>
      </w:r>
      <w:r w:rsidR="006B35A2">
        <w:tab/>
      </w:r>
      <w:r w:rsidR="006B35A2">
        <w:tab/>
      </w:r>
      <w:r w:rsidR="006B35A2">
        <w:tab/>
        <w:t xml:space="preserve">    Elvinas Jankevičius</w:t>
      </w:r>
      <w:r w:rsidR="00C261BD" w:rsidRPr="00646548">
        <w:t xml:space="preserve">                                                                     </w:t>
      </w:r>
    </w:p>
    <w:p w:rsidR="00401036" w:rsidRPr="00646548" w:rsidRDefault="00401036" w:rsidP="00C261BD">
      <w:pPr>
        <w:jc w:val="both"/>
        <w:rPr>
          <w:b/>
        </w:rPr>
      </w:pPr>
    </w:p>
    <w:p w:rsidR="00020713" w:rsidRDefault="00020713" w:rsidP="00C261BD">
      <w:pPr>
        <w:jc w:val="both"/>
        <w:rPr>
          <w:b/>
        </w:rPr>
      </w:pPr>
    </w:p>
    <w:p w:rsidR="00147E6D" w:rsidRDefault="00147E6D" w:rsidP="00C261BD">
      <w:pPr>
        <w:jc w:val="both"/>
        <w:rPr>
          <w:b/>
        </w:rPr>
      </w:pPr>
    </w:p>
    <w:p w:rsidR="00020713" w:rsidRDefault="00020713" w:rsidP="00C261BD">
      <w:pPr>
        <w:jc w:val="both"/>
        <w:rPr>
          <w:b/>
        </w:rPr>
      </w:pPr>
    </w:p>
    <w:p w:rsidR="00114875" w:rsidRDefault="00114875" w:rsidP="00C261BD">
      <w:pPr>
        <w:jc w:val="both"/>
      </w:pPr>
    </w:p>
    <w:p w:rsidR="00E75D83" w:rsidRPr="00CA1F17" w:rsidRDefault="00276AAD" w:rsidP="00276AAD">
      <w:pPr>
        <w:spacing w:line="340" w:lineRule="exact"/>
        <w:jc w:val="both"/>
        <w:rPr>
          <w:color w:val="000000" w:themeColor="text1"/>
        </w:rPr>
      </w:pPr>
      <w:r>
        <w:rPr>
          <w:sz w:val="20"/>
          <w:szCs w:val="20"/>
        </w:rPr>
        <w:t>D</w:t>
      </w:r>
      <w:r w:rsidR="00C261BD">
        <w:rPr>
          <w:sz w:val="20"/>
          <w:szCs w:val="20"/>
        </w:rPr>
        <w:t xml:space="preserve">aiva Bliūdžiuvienė, (8 5) 266 2943, el. p. </w:t>
      </w:r>
      <w:hyperlink r:id="rId8" w:history="1">
        <w:r w:rsidR="00C261BD">
          <w:rPr>
            <w:rStyle w:val="Hipersaitas"/>
            <w:sz w:val="20"/>
            <w:szCs w:val="20"/>
          </w:rPr>
          <w:t>daiva.bliudziuviene@tm.lt</w:t>
        </w:r>
      </w:hyperlink>
      <w:r w:rsidR="00C261BD">
        <w:rPr>
          <w:sz w:val="20"/>
          <w:szCs w:val="20"/>
        </w:rPr>
        <w:t xml:space="preserve">                            </w:t>
      </w:r>
      <w:r w:rsidR="00C261BD" w:rsidRPr="00CA1F17">
        <w:rPr>
          <w:color w:val="000000" w:themeColor="text1"/>
        </w:rPr>
        <w:t>Originalas nebus siunčiamas</w:t>
      </w:r>
      <w:r w:rsidR="00C261BD">
        <w:rPr>
          <w:color w:val="000000" w:themeColor="text1"/>
        </w:rPr>
        <w:t xml:space="preserve"> </w:t>
      </w:r>
      <w:r w:rsidR="00E75D83">
        <w:rPr>
          <w:color w:val="000000" w:themeColor="text1"/>
        </w:rPr>
        <w:t xml:space="preserve"> </w:t>
      </w:r>
    </w:p>
    <w:sectPr w:rsidR="00E75D83" w:rsidRPr="00CA1F17" w:rsidSect="007B4A13">
      <w:headerReference w:type="default" r:id="rId9"/>
      <w:headerReference w:type="first" r:id="rId10"/>
      <w:footerReference w:type="first" r:id="rId11"/>
      <w:footnotePr>
        <w:pos w:val="beneathText"/>
      </w:footnotePr>
      <w:pgSz w:w="11905" w:h="16837"/>
      <w:pgMar w:top="1134" w:right="737" w:bottom="1134" w:left="1701" w:header="1123"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ECE" w:rsidRDefault="00764ECE">
      <w:r>
        <w:separator/>
      </w:r>
    </w:p>
  </w:endnote>
  <w:endnote w:type="continuationSeparator" w:id="0">
    <w:p w:rsidR="00764ECE" w:rsidRDefault="0076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940" w:rsidRDefault="001F4940" w:rsidP="00515AA4">
    <w:pPr>
      <w:pStyle w:val="Porat"/>
    </w:pPr>
  </w:p>
  <w:p w:rsidR="001F4940" w:rsidRDefault="007B3C8C" w:rsidP="007B3C8C">
    <w:pPr>
      <w:pStyle w:val="Porat"/>
      <w:tabs>
        <w:tab w:val="clear" w:pos="8306"/>
        <w:tab w:val="left" w:pos="8080"/>
        <w:tab w:val="right" w:pos="9356"/>
      </w:tabs>
      <w:jc w:val="left"/>
    </w:pPr>
    <w:r>
      <w:t xml:space="preserve">    </w:t>
    </w:r>
    <w:r w:rsidR="000B0D10">
      <w:tab/>
    </w:r>
  </w:p>
  <w:p w:rsidR="0006186E" w:rsidRDefault="009F4C55" w:rsidP="009F4C55">
    <w:pPr>
      <w:pStyle w:val="Porat"/>
    </w:pPr>
    <w:r>
      <w:rPr>
        <w:noProof/>
        <w:lang w:eastAsia="lt-LT"/>
      </w:rPr>
      <w:drawing>
        <wp:inline distT="0" distB="0" distL="0" distR="0" wp14:anchorId="54C040C7" wp14:editId="6E82041B">
          <wp:extent cx="1085215" cy="817245"/>
          <wp:effectExtent l="0" t="0" r="635"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ECE" w:rsidRDefault="00764ECE">
      <w:r>
        <w:separator/>
      </w:r>
    </w:p>
  </w:footnote>
  <w:footnote w:type="continuationSeparator" w:id="0">
    <w:p w:rsidR="00764ECE" w:rsidRDefault="00764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86E" w:rsidRDefault="0006186E" w:rsidP="00EE5859">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7F7" w:rsidRPr="00095F50" w:rsidRDefault="00E657F7" w:rsidP="00E657F7">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498F89FE" wp14:editId="22ADC093">
          <wp:extent cx="563880" cy="556260"/>
          <wp:effectExtent l="0" t="0" r="7620" b="0"/>
          <wp:docPr id="2" name="Paveikslėlis 2"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rsidR="00E657F7" w:rsidRPr="006A0169" w:rsidRDefault="00E657F7" w:rsidP="00E657F7">
    <w:pPr>
      <w:tabs>
        <w:tab w:val="right" w:pos="8306"/>
      </w:tabs>
      <w:suppressAutoHyphens w:val="0"/>
      <w:jc w:val="center"/>
      <w:rPr>
        <w:sz w:val="16"/>
        <w:lang w:eastAsia="en-US"/>
      </w:rPr>
    </w:pPr>
  </w:p>
  <w:p w:rsidR="00E657F7" w:rsidRPr="006A0169" w:rsidRDefault="00E657F7" w:rsidP="00E657F7">
    <w:pPr>
      <w:suppressAutoHyphens w:val="0"/>
      <w:jc w:val="center"/>
      <w:rPr>
        <w:b/>
        <w:bCs/>
        <w:sz w:val="26"/>
        <w:lang w:eastAsia="en-US"/>
      </w:rPr>
    </w:pPr>
    <w:r w:rsidRPr="006A0169">
      <w:rPr>
        <w:b/>
        <w:bCs/>
        <w:sz w:val="26"/>
        <w:lang w:eastAsia="en-US"/>
      </w:rPr>
      <w:t>LIETUVOS RESPUBLIKOS TEISINGUMO MINISTERIJA</w:t>
    </w:r>
  </w:p>
  <w:p w:rsidR="00E657F7" w:rsidRPr="006A0169" w:rsidRDefault="00E657F7" w:rsidP="00E657F7">
    <w:pPr>
      <w:suppressAutoHyphens w:val="0"/>
      <w:jc w:val="center"/>
      <w:rPr>
        <w:b/>
        <w:bCs/>
        <w:sz w:val="26"/>
        <w:lang w:eastAsia="en-US"/>
      </w:rPr>
    </w:pPr>
  </w:p>
  <w:p w:rsidR="00E657F7" w:rsidRDefault="00E657F7" w:rsidP="00E657F7">
    <w:pPr>
      <w:pBdr>
        <w:bottom w:val="single" w:sz="4" w:space="1" w:color="auto"/>
      </w:pBdr>
      <w:suppressAutoHyphens w:val="0"/>
      <w:jc w:val="center"/>
      <w:rPr>
        <w:sz w:val="20"/>
        <w:lang w:eastAsia="en-US"/>
      </w:rPr>
    </w:pPr>
    <w:r>
      <w:rPr>
        <w:sz w:val="20"/>
        <w:lang w:eastAsia="en-US"/>
      </w:rPr>
      <w:t xml:space="preserve">Biudžetinė įstaiga, Gedimino pr. 30, LT-01104 Vilnius, </w:t>
    </w:r>
  </w:p>
  <w:p w:rsidR="00E657F7" w:rsidRDefault="00E657F7" w:rsidP="00E657F7">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rsidR="00E657F7" w:rsidRDefault="00E657F7" w:rsidP="00E657F7">
    <w:pPr>
      <w:pBdr>
        <w:bottom w:val="single" w:sz="4" w:space="1" w:color="auto"/>
      </w:pBdr>
      <w:suppressAutoHyphens w:val="0"/>
      <w:jc w:val="center"/>
      <w:rPr>
        <w:sz w:val="20"/>
        <w:szCs w:val="20"/>
        <w:lang w:eastAsia="en-US"/>
      </w:rPr>
    </w:pPr>
    <w:proofErr w:type="spellStart"/>
    <w:r>
      <w:rPr>
        <w:sz w:val="20"/>
        <w:lang w:eastAsia="en-US"/>
      </w:rPr>
      <w:t>atsisk</w:t>
    </w:r>
    <w:proofErr w:type="spellEnd"/>
    <w:r>
      <w:rPr>
        <w:sz w:val="20"/>
        <w:lang w:eastAsia="en-US"/>
      </w:rPr>
      <w:t xml:space="preserve">. sąskaita </w:t>
    </w:r>
    <w:r>
      <w:rPr>
        <w:sz w:val="20"/>
        <w:szCs w:val="20"/>
        <w:lang w:eastAsia="en-US"/>
      </w:rPr>
      <w:t>LT574010051004670211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rsidR="00E657F7" w:rsidRDefault="00E657F7" w:rsidP="00E657F7">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rsidR="006A0169" w:rsidRPr="006A0169" w:rsidRDefault="006A0169" w:rsidP="006A0169">
    <w:pPr>
      <w:tabs>
        <w:tab w:val="right" w:pos="8306"/>
      </w:tabs>
      <w:suppressAutoHyphens w:val="0"/>
      <w:jc w:val="center"/>
      <w:rPr>
        <w:sz w:val="20"/>
        <w:lang w:eastAsia="en-US"/>
      </w:rPr>
    </w:pPr>
  </w:p>
  <w:p w:rsidR="0006186E" w:rsidRPr="006A0169" w:rsidRDefault="0006186E" w:rsidP="006A0169">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1572B"/>
    <w:multiLevelType w:val="hybridMultilevel"/>
    <w:tmpl w:val="E614331C"/>
    <w:lvl w:ilvl="0" w:tplc="F938A0DE">
      <w:start w:val="1"/>
      <w:numFmt w:val="decimal"/>
      <w:lvlText w:val="%1."/>
      <w:lvlJc w:val="left"/>
      <w:pPr>
        <w:ind w:left="1656" w:hanging="360"/>
      </w:pPr>
      <w:rPr>
        <w:rFonts w:hint="default"/>
        <w:color w:val="auto"/>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0D4426C2"/>
    <w:multiLevelType w:val="hybridMultilevel"/>
    <w:tmpl w:val="64B29694"/>
    <w:lvl w:ilvl="0" w:tplc="FA3C8270">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4"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5"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7"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489A0274"/>
    <w:multiLevelType w:val="hybridMultilevel"/>
    <w:tmpl w:val="215ADB36"/>
    <w:lvl w:ilvl="0" w:tplc="F94679C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2"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11"/>
  </w:num>
  <w:num w:numId="3">
    <w:abstractNumId w:val="3"/>
  </w:num>
  <w:num w:numId="4">
    <w:abstractNumId w:val="12"/>
  </w:num>
  <w:num w:numId="5">
    <w:abstractNumId w:val="8"/>
  </w:num>
  <w:num w:numId="6">
    <w:abstractNumId w:val="7"/>
  </w:num>
  <w:num w:numId="7">
    <w:abstractNumId w:val="4"/>
  </w:num>
  <w:num w:numId="8">
    <w:abstractNumId w:val="5"/>
  </w:num>
  <w:num w:numId="9">
    <w:abstractNumId w:val="6"/>
  </w:num>
  <w:num w:numId="10">
    <w:abstractNumId w:val="9"/>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05061"/>
    <w:rsid w:val="0000728E"/>
    <w:rsid w:val="000126A3"/>
    <w:rsid w:val="00013043"/>
    <w:rsid w:val="000203F3"/>
    <w:rsid w:val="00020713"/>
    <w:rsid w:val="00022E3C"/>
    <w:rsid w:val="00022FF3"/>
    <w:rsid w:val="00033F22"/>
    <w:rsid w:val="000356BD"/>
    <w:rsid w:val="00045F11"/>
    <w:rsid w:val="0006186E"/>
    <w:rsid w:val="00062F5D"/>
    <w:rsid w:val="00072085"/>
    <w:rsid w:val="00072919"/>
    <w:rsid w:val="000756A8"/>
    <w:rsid w:val="00092DB2"/>
    <w:rsid w:val="00093791"/>
    <w:rsid w:val="000B0D10"/>
    <w:rsid w:val="000B1ECA"/>
    <w:rsid w:val="000D0B1C"/>
    <w:rsid w:val="000D3171"/>
    <w:rsid w:val="000E34D4"/>
    <w:rsid w:val="000E6E4F"/>
    <w:rsid w:val="000E7556"/>
    <w:rsid w:val="00106269"/>
    <w:rsid w:val="00110A05"/>
    <w:rsid w:val="00114875"/>
    <w:rsid w:val="001261CC"/>
    <w:rsid w:val="00133358"/>
    <w:rsid w:val="00147E6D"/>
    <w:rsid w:val="001705BF"/>
    <w:rsid w:val="001816EE"/>
    <w:rsid w:val="00190B04"/>
    <w:rsid w:val="001A2BEB"/>
    <w:rsid w:val="001B28DE"/>
    <w:rsid w:val="001B5390"/>
    <w:rsid w:val="001C1840"/>
    <w:rsid w:val="001C76DA"/>
    <w:rsid w:val="001E0731"/>
    <w:rsid w:val="001E192A"/>
    <w:rsid w:val="001E213B"/>
    <w:rsid w:val="001F4940"/>
    <w:rsid w:val="00201CE5"/>
    <w:rsid w:val="00207097"/>
    <w:rsid w:val="00216724"/>
    <w:rsid w:val="00224C7E"/>
    <w:rsid w:val="00225009"/>
    <w:rsid w:val="00233B93"/>
    <w:rsid w:val="00241238"/>
    <w:rsid w:val="00241F8D"/>
    <w:rsid w:val="00247655"/>
    <w:rsid w:val="00271BCA"/>
    <w:rsid w:val="0027433B"/>
    <w:rsid w:val="0027526A"/>
    <w:rsid w:val="00276AAD"/>
    <w:rsid w:val="00282D30"/>
    <w:rsid w:val="002A500F"/>
    <w:rsid w:val="002C0406"/>
    <w:rsid w:val="002D24DA"/>
    <w:rsid w:val="002E2E7A"/>
    <w:rsid w:val="002F357E"/>
    <w:rsid w:val="0031547F"/>
    <w:rsid w:val="00335E75"/>
    <w:rsid w:val="00345C41"/>
    <w:rsid w:val="00350171"/>
    <w:rsid w:val="0035263F"/>
    <w:rsid w:val="003546C5"/>
    <w:rsid w:val="00355D25"/>
    <w:rsid w:val="003570BA"/>
    <w:rsid w:val="00357B11"/>
    <w:rsid w:val="00357B68"/>
    <w:rsid w:val="00367F00"/>
    <w:rsid w:val="00374572"/>
    <w:rsid w:val="00392543"/>
    <w:rsid w:val="00392BAA"/>
    <w:rsid w:val="0039471E"/>
    <w:rsid w:val="003A0D57"/>
    <w:rsid w:val="003A403B"/>
    <w:rsid w:val="003A6CAA"/>
    <w:rsid w:val="003C1BC9"/>
    <w:rsid w:val="003C76FB"/>
    <w:rsid w:val="003D3678"/>
    <w:rsid w:val="003E0505"/>
    <w:rsid w:val="003E6A74"/>
    <w:rsid w:val="003F26F9"/>
    <w:rsid w:val="004000AE"/>
    <w:rsid w:val="00401036"/>
    <w:rsid w:val="00422F55"/>
    <w:rsid w:val="004400C5"/>
    <w:rsid w:val="004403CE"/>
    <w:rsid w:val="00444D3C"/>
    <w:rsid w:val="004473FF"/>
    <w:rsid w:val="004572FB"/>
    <w:rsid w:val="00480DCF"/>
    <w:rsid w:val="0048615A"/>
    <w:rsid w:val="004920AA"/>
    <w:rsid w:val="004A3097"/>
    <w:rsid w:val="004A352D"/>
    <w:rsid w:val="004C157C"/>
    <w:rsid w:val="004C31B3"/>
    <w:rsid w:val="004C6C9B"/>
    <w:rsid w:val="004E0354"/>
    <w:rsid w:val="004E4C97"/>
    <w:rsid w:val="004F7E5E"/>
    <w:rsid w:val="00503401"/>
    <w:rsid w:val="00506545"/>
    <w:rsid w:val="0051548F"/>
    <w:rsid w:val="00515AA4"/>
    <w:rsid w:val="00526983"/>
    <w:rsid w:val="0053526F"/>
    <w:rsid w:val="00540756"/>
    <w:rsid w:val="005468FA"/>
    <w:rsid w:val="00547A54"/>
    <w:rsid w:val="00557E35"/>
    <w:rsid w:val="0057398B"/>
    <w:rsid w:val="00573BC1"/>
    <w:rsid w:val="00582455"/>
    <w:rsid w:val="005864FF"/>
    <w:rsid w:val="005934F7"/>
    <w:rsid w:val="005968CE"/>
    <w:rsid w:val="005A2039"/>
    <w:rsid w:val="005A32E3"/>
    <w:rsid w:val="005B22EF"/>
    <w:rsid w:val="005B71DB"/>
    <w:rsid w:val="005B78D6"/>
    <w:rsid w:val="005C59DC"/>
    <w:rsid w:val="005D74AA"/>
    <w:rsid w:val="005E7F01"/>
    <w:rsid w:val="005F33C7"/>
    <w:rsid w:val="005F6849"/>
    <w:rsid w:val="005F70CA"/>
    <w:rsid w:val="006117F2"/>
    <w:rsid w:val="006202AA"/>
    <w:rsid w:val="00631354"/>
    <w:rsid w:val="00632C30"/>
    <w:rsid w:val="00636EFF"/>
    <w:rsid w:val="006452F1"/>
    <w:rsid w:val="00646548"/>
    <w:rsid w:val="00662AC4"/>
    <w:rsid w:val="00666C85"/>
    <w:rsid w:val="006752CB"/>
    <w:rsid w:val="0067795F"/>
    <w:rsid w:val="00685024"/>
    <w:rsid w:val="00692B0B"/>
    <w:rsid w:val="006A0169"/>
    <w:rsid w:val="006A3AEE"/>
    <w:rsid w:val="006B35A2"/>
    <w:rsid w:val="006C17D7"/>
    <w:rsid w:val="006D3DDF"/>
    <w:rsid w:val="006D4E71"/>
    <w:rsid w:val="006D70FA"/>
    <w:rsid w:val="006E2F3F"/>
    <w:rsid w:val="006E2FF8"/>
    <w:rsid w:val="0070100A"/>
    <w:rsid w:val="007155A1"/>
    <w:rsid w:val="00735C7F"/>
    <w:rsid w:val="00746DCD"/>
    <w:rsid w:val="0074745C"/>
    <w:rsid w:val="00755247"/>
    <w:rsid w:val="0075689A"/>
    <w:rsid w:val="00764ECE"/>
    <w:rsid w:val="00765A18"/>
    <w:rsid w:val="00773CDF"/>
    <w:rsid w:val="00775BDF"/>
    <w:rsid w:val="007B1F82"/>
    <w:rsid w:val="007B3C8C"/>
    <w:rsid w:val="007B4A13"/>
    <w:rsid w:val="007D2DB3"/>
    <w:rsid w:val="007D5E84"/>
    <w:rsid w:val="007F7B9B"/>
    <w:rsid w:val="00800BC4"/>
    <w:rsid w:val="008309E8"/>
    <w:rsid w:val="00847620"/>
    <w:rsid w:val="008A5254"/>
    <w:rsid w:val="008A5B60"/>
    <w:rsid w:val="008C162A"/>
    <w:rsid w:val="008D40A0"/>
    <w:rsid w:val="008E50A5"/>
    <w:rsid w:val="009127B2"/>
    <w:rsid w:val="00921A20"/>
    <w:rsid w:val="00935287"/>
    <w:rsid w:val="00967916"/>
    <w:rsid w:val="00977F51"/>
    <w:rsid w:val="009A11A6"/>
    <w:rsid w:val="009B0944"/>
    <w:rsid w:val="009D5D3E"/>
    <w:rsid w:val="009E11EE"/>
    <w:rsid w:val="009E135C"/>
    <w:rsid w:val="009F4C55"/>
    <w:rsid w:val="00A072A6"/>
    <w:rsid w:val="00A17E41"/>
    <w:rsid w:val="00A26451"/>
    <w:rsid w:val="00A36467"/>
    <w:rsid w:val="00A40CD2"/>
    <w:rsid w:val="00A43DDD"/>
    <w:rsid w:val="00A45A83"/>
    <w:rsid w:val="00A500C7"/>
    <w:rsid w:val="00A5068D"/>
    <w:rsid w:val="00A51241"/>
    <w:rsid w:val="00A56DDF"/>
    <w:rsid w:val="00A80EFF"/>
    <w:rsid w:val="00A94549"/>
    <w:rsid w:val="00A9721A"/>
    <w:rsid w:val="00AC27D6"/>
    <w:rsid w:val="00AD37E3"/>
    <w:rsid w:val="00AE0614"/>
    <w:rsid w:val="00AE3511"/>
    <w:rsid w:val="00AF3747"/>
    <w:rsid w:val="00B02433"/>
    <w:rsid w:val="00B15AAD"/>
    <w:rsid w:val="00B24EF1"/>
    <w:rsid w:val="00B40D2F"/>
    <w:rsid w:val="00B47174"/>
    <w:rsid w:val="00B7339D"/>
    <w:rsid w:val="00B73C3E"/>
    <w:rsid w:val="00B76A6E"/>
    <w:rsid w:val="00B942CE"/>
    <w:rsid w:val="00BA5E02"/>
    <w:rsid w:val="00BA60D3"/>
    <w:rsid w:val="00BB14A8"/>
    <w:rsid w:val="00BB1BC1"/>
    <w:rsid w:val="00BD01B6"/>
    <w:rsid w:val="00BD62CA"/>
    <w:rsid w:val="00BF4400"/>
    <w:rsid w:val="00C17BD0"/>
    <w:rsid w:val="00C2360C"/>
    <w:rsid w:val="00C261BD"/>
    <w:rsid w:val="00C26D5D"/>
    <w:rsid w:val="00C43A57"/>
    <w:rsid w:val="00C526F2"/>
    <w:rsid w:val="00C52D99"/>
    <w:rsid w:val="00C71BEA"/>
    <w:rsid w:val="00C843F3"/>
    <w:rsid w:val="00CA6A65"/>
    <w:rsid w:val="00CB007C"/>
    <w:rsid w:val="00CB1D28"/>
    <w:rsid w:val="00CC742A"/>
    <w:rsid w:val="00CD494B"/>
    <w:rsid w:val="00CD660D"/>
    <w:rsid w:val="00CF7876"/>
    <w:rsid w:val="00D2173F"/>
    <w:rsid w:val="00D22358"/>
    <w:rsid w:val="00D22A39"/>
    <w:rsid w:val="00D519E9"/>
    <w:rsid w:val="00D553A0"/>
    <w:rsid w:val="00D6461F"/>
    <w:rsid w:val="00D9324E"/>
    <w:rsid w:val="00D961AF"/>
    <w:rsid w:val="00D97593"/>
    <w:rsid w:val="00DA10E1"/>
    <w:rsid w:val="00DA16FD"/>
    <w:rsid w:val="00DB3931"/>
    <w:rsid w:val="00DE0A48"/>
    <w:rsid w:val="00E03B24"/>
    <w:rsid w:val="00E04443"/>
    <w:rsid w:val="00E04931"/>
    <w:rsid w:val="00E214C4"/>
    <w:rsid w:val="00E32D88"/>
    <w:rsid w:val="00E35543"/>
    <w:rsid w:val="00E36636"/>
    <w:rsid w:val="00E4039E"/>
    <w:rsid w:val="00E41E39"/>
    <w:rsid w:val="00E43E69"/>
    <w:rsid w:val="00E63465"/>
    <w:rsid w:val="00E63D07"/>
    <w:rsid w:val="00E657F7"/>
    <w:rsid w:val="00E75D83"/>
    <w:rsid w:val="00E81F28"/>
    <w:rsid w:val="00E843B1"/>
    <w:rsid w:val="00E9412A"/>
    <w:rsid w:val="00E96B50"/>
    <w:rsid w:val="00EA3009"/>
    <w:rsid w:val="00ED2FD5"/>
    <w:rsid w:val="00ED73D6"/>
    <w:rsid w:val="00EE5859"/>
    <w:rsid w:val="00EE76E3"/>
    <w:rsid w:val="00EE7C76"/>
    <w:rsid w:val="00EF07A0"/>
    <w:rsid w:val="00EF5630"/>
    <w:rsid w:val="00F05FB4"/>
    <w:rsid w:val="00F06529"/>
    <w:rsid w:val="00F5548F"/>
    <w:rsid w:val="00F6147E"/>
    <w:rsid w:val="00F62B9E"/>
    <w:rsid w:val="00F73A02"/>
    <w:rsid w:val="00F75A93"/>
    <w:rsid w:val="00F85A80"/>
    <w:rsid w:val="00F86388"/>
    <w:rsid w:val="00F947AC"/>
    <w:rsid w:val="00FA342B"/>
    <w:rsid w:val="00FB183B"/>
    <w:rsid w:val="00FB295F"/>
    <w:rsid w:val="00FB41D3"/>
    <w:rsid w:val="00FB5D01"/>
    <w:rsid w:val="00FC0237"/>
    <w:rsid w:val="00FC0E93"/>
    <w:rsid w:val="00FC78C5"/>
    <w:rsid w:val="00FD2FDD"/>
    <w:rsid w:val="00FE2B69"/>
    <w:rsid w:val="00FE4FB3"/>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1238"/>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1705BF"/>
    <w:pPr>
      <w:ind w:left="720"/>
      <w:contextualSpacing/>
    </w:pPr>
  </w:style>
  <w:style w:type="paragraph" w:styleId="prastasiniatinklio">
    <w:name w:val="Normal (Web)"/>
    <w:basedOn w:val="prastasis"/>
    <w:uiPriority w:val="99"/>
    <w:unhideWhenUsed/>
    <w:rsid w:val="007D2DB3"/>
    <w:pPr>
      <w:suppressAutoHyphens w:val="0"/>
      <w:spacing w:before="100" w:beforeAutospacing="1" w:after="100" w:afterAutospacing="1"/>
    </w:pPr>
    <w:rPr>
      <w:rFonts w:eastAsiaTheme="minorHAnsi"/>
      <w:lang w:eastAsia="lt-LT"/>
    </w:rPr>
  </w:style>
  <w:style w:type="character" w:styleId="Komentaronuoroda">
    <w:name w:val="annotation reference"/>
    <w:basedOn w:val="Numatytasispastraiposriftas"/>
    <w:semiHidden/>
    <w:unhideWhenUsed/>
    <w:rsid w:val="00CD494B"/>
    <w:rPr>
      <w:sz w:val="16"/>
      <w:szCs w:val="16"/>
    </w:rPr>
  </w:style>
  <w:style w:type="paragraph" w:styleId="Komentarotekstas">
    <w:name w:val="annotation text"/>
    <w:basedOn w:val="prastasis"/>
    <w:link w:val="KomentarotekstasDiagrama"/>
    <w:semiHidden/>
    <w:unhideWhenUsed/>
    <w:rsid w:val="00CD494B"/>
    <w:rPr>
      <w:sz w:val="20"/>
      <w:szCs w:val="20"/>
    </w:rPr>
  </w:style>
  <w:style w:type="character" w:customStyle="1" w:styleId="KomentarotekstasDiagrama">
    <w:name w:val="Komentaro tekstas Diagrama"/>
    <w:basedOn w:val="Numatytasispastraiposriftas"/>
    <w:link w:val="Komentarotekstas"/>
    <w:semiHidden/>
    <w:rsid w:val="00CD494B"/>
    <w:rPr>
      <w:lang w:eastAsia="ar-SA"/>
    </w:rPr>
  </w:style>
  <w:style w:type="paragraph" w:styleId="Komentarotema">
    <w:name w:val="annotation subject"/>
    <w:basedOn w:val="Komentarotekstas"/>
    <w:next w:val="Komentarotekstas"/>
    <w:link w:val="KomentarotemaDiagrama"/>
    <w:semiHidden/>
    <w:unhideWhenUsed/>
    <w:rsid w:val="00CD494B"/>
    <w:rPr>
      <w:b/>
      <w:bCs/>
    </w:rPr>
  </w:style>
  <w:style w:type="character" w:customStyle="1" w:styleId="KomentarotemaDiagrama">
    <w:name w:val="Komentaro tema Diagrama"/>
    <w:basedOn w:val="KomentarotekstasDiagrama"/>
    <w:link w:val="Komentarotema"/>
    <w:semiHidden/>
    <w:rsid w:val="00CD494B"/>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5377">
      <w:bodyDiv w:val="1"/>
      <w:marLeft w:val="0"/>
      <w:marRight w:val="0"/>
      <w:marTop w:val="0"/>
      <w:marBottom w:val="0"/>
      <w:divBdr>
        <w:top w:val="none" w:sz="0" w:space="0" w:color="auto"/>
        <w:left w:val="none" w:sz="0" w:space="0" w:color="auto"/>
        <w:bottom w:val="none" w:sz="0" w:space="0" w:color="auto"/>
        <w:right w:val="none" w:sz="0" w:space="0" w:color="auto"/>
      </w:divBdr>
    </w:div>
    <w:div w:id="255408892">
      <w:bodyDiv w:val="1"/>
      <w:marLeft w:val="0"/>
      <w:marRight w:val="0"/>
      <w:marTop w:val="0"/>
      <w:marBottom w:val="0"/>
      <w:divBdr>
        <w:top w:val="none" w:sz="0" w:space="0" w:color="auto"/>
        <w:left w:val="none" w:sz="0" w:space="0" w:color="auto"/>
        <w:bottom w:val="none" w:sz="0" w:space="0" w:color="auto"/>
        <w:right w:val="none" w:sz="0" w:space="0" w:color="auto"/>
      </w:divBdr>
    </w:div>
    <w:div w:id="295523709">
      <w:bodyDiv w:val="1"/>
      <w:marLeft w:val="0"/>
      <w:marRight w:val="0"/>
      <w:marTop w:val="0"/>
      <w:marBottom w:val="0"/>
      <w:divBdr>
        <w:top w:val="none" w:sz="0" w:space="0" w:color="auto"/>
        <w:left w:val="none" w:sz="0" w:space="0" w:color="auto"/>
        <w:bottom w:val="none" w:sz="0" w:space="0" w:color="auto"/>
        <w:right w:val="none" w:sz="0" w:space="0" w:color="auto"/>
      </w:divBdr>
    </w:div>
    <w:div w:id="345909504">
      <w:bodyDiv w:val="1"/>
      <w:marLeft w:val="0"/>
      <w:marRight w:val="0"/>
      <w:marTop w:val="0"/>
      <w:marBottom w:val="0"/>
      <w:divBdr>
        <w:top w:val="none" w:sz="0" w:space="0" w:color="auto"/>
        <w:left w:val="none" w:sz="0" w:space="0" w:color="auto"/>
        <w:bottom w:val="none" w:sz="0" w:space="0" w:color="auto"/>
        <w:right w:val="none" w:sz="0" w:space="0" w:color="auto"/>
      </w:divBdr>
    </w:div>
    <w:div w:id="470096628">
      <w:bodyDiv w:val="1"/>
      <w:marLeft w:val="0"/>
      <w:marRight w:val="0"/>
      <w:marTop w:val="0"/>
      <w:marBottom w:val="0"/>
      <w:divBdr>
        <w:top w:val="none" w:sz="0" w:space="0" w:color="auto"/>
        <w:left w:val="none" w:sz="0" w:space="0" w:color="auto"/>
        <w:bottom w:val="none" w:sz="0" w:space="0" w:color="auto"/>
        <w:right w:val="none" w:sz="0" w:space="0" w:color="auto"/>
      </w:divBdr>
    </w:div>
    <w:div w:id="704211182">
      <w:bodyDiv w:val="1"/>
      <w:marLeft w:val="0"/>
      <w:marRight w:val="0"/>
      <w:marTop w:val="0"/>
      <w:marBottom w:val="0"/>
      <w:divBdr>
        <w:top w:val="none" w:sz="0" w:space="0" w:color="auto"/>
        <w:left w:val="none" w:sz="0" w:space="0" w:color="auto"/>
        <w:bottom w:val="none" w:sz="0" w:space="0" w:color="auto"/>
        <w:right w:val="none" w:sz="0" w:space="0" w:color="auto"/>
      </w:divBdr>
    </w:div>
    <w:div w:id="790628375">
      <w:bodyDiv w:val="1"/>
      <w:marLeft w:val="0"/>
      <w:marRight w:val="0"/>
      <w:marTop w:val="0"/>
      <w:marBottom w:val="0"/>
      <w:divBdr>
        <w:top w:val="none" w:sz="0" w:space="0" w:color="auto"/>
        <w:left w:val="none" w:sz="0" w:space="0" w:color="auto"/>
        <w:bottom w:val="none" w:sz="0" w:space="0" w:color="auto"/>
        <w:right w:val="none" w:sz="0" w:space="0" w:color="auto"/>
      </w:divBdr>
    </w:div>
    <w:div w:id="1320036190">
      <w:bodyDiv w:val="1"/>
      <w:marLeft w:val="0"/>
      <w:marRight w:val="0"/>
      <w:marTop w:val="0"/>
      <w:marBottom w:val="0"/>
      <w:divBdr>
        <w:top w:val="none" w:sz="0" w:space="0" w:color="auto"/>
        <w:left w:val="none" w:sz="0" w:space="0" w:color="auto"/>
        <w:bottom w:val="none" w:sz="0" w:space="0" w:color="auto"/>
        <w:right w:val="none" w:sz="0" w:space="0" w:color="auto"/>
      </w:divBdr>
      <w:divsChild>
        <w:div w:id="1997802422">
          <w:marLeft w:val="0"/>
          <w:marRight w:val="0"/>
          <w:marTop w:val="0"/>
          <w:marBottom w:val="0"/>
          <w:divBdr>
            <w:top w:val="none" w:sz="0" w:space="0" w:color="auto"/>
            <w:left w:val="none" w:sz="0" w:space="0" w:color="auto"/>
            <w:bottom w:val="none" w:sz="0" w:space="0" w:color="auto"/>
            <w:right w:val="none" w:sz="0" w:space="0" w:color="auto"/>
          </w:divBdr>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583878486">
      <w:bodyDiv w:val="1"/>
      <w:marLeft w:val="0"/>
      <w:marRight w:val="0"/>
      <w:marTop w:val="0"/>
      <w:marBottom w:val="0"/>
      <w:divBdr>
        <w:top w:val="none" w:sz="0" w:space="0" w:color="auto"/>
        <w:left w:val="none" w:sz="0" w:space="0" w:color="auto"/>
        <w:bottom w:val="none" w:sz="0" w:space="0" w:color="auto"/>
        <w:right w:val="none" w:sz="0" w:space="0" w:color="auto"/>
      </w:divBdr>
    </w:div>
    <w:div w:id="1776174254">
      <w:bodyDiv w:val="1"/>
      <w:marLeft w:val="0"/>
      <w:marRight w:val="0"/>
      <w:marTop w:val="0"/>
      <w:marBottom w:val="0"/>
      <w:divBdr>
        <w:top w:val="none" w:sz="0" w:space="0" w:color="auto"/>
        <w:left w:val="none" w:sz="0" w:space="0" w:color="auto"/>
        <w:bottom w:val="none" w:sz="0" w:space="0" w:color="auto"/>
        <w:right w:val="none" w:sz="0" w:space="0" w:color="auto"/>
      </w:divBdr>
    </w:div>
    <w:div w:id="1914966760">
      <w:bodyDiv w:val="1"/>
      <w:marLeft w:val="0"/>
      <w:marRight w:val="0"/>
      <w:marTop w:val="0"/>
      <w:marBottom w:val="0"/>
      <w:divBdr>
        <w:top w:val="none" w:sz="0" w:space="0" w:color="auto"/>
        <w:left w:val="none" w:sz="0" w:space="0" w:color="auto"/>
        <w:bottom w:val="none" w:sz="0" w:space="0" w:color="auto"/>
        <w:right w:val="none" w:sz="0" w:space="0" w:color="auto"/>
      </w:divBdr>
    </w:div>
    <w:div w:id="1925408254">
      <w:bodyDiv w:val="1"/>
      <w:marLeft w:val="0"/>
      <w:marRight w:val="0"/>
      <w:marTop w:val="0"/>
      <w:marBottom w:val="0"/>
      <w:divBdr>
        <w:top w:val="none" w:sz="0" w:space="0" w:color="auto"/>
        <w:left w:val="none" w:sz="0" w:space="0" w:color="auto"/>
        <w:bottom w:val="none" w:sz="0" w:space="0" w:color="auto"/>
        <w:right w:val="none" w:sz="0" w:space="0" w:color="auto"/>
      </w:divBdr>
    </w:div>
    <w:div w:id="214361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daiva.bliudziuviene@tm.lt" TargetMode="External"
                 Type="http://schemas.openxmlformats.org/officeDocument/2006/relationships/hyperlink"/>
   <Relationship Id="rId9" Target="header1.xml"
                 Type="http://schemas.openxmlformats.org/officeDocument/2006/relationships/header"/>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2171A-9BAF-4A6F-8B82-88821AE6A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6712</Words>
  <Characters>3827</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10518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2020-10-21T12:49:00Z</dcterms:created>
  <dc:creator>D.Glodenis</dc:creator>
  <cp:lastModifiedBy>Daiva Bliūdžiuvienė</cp:lastModifiedBy>
  <cp:lastPrinted>2020-10-22T05:31:00Z</cp:lastPrinted>
  <dcterms:modified xsi:type="dcterms:W3CDTF">2020-10-22T07:26:00Z</dcterms:modified>
  <cp:revision>8</cp:revision>
  <dc:title>[Adresatas]</dc:title>
</cp:coreProperties>
</file>