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85E" w:rsidRPr="00CC101E" w:rsidRDefault="009E185E" w:rsidP="009E185E">
      <w:pPr>
        <w:spacing w:after="0" w:line="240" w:lineRule="auto"/>
        <w:jc w:val="center"/>
        <w:rPr>
          <w:rFonts w:ascii="Times New Roman" w:hAnsi="Times New Roman" w:cs="Times New Roman"/>
          <w:b/>
          <w:bCs/>
          <w:color w:val="000000"/>
          <w:sz w:val="24"/>
          <w:szCs w:val="24"/>
          <w:bdr w:val="none" w:sz="0" w:space="0" w:color="auto" w:frame="1"/>
          <w:lang w:eastAsia="lt-LT"/>
        </w:rPr>
      </w:pPr>
      <w:r w:rsidRPr="00CC101E">
        <w:rPr>
          <w:rFonts w:ascii="Times New Roman" w:hAnsi="Times New Roman" w:cs="Times New Roman"/>
          <w:b/>
          <w:bCs/>
          <w:color w:val="000000"/>
          <w:sz w:val="24"/>
          <w:szCs w:val="24"/>
          <w:bdr w:val="none" w:sz="0" w:space="0" w:color="auto" w:frame="1"/>
          <w:lang w:eastAsia="lt-LT"/>
        </w:rPr>
        <w:t>BENDRŲJŲ REIKALŲ TARYBA 2022 M. SAUSIO 25 D.: LIETUVOS POZICIJOS</w:t>
      </w:r>
    </w:p>
    <w:p w:rsidR="009E185E" w:rsidRPr="00CC101E" w:rsidRDefault="009E185E" w:rsidP="009E185E">
      <w:pPr>
        <w:pStyle w:val="HTMLPreformatted"/>
        <w:jc w:val="both"/>
        <w:rPr>
          <w:rFonts w:ascii="Times New Roman" w:hAnsi="Times New Roman" w:cs="Times New Roman"/>
          <w:sz w:val="24"/>
          <w:szCs w:val="24"/>
          <w:bdr w:val="none" w:sz="0" w:space="0" w:color="auto" w:frame="1"/>
          <w:lang w:eastAsia="en-US"/>
        </w:rPr>
      </w:pPr>
    </w:p>
    <w:p w:rsidR="009E185E" w:rsidRPr="00CC101E" w:rsidRDefault="009E185E" w:rsidP="00CC101E">
      <w:pPr>
        <w:pStyle w:val="HTMLPreformatted"/>
        <w:jc w:val="both"/>
        <w:rPr>
          <w:rFonts w:ascii="Times New Roman" w:hAnsi="Times New Roman" w:cs="Times New Roman"/>
          <w:sz w:val="24"/>
          <w:szCs w:val="24"/>
          <w:bdr w:val="none" w:sz="0" w:space="0" w:color="auto" w:frame="1"/>
        </w:rPr>
      </w:pPr>
      <w:r w:rsidRPr="00CC101E">
        <w:rPr>
          <w:rFonts w:ascii="Times New Roman" w:hAnsi="Times New Roman" w:cs="Times New Roman"/>
          <w:sz w:val="24"/>
          <w:szCs w:val="24"/>
          <w:bdr w:val="none" w:sz="0" w:space="0" w:color="auto" w:frame="1"/>
        </w:rPr>
        <w:tab/>
        <w:t>Sausio 25 d. Bendrųjų reikalų taryboje</w:t>
      </w:r>
      <w:r w:rsidR="009E25B2">
        <w:rPr>
          <w:rFonts w:ascii="Times New Roman" w:hAnsi="Times New Roman" w:cs="Times New Roman"/>
          <w:sz w:val="24"/>
          <w:szCs w:val="24"/>
          <w:bdr w:val="none" w:sz="0" w:space="0" w:color="auto" w:frame="1"/>
        </w:rPr>
        <w:t xml:space="preserve"> (BRT)</w:t>
      </w:r>
      <w:r w:rsidRPr="00CC101E">
        <w:rPr>
          <w:rFonts w:ascii="Times New Roman" w:hAnsi="Times New Roman" w:cs="Times New Roman"/>
          <w:sz w:val="24"/>
          <w:szCs w:val="24"/>
          <w:bdr w:val="none" w:sz="0" w:space="0" w:color="auto" w:frame="1"/>
        </w:rPr>
        <w:t xml:space="preserve"> pirmininkavimą ES tarybai </w:t>
      </w:r>
      <w:r w:rsidR="00925687">
        <w:rPr>
          <w:rFonts w:ascii="Times New Roman" w:hAnsi="Times New Roman" w:cs="Times New Roman"/>
          <w:sz w:val="24"/>
          <w:szCs w:val="24"/>
          <w:bdr w:val="none" w:sz="0" w:space="0" w:color="auto" w:frame="1"/>
        </w:rPr>
        <w:t xml:space="preserve">nuo sausio 1 d. </w:t>
      </w:r>
      <w:r w:rsidRPr="00CC101E">
        <w:rPr>
          <w:rFonts w:ascii="Times New Roman" w:hAnsi="Times New Roman" w:cs="Times New Roman"/>
          <w:sz w:val="24"/>
          <w:szCs w:val="24"/>
          <w:bdr w:val="none" w:sz="0" w:space="0" w:color="auto" w:frame="1"/>
        </w:rPr>
        <w:t xml:space="preserve">pradėjusi Prancūzija pristatys </w:t>
      </w:r>
      <w:r w:rsidR="00925687">
        <w:rPr>
          <w:rFonts w:ascii="Times New Roman" w:hAnsi="Times New Roman" w:cs="Times New Roman"/>
          <w:sz w:val="24"/>
          <w:szCs w:val="24"/>
          <w:bdr w:val="none" w:sz="0" w:space="0" w:color="auto" w:frame="1"/>
        </w:rPr>
        <w:t xml:space="preserve">savo </w:t>
      </w:r>
      <w:r w:rsidRPr="00CC101E">
        <w:rPr>
          <w:rFonts w:ascii="Times New Roman" w:hAnsi="Times New Roman" w:cs="Times New Roman"/>
          <w:sz w:val="24"/>
          <w:szCs w:val="24"/>
          <w:bdr w:val="none" w:sz="0" w:space="0" w:color="auto" w:frame="1"/>
        </w:rPr>
        <w:t xml:space="preserve">prioritetus, </w:t>
      </w:r>
      <w:r w:rsidR="00925687">
        <w:rPr>
          <w:rFonts w:ascii="Times New Roman" w:hAnsi="Times New Roman" w:cs="Times New Roman"/>
          <w:sz w:val="24"/>
          <w:szCs w:val="24"/>
          <w:bdr w:val="none" w:sz="0" w:space="0" w:color="auto" w:frame="1"/>
        </w:rPr>
        <w:t>po pristatymo vyks</w:t>
      </w:r>
      <w:r w:rsidRPr="00CC101E">
        <w:rPr>
          <w:rFonts w:ascii="Times New Roman" w:hAnsi="Times New Roman" w:cs="Times New Roman"/>
          <w:sz w:val="24"/>
          <w:szCs w:val="24"/>
          <w:bdr w:val="none" w:sz="0" w:space="0" w:color="auto" w:frame="1"/>
        </w:rPr>
        <w:t xml:space="preserve"> ministrų diskusija. Pirmininkaujanti valstybė </w:t>
      </w:r>
      <w:r w:rsidR="00925687">
        <w:rPr>
          <w:rFonts w:ascii="Times New Roman" w:hAnsi="Times New Roman" w:cs="Times New Roman"/>
          <w:sz w:val="24"/>
          <w:szCs w:val="24"/>
          <w:bdr w:val="none" w:sz="0" w:space="0" w:color="auto" w:frame="1"/>
        </w:rPr>
        <w:t xml:space="preserve">taip pat </w:t>
      </w:r>
      <w:r w:rsidRPr="00CC101E">
        <w:rPr>
          <w:rFonts w:ascii="Times New Roman" w:hAnsi="Times New Roman" w:cs="Times New Roman"/>
          <w:sz w:val="24"/>
          <w:szCs w:val="24"/>
          <w:bdr w:val="none" w:sz="0" w:space="0" w:color="auto" w:frame="1"/>
        </w:rPr>
        <w:t xml:space="preserve">pristatys naujausią informaciją dėl Konferencijos dėl Europos ateities, po pristatymo numatoma diskusija. </w:t>
      </w:r>
      <w:r w:rsidR="00925687">
        <w:rPr>
          <w:rFonts w:ascii="Times New Roman" w:hAnsi="Times New Roman" w:cs="Times New Roman"/>
          <w:sz w:val="24"/>
          <w:szCs w:val="24"/>
          <w:bdr w:val="none" w:sz="0" w:space="0" w:color="auto" w:frame="1"/>
        </w:rPr>
        <w:t>Ministrai aptars esamą</w:t>
      </w:r>
      <w:r w:rsidRPr="00CC101E">
        <w:rPr>
          <w:rFonts w:ascii="Times New Roman" w:hAnsi="Times New Roman" w:cs="Times New Roman"/>
          <w:sz w:val="24"/>
          <w:szCs w:val="24"/>
          <w:bdr w:val="none" w:sz="0" w:space="0" w:color="auto" w:frame="1"/>
        </w:rPr>
        <w:t xml:space="preserve"> padėt</w:t>
      </w:r>
      <w:r w:rsidR="00925687">
        <w:rPr>
          <w:rFonts w:ascii="Times New Roman" w:hAnsi="Times New Roman" w:cs="Times New Roman"/>
          <w:sz w:val="24"/>
          <w:szCs w:val="24"/>
          <w:bdr w:val="none" w:sz="0" w:space="0" w:color="auto" w:frame="1"/>
        </w:rPr>
        <w:t>į</w:t>
      </w:r>
      <w:r w:rsidRPr="00CC101E">
        <w:rPr>
          <w:rFonts w:ascii="Times New Roman" w:hAnsi="Times New Roman" w:cs="Times New Roman"/>
          <w:sz w:val="24"/>
          <w:szCs w:val="24"/>
          <w:bdr w:val="none" w:sz="0" w:space="0" w:color="auto" w:frame="1"/>
        </w:rPr>
        <w:t xml:space="preserve"> dėl atsako į COVID-19 </w:t>
      </w:r>
      <w:r w:rsidR="00925687">
        <w:rPr>
          <w:rFonts w:ascii="Times New Roman" w:hAnsi="Times New Roman" w:cs="Times New Roman"/>
          <w:sz w:val="24"/>
          <w:szCs w:val="24"/>
          <w:bdr w:val="none" w:sz="0" w:space="0" w:color="auto" w:frame="1"/>
        </w:rPr>
        <w:t xml:space="preserve">pandemiją </w:t>
      </w:r>
      <w:r w:rsidRPr="00CC101E">
        <w:rPr>
          <w:rFonts w:ascii="Times New Roman" w:hAnsi="Times New Roman" w:cs="Times New Roman"/>
          <w:sz w:val="24"/>
          <w:szCs w:val="24"/>
          <w:bdr w:val="none" w:sz="0" w:space="0" w:color="auto" w:frame="1"/>
        </w:rPr>
        <w:t>koordinavimo bei ES</w:t>
      </w:r>
      <w:r w:rsidR="00925687">
        <w:rPr>
          <w:rFonts w:ascii="Times New Roman" w:hAnsi="Times New Roman" w:cs="Times New Roman"/>
          <w:sz w:val="24"/>
          <w:szCs w:val="24"/>
          <w:bdr w:val="none" w:sz="0" w:space="0" w:color="auto" w:frame="1"/>
        </w:rPr>
        <w:t xml:space="preserve"> ir </w:t>
      </w:r>
      <w:r w:rsidRPr="00CC101E">
        <w:rPr>
          <w:rFonts w:ascii="Times New Roman" w:hAnsi="Times New Roman" w:cs="Times New Roman"/>
          <w:sz w:val="24"/>
          <w:szCs w:val="24"/>
          <w:bdr w:val="none" w:sz="0" w:space="0" w:color="auto" w:frame="1"/>
        </w:rPr>
        <w:t xml:space="preserve">Jungtinės Karalystės santykių. </w:t>
      </w:r>
      <w:r w:rsidR="00925687">
        <w:rPr>
          <w:rFonts w:ascii="Times New Roman" w:hAnsi="Times New Roman" w:cs="Times New Roman"/>
          <w:sz w:val="24"/>
          <w:szCs w:val="24"/>
          <w:bdr w:val="none" w:sz="0" w:space="0" w:color="auto" w:frame="1"/>
        </w:rPr>
        <w:t>BRT posėdžio</w:t>
      </w:r>
      <w:r w:rsidRPr="00CC101E">
        <w:rPr>
          <w:rFonts w:ascii="Times New Roman" w:hAnsi="Times New Roman" w:cs="Times New Roman"/>
          <w:sz w:val="24"/>
          <w:szCs w:val="24"/>
          <w:bdr w:val="none" w:sz="0" w:space="0" w:color="auto" w:frame="1"/>
        </w:rPr>
        <w:t xml:space="preserve"> metu vyks orientacinė diskusija dėl teisėkūros iniciatyvų paketo, skirto stiprinti dem</w:t>
      </w:r>
      <w:r w:rsidR="00CC101E" w:rsidRPr="00CC101E">
        <w:rPr>
          <w:rFonts w:ascii="Times New Roman" w:hAnsi="Times New Roman" w:cs="Times New Roman"/>
          <w:sz w:val="24"/>
          <w:szCs w:val="24"/>
          <w:bdr w:val="none" w:sz="0" w:space="0" w:color="auto" w:frame="1"/>
        </w:rPr>
        <w:t>okratiją ir rinkimų vientisumą.</w:t>
      </w:r>
    </w:p>
    <w:p w:rsidR="00CC101E" w:rsidRPr="00CC101E" w:rsidRDefault="00CC101E" w:rsidP="00CC101E">
      <w:pPr>
        <w:pStyle w:val="HTMLPreformatted"/>
        <w:jc w:val="both"/>
        <w:rPr>
          <w:rFonts w:ascii="Times New Roman" w:hAnsi="Times New Roman" w:cs="Times New Roman"/>
          <w:sz w:val="24"/>
          <w:szCs w:val="24"/>
          <w:lang w:eastAsia="en-US"/>
        </w:rPr>
      </w:pPr>
    </w:p>
    <w:p w:rsidR="009E185E" w:rsidRP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 xml:space="preserve">Demokratijos stiprinimo ir sąžiningų rinkimų teisės aktų rinkinys </w:t>
      </w:r>
    </w:p>
    <w:p w:rsidR="00CC101E" w:rsidRP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r w:rsidRPr="00CC101E">
        <w:rPr>
          <w:rFonts w:ascii="Times New Roman" w:hAnsi="Times New Roman" w:cs="Times New Roman"/>
          <w:b/>
          <w:i/>
          <w:sz w:val="24"/>
          <w:szCs w:val="24"/>
        </w:rPr>
        <w:t>Politiniai debatai</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b/>
          <w:sz w:val="24"/>
          <w:szCs w:val="24"/>
          <w:u w:val="single"/>
        </w:rPr>
        <w:t>Kontekstas</w:t>
      </w:r>
      <w:r w:rsidRPr="00CC101E">
        <w:rPr>
          <w:rFonts w:ascii="Times New Roman" w:hAnsi="Times New Roman" w:cs="Times New Roman"/>
          <w:b/>
          <w:sz w:val="24"/>
          <w:szCs w:val="24"/>
        </w:rPr>
        <w:t xml:space="preserve">. </w:t>
      </w:r>
      <w:r w:rsidRPr="00CC101E">
        <w:rPr>
          <w:rFonts w:ascii="Times New Roman" w:hAnsi="Times New Roman" w:cs="Times New Roman"/>
          <w:sz w:val="24"/>
          <w:szCs w:val="24"/>
        </w:rPr>
        <w:t xml:space="preserve">BRT bus aptartas 2021 m. lapkričio 25 </w:t>
      </w:r>
      <w:r w:rsidR="00925687">
        <w:rPr>
          <w:rFonts w:ascii="Times New Roman" w:hAnsi="Times New Roman" w:cs="Times New Roman"/>
          <w:sz w:val="24"/>
          <w:szCs w:val="24"/>
        </w:rPr>
        <w:t xml:space="preserve">Europos Komisijos </w:t>
      </w:r>
      <w:r w:rsidRPr="00CC101E">
        <w:rPr>
          <w:rFonts w:ascii="Times New Roman" w:hAnsi="Times New Roman" w:cs="Times New Roman"/>
          <w:sz w:val="24"/>
          <w:szCs w:val="24"/>
        </w:rPr>
        <w:t>pa</w:t>
      </w:r>
      <w:r w:rsidR="00925687">
        <w:rPr>
          <w:rFonts w:ascii="Times New Roman" w:hAnsi="Times New Roman" w:cs="Times New Roman"/>
          <w:sz w:val="24"/>
          <w:szCs w:val="24"/>
        </w:rPr>
        <w:t>teiktas</w:t>
      </w:r>
      <w:r w:rsidRPr="00CC101E">
        <w:rPr>
          <w:rFonts w:ascii="Times New Roman" w:hAnsi="Times New Roman" w:cs="Times New Roman"/>
          <w:sz w:val="24"/>
          <w:szCs w:val="24"/>
        </w:rPr>
        <w:t xml:space="preserve"> demokratijos ir rinkimų </w:t>
      </w:r>
      <w:r w:rsidR="00925687">
        <w:rPr>
          <w:rFonts w:ascii="Times New Roman" w:hAnsi="Times New Roman" w:cs="Times New Roman"/>
          <w:sz w:val="24"/>
          <w:szCs w:val="24"/>
        </w:rPr>
        <w:t>vientisumo</w:t>
      </w:r>
      <w:r w:rsidRPr="00CC101E">
        <w:rPr>
          <w:rFonts w:ascii="Times New Roman" w:hAnsi="Times New Roman" w:cs="Times New Roman"/>
          <w:sz w:val="24"/>
          <w:szCs w:val="24"/>
        </w:rPr>
        <w:t xml:space="preserve"> stiprinimo paketas, kuris buvo numatys Europos demokratijos veiksmų plane. Paketą sudaro komunikatas ir 4 teisėkūros aktai:</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1) </w:t>
      </w:r>
      <w:r w:rsidR="009E185E" w:rsidRPr="00CC101E">
        <w:rPr>
          <w:rFonts w:ascii="Times New Roman" w:hAnsi="Times New Roman" w:cs="Times New Roman"/>
          <w:sz w:val="24"/>
          <w:szCs w:val="24"/>
        </w:rPr>
        <w:t>Reglamentas dėl politinės reklamos skaidrumo ir atrankiojo adresav</w:t>
      </w:r>
      <w:r w:rsidR="009E25B2">
        <w:rPr>
          <w:rFonts w:ascii="Times New Roman" w:hAnsi="Times New Roman" w:cs="Times New Roman"/>
          <w:sz w:val="24"/>
          <w:szCs w:val="24"/>
        </w:rPr>
        <w:t>imo. Tai naujas pasiūlymas, juo</w:t>
      </w:r>
      <w:r w:rsidR="009E185E" w:rsidRPr="00CC101E">
        <w:rPr>
          <w:rFonts w:ascii="Times New Roman" w:hAnsi="Times New Roman" w:cs="Times New Roman"/>
          <w:sz w:val="24"/>
          <w:szCs w:val="24"/>
        </w:rPr>
        <w:t xml:space="preserve"> nustatomos apmokamos politinės reklamos skaidrumo taisyklės, kurios būtų taikomos tik Europos politinėms partijos, tačiau</w:t>
      </w:r>
      <w:r w:rsidR="009E25B2">
        <w:rPr>
          <w:rFonts w:ascii="Times New Roman" w:hAnsi="Times New Roman" w:cs="Times New Roman"/>
          <w:sz w:val="24"/>
          <w:szCs w:val="24"/>
        </w:rPr>
        <w:t xml:space="preserve"> valstybės narės (</w:t>
      </w:r>
      <w:r w:rsidR="009E185E" w:rsidRPr="00CC101E">
        <w:rPr>
          <w:rFonts w:ascii="Times New Roman" w:hAnsi="Times New Roman" w:cs="Times New Roman"/>
          <w:sz w:val="24"/>
          <w:szCs w:val="24"/>
        </w:rPr>
        <w:t>VN</w:t>
      </w:r>
      <w:r w:rsidR="009E25B2">
        <w:rPr>
          <w:rFonts w:ascii="Times New Roman" w:hAnsi="Times New Roman" w:cs="Times New Roman"/>
          <w:sz w:val="24"/>
          <w:szCs w:val="24"/>
        </w:rPr>
        <w:t>)</w:t>
      </w:r>
      <w:r w:rsidR="009E185E" w:rsidRPr="00CC101E">
        <w:rPr>
          <w:rFonts w:ascii="Times New Roman" w:hAnsi="Times New Roman" w:cs="Times New Roman"/>
          <w:sz w:val="24"/>
          <w:szCs w:val="24"/>
        </w:rPr>
        <w:t xml:space="preserve"> būtų kviečiamos jas taikyti ir nacionalinėms</w:t>
      </w:r>
      <w:r w:rsidR="009E25B2">
        <w:rPr>
          <w:rFonts w:ascii="Times New Roman" w:hAnsi="Times New Roman" w:cs="Times New Roman"/>
          <w:sz w:val="24"/>
          <w:szCs w:val="24"/>
        </w:rPr>
        <w:t xml:space="preserve"> politinėms partijoms;</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2) </w:t>
      </w:r>
      <w:r w:rsidR="009E185E" w:rsidRPr="00CC101E">
        <w:rPr>
          <w:rFonts w:ascii="Times New Roman" w:hAnsi="Times New Roman" w:cs="Times New Roman"/>
          <w:sz w:val="24"/>
          <w:szCs w:val="24"/>
        </w:rPr>
        <w:t>Reglamentas dėl Europos politinių partijų ir Europos politinių fondų statuto ir finansavimo. Juo bus patikslinamos kai kurios dabar galiojančios su Europos politinių partijų f</w:t>
      </w:r>
      <w:r w:rsidR="009E25B2">
        <w:rPr>
          <w:rFonts w:ascii="Times New Roman" w:hAnsi="Times New Roman" w:cs="Times New Roman"/>
          <w:sz w:val="24"/>
          <w:szCs w:val="24"/>
        </w:rPr>
        <w:t>inansavimu susijusios nuostatos;</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3) D</w:t>
      </w:r>
      <w:r w:rsidR="009E185E" w:rsidRPr="00CC101E">
        <w:rPr>
          <w:rFonts w:ascii="Times New Roman" w:hAnsi="Times New Roman" w:cs="Times New Roman"/>
          <w:sz w:val="24"/>
          <w:szCs w:val="24"/>
        </w:rPr>
        <w:t xml:space="preserve">irektyva dėl teisės į informaciją apie rinkimus Europos Parlamento </w:t>
      </w:r>
      <w:r w:rsidR="009E25B2">
        <w:rPr>
          <w:rFonts w:ascii="Times New Roman" w:hAnsi="Times New Roman" w:cs="Times New Roman"/>
          <w:sz w:val="24"/>
          <w:szCs w:val="24"/>
        </w:rPr>
        <w:t xml:space="preserve">(EP) </w:t>
      </w:r>
      <w:r w:rsidR="009E185E" w:rsidRPr="00CC101E">
        <w:rPr>
          <w:rFonts w:ascii="Times New Roman" w:hAnsi="Times New Roman" w:cs="Times New Roman"/>
          <w:sz w:val="24"/>
          <w:szCs w:val="24"/>
        </w:rPr>
        <w:t xml:space="preserve">rinkimų kontekste. Ja būtų nustatomos priemonės ES piliečiams, gyvenantiems kitoje VN ir nesantiems jos piliečiais, naudotis balsavimo teise ir </w:t>
      </w:r>
      <w:r w:rsidR="009E25B2">
        <w:rPr>
          <w:rFonts w:ascii="Times New Roman" w:hAnsi="Times New Roman" w:cs="Times New Roman"/>
          <w:sz w:val="24"/>
          <w:szCs w:val="24"/>
        </w:rPr>
        <w:t xml:space="preserve">kandidatuoti </w:t>
      </w:r>
      <w:r w:rsidR="009E185E" w:rsidRPr="00CC101E">
        <w:rPr>
          <w:rFonts w:ascii="Times New Roman" w:hAnsi="Times New Roman" w:cs="Times New Roman"/>
          <w:sz w:val="24"/>
          <w:szCs w:val="24"/>
        </w:rPr>
        <w:t>EP rinkimuose.</w:t>
      </w:r>
    </w:p>
    <w:p w:rsidR="009E185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4) D</w:t>
      </w:r>
      <w:r w:rsidR="009E185E" w:rsidRPr="00CC101E">
        <w:rPr>
          <w:rFonts w:ascii="Times New Roman" w:hAnsi="Times New Roman" w:cs="Times New Roman"/>
          <w:sz w:val="24"/>
          <w:szCs w:val="24"/>
        </w:rPr>
        <w:t>irektyva dėl teisės į informaciją apie rinkimus savivaldybių rinkimų kontekste. Ja būtų nustatomos priemonės ES piliečiams, gyvenantiems kitoje VN ir nesantiems jos piliečiais, naudotis balsavimo teise ir būti kandidatais savivaldybių rinkimuose.</w:t>
      </w:r>
    </w:p>
    <w:p w:rsidR="009E25B2" w:rsidRDefault="009E25B2"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CC101E" w:rsidRPr="00CC101E" w:rsidRDefault="00787CBB"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ES Tarybai p</w:t>
      </w:r>
      <w:r w:rsidR="00CC101E" w:rsidRPr="00CC101E">
        <w:rPr>
          <w:rFonts w:ascii="Times New Roman" w:hAnsi="Times New Roman" w:cs="Times New Roman"/>
          <w:sz w:val="24"/>
          <w:szCs w:val="24"/>
        </w:rPr>
        <w:t xml:space="preserve">irmininkaujanti Prancūzija prieš BRT išplatino klausimus, kurių pagrindu BRT metu vyks diskusija ir apsikeitimas požiūriais dėl šio paketo. Kol kas išsamiau pristatyti abu paketo reglamentai, bendro požiūrio į juos </w:t>
      </w:r>
      <w:r>
        <w:rPr>
          <w:rFonts w:ascii="Times New Roman" w:hAnsi="Times New Roman" w:cs="Times New Roman"/>
          <w:sz w:val="24"/>
          <w:szCs w:val="24"/>
        </w:rPr>
        <w:t>bus siekiama iki pat Prancūzijos</w:t>
      </w:r>
      <w:r w:rsidR="00CC101E" w:rsidRPr="00CC101E">
        <w:rPr>
          <w:rFonts w:ascii="Times New Roman" w:hAnsi="Times New Roman" w:cs="Times New Roman"/>
          <w:sz w:val="24"/>
          <w:szCs w:val="24"/>
        </w:rPr>
        <w:t xml:space="preserve"> pirmininkavimo pabaigos. Paketo direktyvų projektai bus pristatyti vasario mėn.</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b/>
          <w:sz w:val="24"/>
          <w:szCs w:val="24"/>
          <w:u w:val="single"/>
        </w:rPr>
        <w:t>Lietuvos pozicija</w:t>
      </w:r>
      <w:r w:rsidRPr="00CC101E">
        <w:rPr>
          <w:rFonts w:ascii="Times New Roman" w:hAnsi="Times New Roman" w:cs="Times New Roman"/>
          <w:b/>
          <w:sz w:val="24"/>
          <w:szCs w:val="24"/>
        </w:rPr>
        <w:t xml:space="preserve">. </w:t>
      </w:r>
      <w:r w:rsidRPr="00CC101E">
        <w:rPr>
          <w:rFonts w:ascii="Times New Roman" w:hAnsi="Times New Roman" w:cs="Times New Roman"/>
          <w:sz w:val="24"/>
          <w:szCs w:val="24"/>
        </w:rPr>
        <w:t>Sveikiname Demokratijos ir rinkimų integralumo stiprinimo paketą. Tikimės, kad pakete pasiūlytos teisėkūros priemonės atlieps lūkesčius stiprinti demokratiją ir Europos politines partijas bei apsaugoti rinkimų sąžiningumą.</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Reglamentas dėl politinės reklamos ska</w:t>
      </w:r>
      <w:r w:rsidR="00787CBB">
        <w:rPr>
          <w:rFonts w:ascii="Times New Roman" w:hAnsi="Times New Roman" w:cs="Times New Roman"/>
          <w:b/>
          <w:sz w:val="24"/>
          <w:szCs w:val="24"/>
        </w:rPr>
        <w:t>idrumo ir atrankiojo adresavimo.</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Pasisakome, kad visose </w:t>
      </w:r>
      <w:r w:rsidR="009E25B2">
        <w:rPr>
          <w:rFonts w:ascii="Times New Roman" w:hAnsi="Times New Roman" w:cs="Times New Roman"/>
          <w:sz w:val="24"/>
          <w:szCs w:val="24"/>
        </w:rPr>
        <w:t>VN</w:t>
      </w:r>
      <w:r w:rsidRPr="00CC101E">
        <w:rPr>
          <w:rFonts w:ascii="Times New Roman" w:hAnsi="Times New Roman" w:cs="Times New Roman"/>
          <w:sz w:val="24"/>
          <w:szCs w:val="24"/>
        </w:rPr>
        <w:t xml:space="preserve"> rinkimų į </w:t>
      </w:r>
      <w:r w:rsidR="009E25B2">
        <w:rPr>
          <w:rFonts w:ascii="Times New Roman" w:hAnsi="Times New Roman" w:cs="Times New Roman"/>
          <w:sz w:val="24"/>
          <w:szCs w:val="24"/>
        </w:rPr>
        <w:t>EP</w:t>
      </w:r>
      <w:r w:rsidRPr="00CC101E">
        <w:rPr>
          <w:rFonts w:ascii="Times New Roman" w:hAnsi="Times New Roman" w:cs="Times New Roman"/>
          <w:sz w:val="24"/>
          <w:szCs w:val="24"/>
        </w:rPr>
        <w:t xml:space="preserve"> ir nacionalinių rinkimų metu galiotų vienodos nustatytos taisyklės politinei reklamai įprastinėse medijose (televizij</w:t>
      </w:r>
      <w:r w:rsidR="00787CBB">
        <w:rPr>
          <w:rFonts w:ascii="Times New Roman" w:hAnsi="Times New Roman" w:cs="Times New Roman"/>
          <w:sz w:val="24"/>
          <w:szCs w:val="24"/>
        </w:rPr>
        <w:t>o</w:t>
      </w:r>
      <w:r w:rsidRPr="00CC101E">
        <w:rPr>
          <w:rFonts w:ascii="Times New Roman" w:hAnsi="Times New Roman" w:cs="Times New Roman"/>
          <w:sz w:val="24"/>
          <w:szCs w:val="24"/>
        </w:rPr>
        <w:t>je, radijuje ir kt.) ir socialiniuose tinkluose.</w:t>
      </w:r>
      <w:r w:rsidR="009E25B2">
        <w:rPr>
          <w:rFonts w:ascii="Times New Roman" w:hAnsi="Times New Roman" w:cs="Times New Roman"/>
          <w:sz w:val="24"/>
          <w:szCs w:val="24"/>
        </w:rPr>
        <w:t xml:space="preserve"> </w:t>
      </w:r>
      <w:r w:rsidRPr="00CC101E">
        <w:rPr>
          <w:rFonts w:ascii="Times New Roman" w:hAnsi="Times New Roman" w:cs="Times New Roman"/>
          <w:sz w:val="24"/>
          <w:szCs w:val="24"/>
        </w:rPr>
        <w:t xml:space="preserve">Tam, kad teisės aktų aiškinimas visose </w:t>
      </w:r>
      <w:r w:rsidR="00787CBB">
        <w:rPr>
          <w:rFonts w:ascii="Times New Roman" w:hAnsi="Times New Roman" w:cs="Times New Roman"/>
          <w:sz w:val="24"/>
          <w:szCs w:val="24"/>
        </w:rPr>
        <w:t>VN</w:t>
      </w:r>
      <w:r w:rsidRPr="00CC101E">
        <w:rPr>
          <w:rFonts w:ascii="Times New Roman" w:hAnsi="Times New Roman" w:cs="Times New Roman"/>
          <w:sz w:val="24"/>
          <w:szCs w:val="24"/>
        </w:rPr>
        <w:t xml:space="preserve"> būtų kuo vienodesnis</w:t>
      </w:r>
      <w:r w:rsidR="00787CBB">
        <w:rPr>
          <w:rFonts w:ascii="Times New Roman" w:hAnsi="Times New Roman" w:cs="Times New Roman"/>
          <w:sz w:val="24"/>
          <w:szCs w:val="24"/>
        </w:rPr>
        <w:t>,</w:t>
      </w:r>
      <w:r w:rsidRPr="00CC101E">
        <w:rPr>
          <w:rFonts w:ascii="Times New Roman" w:hAnsi="Times New Roman" w:cs="Times New Roman"/>
          <w:sz w:val="24"/>
          <w:szCs w:val="24"/>
        </w:rPr>
        <w:t xml:space="preserve"> reikia apibrėžti pagrindinius politinių subjektų komunikacijos principus, 1) kai skleidžiama reklama už kurią nėra apmokama (pvz.</w:t>
      </w:r>
      <w:r w:rsidR="00787CBB">
        <w:rPr>
          <w:rFonts w:ascii="Times New Roman" w:hAnsi="Times New Roman" w:cs="Times New Roman"/>
          <w:sz w:val="24"/>
          <w:szCs w:val="24"/>
        </w:rPr>
        <w:t>,</w:t>
      </w:r>
      <w:r w:rsidRPr="00CC101E">
        <w:rPr>
          <w:rFonts w:ascii="Times New Roman" w:hAnsi="Times New Roman" w:cs="Times New Roman"/>
          <w:sz w:val="24"/>
          <w:szCs w:val="24"/>
        </w:rPr>
        <w:t xml:space="preserve"> nuomonės formuotojų skleidžiama reklama), 2) neigiama apmokėta politinė reklama (kai reklama agituojama balsuoti prieš) ir 3)</w:t>
      </w:r>
      <w:r w:rsidR="00787CBB">
        <w:rPr>
          <w:rFonts w:ascii="Times New Roman" w:hAnsi="Times New Roman" w:cs="Times New Roman"/>
          <w:sz w:val="24"/>
          <w:szCs w:val="24"/>
        </w:rPr>
        <w:t xml:space="preserve"> kai</w:t>
      </w:r>
      <w:r w:rsidRPr="00CC101E">
        <w:rPr>
          <w:rFonts w:ascii="Times New Roman" w:hAnsi="Times New Roman" w:cs="Times New Roman"/>
          <w:sz w:val="24"/>
          <w:szCs w:val="24"/>
        </w:rPr>
        <w:t xml:space="preserve"> reklama skleidžiama trečiųjų asmenų, ne politinės kampanijos dalyvių (kai su kampanijos dalyviais nesusiję asmenys skleidžia už atlygį inform</w:t>
      </w:r>
      <w:r w:rsidR="009E25B2">
        <w:rPr>
          <w:rFonts w:ascii="Times New Roman" w:hAnsi="Times New Roman" w:cs="Times New Roman"/>
          <w:sz w:val="24"/>
          <w:szCs w:val="24"/>
        </w:rPr>
        <w:t>aciją, kurią skatinama balsuoti ar</w:t>
      </w:r>
      <w:r w:rsidRPr="00CC101E">
        <w:rPr>
          <w:rFonts w:ascii="Times New Roman" w:hAnsi="Times New Roman" w:cs="Times New Roman"/>
          <w:sz w:val="24"/>
          <w:szCs w:val="24"/>
        </w:rPr>
        <w:t xml:space="preserve"> nebalsuoti). </w:t>
      </w:r>
    </w:p>
    <w:p w:rsidR="00CC101E" w:rsidRPr="00CC101E" w:rsidRDefault="009E25B2"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CC101E" w:rsidRPr="00CC101E">
        <w:rPr>
          <w:rFonts w:ascii="Times New Roman" w:hAnsi="Times New Roman" w:cs="Times New Roman"/>
          <w:sz w:val="24"/>
          <w:szCs w:val="24"/>
        </w:rPr>
        <w:t xml:space="preserve">iūlome Reglamento 2 straipsnio vartojamų terminų apibrėžtyse papildyti paslaugos apibrėžimą, nurodant, kad: 1. paslauga – vykdant savarankišką ekonominę veiklą paprastai už užmokestį teikiama </w:t>
      </w:r>
      <w:r w:rsidR="00CC101E" w:rsidRPr="00CC101E">
        <w:rPr>
          <w:rFonts w:ascii="Times New Roman" w:hAnsi="Times New Roman" w:cs="Times New Roman"/>
          <w:sz w:val="24"/>
          <w:szCs w:val="24"/>
        </w:rPr>
        <w:lastRenderedPageBreak/>
        <w:t xml:space="preserve">paslauga, kaip nurodyta SESV 57 straipsnyje </w:t>
      </w:r>
      <w:r w:rsidR="00CC101E" w:rsidRPr="00CC101E">
        <w:rPr>
          <w:rFonts w:ascii="Times New Roman" w:hAnsi="Times New Roman" w:cs="Times New Roman"/>
          <w:b/>
          <w:sz w:val="24"/>
          <w:szCs w:val="24"/>
        </w:rPr>
        <w:t>arba paslauga už kurią lėšos nėra tiesiogiai pervedamos, bet yra suteikiama nauda.</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Pasisakome už efektyvią visų formų politinės reklamos stebėseną visoje </w:t>
      </w:r>
      <w:r w:rsidR="009E25B2">
        <w:rPr>
          <w:rFonts w:ascii="Times New Roman" w:hAnsi="Times New Roman" w:cs="Times New Roman"/>
          <w:sz w:val="24"/>
          <w:szCs w:val="24"/>
        </w:rPr>
        <w:t>ES</w:t>
      </w:r>
      <w:r w:rsidRPr="00CC101E">
        <w:rPr>
          <w:rFonts w:ascii="Times New Roman" w:hAnsi="Times New Roman" w:cs="Times New Roman"/>
          <w:sz w:val="24"/>
          <w:szCs w:val="24"/>
        </w:rPr>
        <w:t xml:space="preserve"> rinkimų į </w:t>
      </w:r>
      <w:r w:rsidR="009E25B2">
        <w:rPr>
          <w:rFonts w:ascii="Times New Roman" w:hAnsi="Times New Roman" w:cs="Times New Roman"/>
          <w:sz w:val="24"/>
          <w:szCs w:val="24"/>
        </w:rPr>
        <w:t>EP</w:t>
      </w:r>
      <w:r w:rsidRPr="00CC101E">
        <w:rPr>
          <w:rFonts w:ascii="Times New Roman" w:hAnsi="Times New Roman" w:cs="Times New Roman"/>
          <w:sz w:val="24"/>
          <w:szCs w:val="24"/>
        </w:rPr>
        <w:t xml:space="preserve"> ir nacionalinių rinkimų metu. Pažymėtina, kad duomenų keitimasis aktualus</w:t>
      </w:r>
      <w:r w:rsidR="00787CBB">
        <w:rPr>
          <w:rFonts w:ascii="Times New Roman" w:hAnsi="Times New Roman" w:cs="Times New Roman"/>
          <w:sz w:val="24"/>
          <w:szCs w:val="24"/>
        </w:rPr>
        <w:t>,</w:t>
      </w:r>
      <w:r w:rsidRPr="00CC101E">
        <w:rPr>
          <w:rFonts w:ascii="Times New Roman" w:hAnsi="Times New Roman" w:cs="Times New Roman"/>
          <w:sz w:val="24"/>
          <w:szCs w:val="24"/>
        </w:rPr>
        <w:t xml:space="preserve"> ypač tiriant skundus ir </w:t>
      </w:r>
      <w:r w:rsidR="009E25B2">
        <w:rPr>
          <w:rFonts w:ascii="Times New Roman" w:hAnsi="Times New Roman" w:cs="Times New Roman"/>
          <w:sz w:val="24"/>
          <w:szCs w:val="24"/>
        </w:rPr>
        <w:t xml:space="preserve">nustatant įstatymų pažeidimus. </w:t>
      </w:r>
      <w:r w:rsidRPr="00CC101E">
        <w:rPr>
          <w:rFonts w:ascii="Times New Roman" w:hAnsi="Times New Roman" w:cs="Times New Roman"/>
          <w:sz w:val="24"/>
          <w:szCs w:val="24"/>
        </w:rPr>
        <w:t>Tačiau šiam informacijos perdavimui turi būti nurodyti konkretūs pagrindai, o informacijos saugumas užtikrinamas.</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Neprieštaraujame su atrankiniu adresavimu ir </w:t>
      </w:r>
      <w:proofErr w:type="spellStart"/>
      <w:r w:rsidRPr="00CC101E">
        <w:rPr>
          <w:rFonts w:ascii="Times New Roman" w:hAnsi="Times New Roman" w:cs="Times New Roman"/>
          <w:sz w:val="24"/>
          <w:szCs w:val="24"/>
        </w:rPr>
        <w:t>amplifikacija</w:t>
      </w:r>
      <w:proofErr w:type="spellEnd"/>
      <w:r w:rsidRPr="00CC101E">
        <w:rPr>
          <w:rFonts w:ascii="Times New Roman" w:hAnsi="Times New Roman" w:cs="Times New Roman"/>
          <w:sz w:val="24"/>
          <w:szCs w:val="24"/>
        </w:rPr>
        <w:t xml:space="preserve"> susijusiems reikalavimas skelbiant politinę reklamą socialiniuose tinkluose.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Pritariame, kad duomenų valdytojai kartu su poli</w:t>
      </w:r>
      <w:r w:rsidR="009E25B2">
        <w:rPr>
          <w:rFonts w:ascii="Times New Roman" w:hAnsi="Times New Roman" w:cs="Times New Roman"/>
          <w:sz w:val="24"/>
          <w:szCs w:val="24"/>
        </w:rPr>
        <w:t>tinės reklamos skelbimu pateiktų</w:t>
      </w:r>
      <w:r w:rsidRPr="00CC101E">
        <w:rPr>
          <w:rFonts w:ascii="Times New Roman" w:hAnsi="Times New Roman" w:cs="Times New Roman"/>
          <w:sz w:val="24"/>
          <w:szCs w:val="24"/>
        </w:rPr>
        <w:t xml:space="preserve"> papildomą informaciją, kurios reikia, kad suinteresuotasis asmuo galėtų suprasti taikomą</w:t>
      </w:r>
      <w:r w:rsidR="009E25B2">
        <w:rPr>
          <w:rFonts w:ascii="Times New Roman" w:hAnsi="Times New Roman" w:cs="Times New Roman"/>
          <w:sz w:val="24"/>
          <w:szCs w:val="24"/>
        </w:rPr>
        <w:t xml:space="preserve"> reklamos sklaidos</w:t>
      </w:r>
      <w:r w:rsidRPr="00CC101E">
        <w:rPr>
          <w:rFonts w:ascii="Times New Roman" w:hAnsi="Times New Roman" w:cs="Times New Roman"/>
          <w:sz w:val="24"/>
          <w:szCs w:val="24"/>
        </w:rPr>
        <w:t xml:space="preserve"> </w:t>
      </w:r>
      <w:r w:rsidR="009E25B2">
        <w:rPr>
          <w:rFonts w:ascii="Times New Roman" w:hAnsi="Times New Roman" w:cs="Times New Roman"/>
          <w:sz w:val="24"/>
          <w:szCs w:val="24"/>
        </w:rPr>
        <w:t>logiką</w:t>
      </w:r>
      <w:r w:rsidRPr="00CC101E">
        <w:rPr>
          <w:rFonts w:ascii="Times New Roman" w:hAnsi="Times New Roman" w:cs="Times New Roman"/>
          <w:sz w:val="24"/>
          <w:szCs w:val="24"/>
        </w:rPr>
        <w:t>, taip pat trečiųjų šalių duomenų ir papildomų</w:t>
      </w:r>
      <w:r w:rsidR="009E25B2">
        <w:rPr>
          <w:rFonts w:ascii="Times New Roman" w:hAnsi="Times New Roman" w:cs="Times New Roman"/>
          <w:sz w:val="24"/>
          <w:szCs w:val="24"/>
        </w:rPr>
        <w:t xml:space="preserve"> informacijos sklaidos</w:t>
      </w:r>
      <w:r w:rsidRPr="00CC101E">
        <w:rPr>
          <w:rFonts w:ascii="Times New Roman" w:hAnsi="Times New Roman" w:cs="Times New Roman"/>
          <w:sz w:val="24"/>
          <w:szCs w:val="24"/>
        </w:rPr>
        <w:t xml:space="preserve"> analizės metodų naudojimą.</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Reglamentas dėl Europos politinių partijų ir Europos politin</w:t>
      </w:r>
      <w:r w:rsidR="00787CBB">
        <w:rPr>
          <w:rFonts w:ascii="Times New Roman" w:hAnsi="Times New Roman" w:cs="Times New Roman"/>
          <w:b/>
          <w:sz w:val="24"/>
          <w:szCs w:val="24"/>
        </w:rPr>
        <w:t>ių fondų statuto ir finansavimo.</w:t>
      </w:r>
    </w:p>
    <w:p w:rsidR="00CC101E" w:rsidRPr="00CC101E" w:rsidRDefault="00787CBB"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Palaikome e</w:t>
      </w:r>
      <w:r w:rsidR="00CC101E" w:rsidRPr="00CC101E">
        <w:rPr>
          <w:rFonts w:ascii="Times New Roman" w:hAnsi="Times New Roman" w:cs="Times New Roman"/>
          <w:sz w:val="24"/>
          <w:szCs w:val="24"/>
        </w:rPr>
        <w:t>uropines politines partijas stiprinančias inici</w:t>
      </w:r>
      <w:r>
        <w:rPr>
          <w:rFonts w:ascii="Times New Roman" w:hAnsi="Times New Roman" w:cs="Times New Roman"/>
          <w:sz w:val="24"/>
          <w:szCs w:val="24"/>
        </w:rPr>
        <w:t>atyvas. Matome poreikį didinti e</w:t>
      </w:r>
      <w:r w:rsidR="00CC101E" w:rsidRPr="00CC101E">
        <w:rPr>
          <w:rFonts w:ascii="Times New Roman" w:hAnsi="Times New Roman" w:cs="Times New Roman"/>
          <w:sz w:val="24"/>
          <w:szCs w:val="24"/>
        </w:rPr>
        <w:t xml:space="preserve">uropinių politinių partijų finansavimo skaidrumą ir išlaidų kontrolę.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Pritariame pakeitimams dėl vidinių taisyklių, reguliuojančių politinę reklamą nustatymo (4 straipsnio h punktas), naujiems reikalavimams dėl Europos partijų logotipų matomumo (4 straipsnio i punktas) ir vidinių taisyklių dėl lyčių lygybės nustatymo (4 straipsnio j punktas).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Atkreipiame dėmesį, kad naujos </w:t>
      </w:r>
      <w:r w:rsidRPr="00CC101E">
        <w:rPr>
          <w:rFonts w:ascii="Times New Roman" w:hAnsi="Times New Roman" w:cs="Times New Roman"/>
          <w:b/>
          <w:sz w:val="24"/>
          <w:szCs w:val="24"/>
        </w:rPr>
        <w:t xml:space="preserve">nuostatos, pateiktos Reglamento 23 straipsnyje, suteikiančios teisę Europos politines partijas ir fondus finansuoti ne tik iš ES </w:t>
      </w:r>
      <w:r w:rsidR="00787CBB">
        <w:rPr>
          <w:rFonts w:ascii="Times New Roman" w:hAnsi="Times New Roman" w:cs="Times New Roman"/>
          <w:b/>
          <w:sz w:val="24"/>
          <w:szCs w:val="24"/>
        </w:rPr>
        <w:t>VN</w:t>
      </w:r>
      <w:r w:rsidRPr="00CC101E">
        <w:rPr>
          <w:rFonts w:ascii="Times New Roman" w:hAnsi="Times New Roman" w:cs="Times New Roman"/>
          <w:b/>
          <w:sz w:val="24"/>
          <w:szCs w:val="24"/>
        </w:rPr>
        <w:t>, bet ir iš Europos Tarybai priklausančių šalių yra netinkamos.</w:t>
      </w:r>
      <w:r w:rsidRPr="00CC101E">
        <w:rPr>
          <w:rFonts w:ascii="Times New Roman" w:hAnsi="Times New Roman" w:cs="Times New Roman"/>
          <w:sz w:val="24"/>
          <w:szCs w:val="24"/>
        </w:rPr>
        <w:t xml:space="preserve"> Siūlom</w:t>
      </w:r>
      <w:r w:rsidR="00787CBB">
        <w:rPr>
          <w:rFonts w:ascii="Times New Roman" w:hAnsi="Times New Roman" w:cs="Times New Roman"/>
          <w:sz w:val="24"/>
          <w:szCs w:val="24"/>
        </w:rPr>
        <w:t>e</w:t>
      </w:r>
      <w:r w:rsidRPr="00CC101E">
        <w:rPr>
          <w:rFonts w:ascii="Times New Roman" w:hAnsi="Times New Roman" w:cs="Times New Roman"/>
          <w:sz w:val="24"/>
          <w:szCs w:val="24"/>
        </w:rPr>
        <w:t xml:space="preserve"> koreguoti nuostatą, panaikinant šią galimybę arba patikslinti 3 str. 1 d. e p., kuriame numatytas reikalavimas pateikti deklaraciją dėl vertybių, kurią turėtų patikrinti ir patvirtinti Europos politinių</w:t>
      </w:r>
      <w:r w:rsidR="00787CBB">
        <w:rPr>
          <w:rFonts w:ascii="Times New Roman" w:hAnsi="Times New Roman" w:cs="Times New Roman"/>
          <w:sz w:val="24"/>
          <w:szCs w:val="24"/>
        </w:rPr>
        <w:t xml:space="preserve"> partijų agentūra arba Europos K</w:t>
      </w:r>
      <w:r w:rsidRPr="00CC101E">
        <w:rPr>
          <w:rFonts w:ascii="Times New Roman" w:hAnsi="Times New Roman" w:cs="Times New Roman"/>
          <w:sz w:val="24"/>
          <w:szCs w:val="24"/>
        </w:rPr>
        <w:t xml:space="preserve">omisija.  </w:t>
      </w:r>
    </w:p>
    <w:p w:rsidR="00CC101E" w:rsidRPr="00CC101E" w:rsidRDefault="00787CBB"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sidR="00CC101E" w:rsidRPr="00CC101E">
        <w:rPr>
          <w:rFonts w:ascii="Times New Roman" w:hAnsi="Times New Roman" w:cs="Times New Roman"/>
          <w:sz w:val="24"/>
          <w:szCs w:val="24"/>
        </w:rPr>
        <w:t xml:space="preserve">pač atsargiai vertiname naujas Reglamento nuostatas (Reglamento 24 str. 2 d. ir 25 str. 3 d.), kuriose atsisakoma prieš tai galiojančio draudimo ir siūloma Europos politinėms partijoms leisti finansuoti nacionalines referendumo kampanijas dėl ES sutarčių įgyvendinimo, nes tai gali turėti tiesioginį poveikį mažų </w:t>
      </w:r>
      <w:r>
        <w:rPr>
          <w:rFonts w:ascii="Times New Roman" w:hAnsi="Times New Roman" w:cs="Times New Roman"/>
          <w:sz w:val="24"/>
          <w:szCs w:val="24"/>
        </w:rPr>
        <w:t>ES VN</w:t>
      </w:r>
      <w:r w:rsidR="00CC101E" w:rsidRPr="00CC101E">
        <w:rPr>
          <w:rFonts w:ascii="Times New Roman" w:hAnsi="Times New Roman" w:cs="Times New Roman"/>
          <w:sz w:val="24"/>
          <w:szCs w:val="24"/>
        </w:rPr>
        <w:t xml:space="preserve"> referendumo rezultatams.</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Direktyvos dėl teisės į informaciją apie rinkimus Europos Parlamento ir</w:t>
      </w:r>
      <w:r w:rsidR="00787CBB">
        <w:rPr>
          <w:rFonts w:ascii="Times New Roman" w:hAnsi="Times New Roman" w:cs="Times New Roman"/>
          <w:b/>
          <w:sz w:val="24"/>
          <w:szCs w:val="24"/>
        </w:rPr>
        <w:t xml:space="preserve"> savivaldybių rinkimų kontekste.</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Neprieštaraujame aukštesniems ES piliečių informavimo standartams tiek rinkimų į E</w:t>
      </w:r>
      <w:r w:rsidR="006015A1">
        <w:rPr>
          <w:rFonts w:ascii="Times New Roman" w:hAnsi="Times New Roman" w:cs="Times New Roman"/>
          <w:sz w:val="24"/>
          <w:szCs w:val="24"/>
        </w:rPr>
        <w:t>P</w:t>
      </w:r>
      <w:r w:rsidRPr="00CC101E">
        <w:rPr>
          <w:rFonts w:ascii="Times New Roman" w:hAnsi="Times New Roman" w:cs="Times New Roman"/>
          <w:sz w:val="24"/>
          <w:szCs w:val="24"/>
        </w:rPr>
        <w:t>, tiek savivaldybių rinkimų kontekste. Pritariame standartizuotų deklaracijų įvedimui, kas palengvins apsikeitimą duomenimis</w:t>
      </w:r>
      <w:r w:rsidR="009E25B2">
        <w:rPr>
          <w:rFonts w:ascii="Times New Roman" w:hAnsi="Times New Roman" w:cs="Times New Roman"/>
          <w:sz w:val="24"/>
          <w:szCs w:val="24"/>
        </w:rPr>
        <w:t xml:space="preserve"> su kitomis valstybėmis narėmis</w:t>
      </w:r>
      <w:r w:rsidRPr="00CC101E">
        <w:rPr>
          <w:rFonts w:ascii="Times New Roman" w:hAnsi="Times New Roman" w:cs="Times New Roman"/>
          <w:sz w:val="24"/>
          <w:szCs w:val="24"/>
        </w:rPr>
        <w:t xml:space="preserve"> apie ES piliečius, kurie ketina balsuoti ar kandidatuoti Lietuvoje.</w:t>
      </w:r>
    </w:p>
    <w:p w:rsidR="00CC101E" w:rsidRPr="00CC101E" w:rsidRDefault="006015A1"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C101E" w:rsidRPr="00CC101E">
        <w:rPr>
          <w:rFonts w:ascii="Times New Roman" w:hAnsi="Times New Roman" w:cs="Times New Roman"/>
          <w:sz w:val="24"/>
          <w:szCs w:val="24"/>
        </w:rPr>
        <w:t>tsargiai vertiname ir pertekline laikome abejose direktyvose nurodytą pareigą reikalingą informaciją pateikti ne tik priimančiosios valstybės narės oficialiąja kalba, bet ir išverstą į bent vieną kitą (kuo plačiau jos teritorijoje suprantamą) oficialiąją ES kalbą. Organizuojant rinkimus Lietuvoje tai jau yra įgyvendinama savanoriškai, tačiau nėra numatyta nacionalinės teisės aktuose (tokia pareiga nėra nustatyta ir valstybės narės piliečiams, priklausantiems tautinėms mažumoms). Tokia pareiga galimai prieštarautų Konstitucijai, pagal kurią valstybinė kalba – lietuvių kalba.</w:t>
      </w:r>
    </w:p>
    <w:p w:rsidR="009E185E" w:rsidRPr="00CC101E" w:rsidRDefault="009E185E" w:rsidP="00CC101E">
      <w:pPr>
        <w:jc w:val="both"/>
        <w:rPr>
          <w:rFonts w:ascii="Times New Roman" w:hAnsi="Times New Roman" w:cs="Times New Roman"/>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 xml:space="preserve">Pirmininkaujančios Prancūzijos prioritetai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r w:rsidRPr="00CC101E">
        <w:rPr>
          <w:rFonts w:ascii="Times New Roman" w:hAnsi="Times New Roman" w:cs="Times New Roman"/>
          <w:b/>
          <w:i/>
          <w:sz w:val="24"/>
          <w:szCs w:val="24"/>
        </w:rPr>
        <w:t xml:space="preserve">Pirmininkaujančios valstybės narės pranešimas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r w:rsidRPr="00CC101E">
        <w:rPr>
          <w:rFonts w:ascii="Times New Roman" w:hAnsi="Times New Roman" w:cs="Times New Roman"/>
          <w:b/>
          <w:i/>
          <w:sz w:val="24"/>
          <w:szCs w:val="24"/>
        </w:rPr>
        <w:t>Pasikeitimas nuomonėmis</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rsidR="006015A1" w:rsidRDefault="00CC101E" w:rsidP="006015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b/>
          <w:sz w:val="24"/>
          <w:szCs w:val="24"/>
          <w:u w:val="single"/>
        </w:rPr>
        <w:t>Kontekstas</w:t>
      </w:r>
      <w:r w:rsidRPr="00CC101E">
        <w:rPr>
          <w:rFonts w:ascii="Times New Roman" w:hAnsi="Times New Roman" w:cs="Times New Roman"/>
          <w:b/>
          <w:sz w:val="24"/>
          <w:szCs w:val="24"/>
        </w:rPr>
        <w:t xml:space="preserve">. </w:t>
      </w:r>
      <w:r w:rsidRPr="00CC101E">
        <w:rPr>
          <w:rFonts w:ascii="Times New Roman" w:hAnsi="Times New Roman" w:cs="Times New Roman"/>
          <w:sz w:val="24"/>
          <w:szCs w:val="24"/>
        </w:rPr>
        <w:t xml:space="preserve">Prancūzija savo tryliktojo pirmininkavimo ES Tarybai prioritetus sugrupavo į tris pagrindines temas – (ekonomikos) atkūrimas, galia (suverenesnė Europa pasaulyje), ir priklausymas </w:t>
      </w:r>
      <w:r w:rsidRPr="00CC101E">
        <w:rPr>
          <w:rFonts w:ascii="Times New Roman" w:hAnsi="Times New Roman" w:cs="Times New Roman"/>
          <w:sz w:val="24"/>
          <w:szCs w:val="24"/>
        </w:rPr>
        <w:lastRenderedPageBreak/>
        <w:t xml:space="preserve">(vertybės, kultūra, socialiniai klausimai, tapatybė). Europos suverenumo stiprinimas yra gija, einanti per visą Prancūzijos pirmininkavimą ir per visas temas. </w:t>
      </w:r>
    </w:p>
    <w:p w:rsidR="0011513B" w:rsidRDefault="0011513B" w:rsidP="006015A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1513B" w:rsidRP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Prancūzija akcentuos s</w:t>
      </w:r>
      <w:r w:rsidRPr="0011513B">
        <w:rPr>
          <w:rFonts w:ascii="Times New Roman" w:hAnsi="Times New Roman" w:cs="Times New Roman"/>
          <w:sz w:val="24"/>
          <w:szCs w:val="24"/>
        </w:rPr>
        <w:t>ienų apsaug</w:t>
      </w:r>
      <w:r>
        <w:rPr>
          <w:rFonts w:ascii="Times New Roman" w:hAnsi="Times New Roman" w:cs="Times New Roman"/>
          <w:sz w:val="24"/>
          <w:szCs w:val="24"/>
        </w:rPr>
        <w:t>ą</w:t>
      </w:r>
      <w:r w:rsidRPr="0011513B">
        <w:rPr>
          <w:rFonts w:ascii="Times New Roman" w:hAnsi="Times New Roman" w:cs="Times New Roman"/>
          <w:sz w:val="24"/>
          <w:szCs w:val="24"/>
        </w:rPr>
        <w:t xml:space="preserve"> i</w:t>
      </w:r>
      <w:r>
        <w:rPr>
          <w:rFonts w:ascii="Times New Roman" w:hAnsi="Times New Roman" w:cs="Times New Roman"/>
          <w:sz w:val="24"/>
          <w:szCs w:val="24"/>
        </w:rPr>
        <w:t>r Šengeno erdvės valdymo reformą</w:t>
      </w:r>
      <w:r w:rsidRPr="0011513B">
        <w:rPr>
          <w:rFonts w:ascii="Times New Roman" w:hAnsi="Times New Roman" w:cs="Times New Roman"/>
          <w:sz w:val="24"/>
          <w:szCs w:val="24"/>
        </w:rPr>
        <w:t>. Suvereni Europa – tai Europa, pajėgi apsaugoti savo sienas (</w:t>
      </w:r>
      <w:r>
        <w:rPr>
          <w:rFonts w:ascii="Times New Roman" w:hAnsi="Times New Roman" w:cs="Times New Roman"/>
          <w:sz w:val="24"/>
          <w:szCs w:val="24"/>
        </w:rPr>
        <w:t xml:space="preserve">prezidentas </w:t>
      </w:r>
      <w:proofErr w:type="spellStart"/>
      <w:r>
        <w:rPr>
          <w:rFonts w:ascii="Times New Roman" w:hAnsi="Times New Roman" w:cs="Times New Roman"/>
          <w:sz w:val="24"/>
          <w:szCs w:val="24"/>
        </w:rPr>
        <w:t>Mac</w:t>
      </w:r>
      <w:r w:rsidRPr="0011513B">
        <w:rPr>
          <w:rFonts w:ascii="Times New Roman" w:hAnsi="Times New Roman" w:cs="Times New Roman"/>
          <w:sz w:val="24"/>
          <w:szCs w:val="24"/>
        </w:rPr>
        <w:t>ronas</w:t>
      </w:r>
      <w:proofErr w:type="spellEnd"/>
      <w:r w:rsidRPr="0011513B">
        <w:rPr>
          <w:rFonts w:ascii="Times New Roman" w:hAnsi="Times New Roman" w:cs="Times New Roman"/>
          <w:sz w:val="24"/>
          <w:szCs w:val="24"/>
        </w:rPr>
        <w:t xml:space="preserve"> </w:t>
      </w:r>
      <w:r>
        <w:rPr>
          <w:rFonts w:ascii="Times New Roman" w:hAnsi="Times New Roman" w:cs="Times New Roman"/>
          <w:sz w:val="24"/>
          <w:szCs w:val="24"/>
        </w:rPr>
        <w:t xml:space="preserve">savo gruodžio 9 d. kalboje </w:t>
      </w:r>
      <w:r w:rsidRPr="0011513B">
        <w:rPr>
          <w:rFonts w:ascii="Times New Roman" w:hAnsi="Times New Roman" w:cs="Times New Roman"/>
          <w:sz w:val="24"/>
          <w:szCs w:val="24"/>
        </w:rPr>
        <w:t xml:space="preserve">priminė krizę Lietuvos, Latvijos ir Lenkijos pasienyje su Baltarusija). Reikalinga Šengeno erdvės reforma, kuri padėtų geriau apsaugoti ES sienas migracijos krizių akivaizdoje. Reikalingas politinis Šengeno erdvės valdymas – reguliarūs ministrų, atsakingų už Šengeno erdvę, susitikimai, solidarumas krizių vienoje iš valstybių narių atveju, </w:t>
      </w:r>
      <w:proofErr w:type="spellStart"/>
      <w:r w:rsidRPr="0011513B">
        <w:rPr>
          <w:rFonts w:ascii="Times New Roman" w:hAnsi="Times New Roman" w:cs="Times New Roman"/>
          <w:sz w:val="24"/>
          <w:szCs w:val="24"/>
        </w:rPr>
        <w:t>Frontex</w:t>
      </w:r>
      <w:proofErr w:type="spellEnd"/>
      <w:r w:rsidRPr="0011513B">
        <w:rPr>
          <w:rFonts w:ascii="Times New Roman" w:hAnsi="Times New Roman" w:cs="Times New Roman"/>
          <w:sz w:val="24"/>
          <w:szCs w:val="24"/>
        </w:rPr>
        <w:t xml:space="preserve"> parama, policijos pajėgų sustiprinimas, materialinių poreikių užtikrinimas. Reikia dirbti su migracijos kilmės šalimis, kovoti su neteisėtu žmonių gabenimu, ES valstybėse harmonizuoti prieglobsčio taisykles ir jų priėmimą.  </w:t>
      </w:r>
    </w:p>
    <w:p w:rsid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1513B" w:rsidRP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Prancūzija skirs daug dėmesio </w:t>
      </w:r>
      <w:r w:rsidRPr="0011513B">
        <w:rPr>
          <w:rFonts w:ascii="Times New Roman" w:hAnsi="Times New Roman" w:cs="Times New Roman"/>
          <w:sz w:val="24"/>
          <w:szCs w:val="24"/>
        </w:rPr>
        <w:t>Europos gynybos stiprinim</w:t>
      </w:r>
      <w:r>
        <w:rPr>
          <w:rFonts w:ascii="Times New Roman" w:hAnsi="Times New Roman" w:cs="Times New Roman"/>
          <w:sz w:val="24"/>
          <w:szCs w:val="24"/>
        </w:rPr>
        <w:t>ui</w:t>
      </w:r>
      <w:r w:rsidRPr="0011513B">
        <w:rPr>
          <w:rFonts w:ascii="Times New Roman" w:hAnsi="Times New Roman" w:cs="Times New Roman"/>
          <w:sz w:val="24"/>
          <w:szCs w:val="24"/>
        </w:rPr>
        <w:t>. Pirmininkavimo metu bus s</w:t>
      </w:r>
      <w:r>
        <w:rPr>
          <w:rFonts w:ascii="Times New Roman" w:hAnsi="Times New Roman" w:cs="Times New Roman"/>
          <w:sz w:val="24"/>
          <w:szCs w:val="24"/>
        </w:rPr>
        <w:t>utarta dėl Strateginio kompaso. Prancūzija kaip svarbų tikslą pabrėžia stabilumą ir klestėjimą</w:t>
      </w:r>
      <w:r w:rsidRPr="0011513B">
        <w:rPr>
          <w:rFonts w:ascii="Times New Roman" w:hAnsi="Times New Roman" w:cs="Times New Roman"/>
          <w:sz w:val="24"/>
          <w:szCs w:val="24"/>
        </w:rPr>
        <w:t xml:space="preserve"> ES kaimynystėje</w:t>
      </w:r>
      <w:r>
        <w:rPr>
          <w:rFonts w:ascii="Times New Roman" w:hAnsi="Times New Roman" w:cs="Times New Roman"/>
          <w:sz w:val="24"/>
          <w:szCs w:val="24"/>
        </w:rPr>
        <w:t xml:space="preserve"> - s</w:t>
      </w:r>
      <w:r w:rsidRPr="0011513B">
        <w:rPr>
          <w:rFonts w:ascii="Times New Roman" w:hAnsi="Times New Roman" w:cs="Times New Roman"/>
          <w:sz w:val="24"/>
          <w:szCs w:val="24"/>
        </w:rPr>
        <w:t xml:space="preserve">antykiai su Afrika bus </w:t>
      </w:r>
      <w:r>
        <w:rPr>
          <w:rFonts w:ascii="Times New Roman" w:hAnsi="Times New Roman" w:cs="Times New Roman"/>
          <w:sz w:val="24"/>
          <w:szCs w:val="24"/>
        </w:rPr>
        <w:t xml:space="preserve">jos </w:t>
      </w:r>
      <w:r w:rsidRPr="0011513B">
        <w:rPr>
          <w:rFonts w:ascii="Times New Roman" w:hAnsi="Times New Roman" w:cs="Times New Roman"/>
          <w:sz w:val="24"/>
          <w:szCs w:val="24"/>
        </w:rPr>
        <w:t xml:space="preserve">prioritetas. Vasario  mėn. planuojamas ES ir Afrikos Sąjungos viršūnių susitikimas. </w:t>
      </w:r>
    </w:p>
    <w:p w:rsidR="0011513B" w:rsidRP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1513B" w:rsidRP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1513B">
        <w:rPr>
          <w:rFonts w:ascii="Times New Roman" w:hAnsi="Times New Roman" w:cs="Times New Roman"/>
          <w:sz w:val="24"/>
          <w:szCs w:val="24"/>
        </w:rPr>
        <w:t xml:space="preserve">Ekonomikos gaivinimas po Covid-19 pandemijos bus aptariamas kovo 11 d. rengiamoje neformalioje Europos Vadovų Taryboje (EVT). Bus siekiama atsakyti į klausimus,  kaip sukurti naująjį Europos augimo modelį, kokią Europą  kursime iki 2030 m. Prancūzijos manymu, reikia kurti darbo vietas, stiprinti pramonę (vandenilio, baterijų, kosmoso, puslaidininkių), gynybą, sveikatos apsaugą, kultūrą, kūrybines industrijas. Iki kovo mėn. bus parengti  Europos investicijų planai,  nauji pramoniniai aljansai. </w:t>
      </w:r>
    </w:p>
    <w:p w:rsidR="0011513B" w:rsidRP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1513B" w:rsidRP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1513B">
        <w:rPr>
          <w:rFonts w:ascii="Times New Roman" w:hAnsi="Times New Roman" w:cs="Times New Roman"/>
          <w:sz w:val="24"/>
          <w:szCs w:val="24"/>
        </w:rPr>
        <w:t>Pabrėž</w:t>
      </w:r>
      <w:r>
        <w:rPr>
          <w:rFonts w:ascii="Times New Roman" w:hAnsi="Times New Roman" w:cs="Times New Roman"/>
          <w:sz w:val="24"/>
          <w:szCs w:val="24"/>
        </w:rPr>
        <w:t>iama</w:t>
      </w:r>
      <w:r w:rsidRPr="0011513B">
        <w:rPr>
          <w:rFonts w:ascii="Times New Roman" w:hAnsi="Times New Roman" w:cs="Times New Roman"/>
          <w:sz w:val="24"/>
          <w:szCs w:val="24"/>
        </w:rPr>
        <w:t xml:space="preserve"> būtinybė permąstyti biudžeto deficito klausimą, nes ekonomikos gaivinimo kontekste reikia iš naujo apibrėžti deficito apribojimus, Mastrichto kriterijus. Pasienio anglies dioksido korekcinis mechanizmas (CBAM) svarbus siekiant ekonomikos plėtrą suderinti su kovos su klimato kaita ambicijomis. Žaliojo kurso įgyvendinimui reikalinga patvirtinti CBAM, leisiantį ES nustatyti šiltnamio efektą sukeliančių dujų (ŠESD) taršos ribas. Jeigu į ES importuojama prekė viršytų tam tikrą ribą, ji būtų papildomai apmokestinta. Pabrėžta, kad Prancūzija sieks pasistūmėti derybose dėl europinio instrumento kovai su miškų naikinimu pasaulyje. Bus draudžiamas sojos, jautienos, palmių aliejaus, medienos, kakavos, kavos importas, jeigu tai prisideda prie miškų naikinimo. </w:t>
      </w:r>
    </w:p>
    <w:p w:rsidR="0011513B" w:rsidRPr="0011513B"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1513B" w:rsidRPr="00CC101E" w:rsidRDefault="0011513B" w:rsidP="0011513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1513B">
        <w:rPr>
          <w:rFonts w:ascii="Times New Roman" w:hAnsi="Times New Roman" w:cs="Times New Roman"/>
          <w:sz w:val="24"/>
          <w:szCs w:val="24"/>
        </w:rPr>
        <w:t>Akcentuota, kad ES turi tapti galybe internete. Skaitmeninių gigantų reguliavimo klausimą spręs Skaitmeninių rinkų aktas (DMA) ir skaitmeninių paslaugų aktas (DSA). Tai bus pagrindinis instrumentas taip pat ir kovai su antisemitizmo, rasizmo, neapykantos kurstymu internete. Prancūzija tikisi patvirtinti direktyvą dėl minimalių atlyginimų, užtikrinsiančią ne vienodą minimalų atlyginimą visose valstybėse narėse, bet padorų minimalų atlyginimą.</w:t>
      </w:r>
    </w:p>
    <w:p w:rsidR="006015A1" w:rsidRPr="00CC101E" w:rsidRDefault="006015A1"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CC101E" w:rsidRDefault="00CC101E" w:rsidP="004A558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b/>
          <w:sz w:val="24"/>
          <w:szCs w:val="24"/>
          <w:u w:val="single"/>
        </w:rPr>
        <w:t>Lietuvos pozicija</w:t>
      </w:r>
      <w:r w:rsidRPr="00CC101E">
        <w:rPr>
          <w:rFonts w:ascii="Times New Roman" w:hAnsi="Times New Roman" w:cs="Times New Roman"/>
          <w:b/>
          <w:sz w:val="24"/>
          <w:szCs w:val="24"/>
        </w:rPr>
        <w:t>.</w:t>
      </w:r>
      <w:r w:rsidRPr="00CC101E">
        <w:rPr>
          <w:rFonts w:ascii="Times New Roman" w:hAnsi="Times New Roman" w:cs="Times New Roman"/>
          <w:sz w:val="24"/>
          <w:szCs w:val="24"/>
        </w:rPr>
        <w:t xml:space="preserve"> </w:t>
      </w:r>
      <w:r w:rsidR="004A558C" w:rsidRPr="004A558C">
        <w:rPr>
          <w:rFonts w:ascii="Times New Roman" w:hAnsi="Times New Roman" w:cs="Times New Roman"/>
          <w:sz w:val="24"/>
          <w:szCs w:val="24"/>
        </w:rPr>
        <w:t>Prancūzijos pirmininkavimo programa daugeliu aspektų atitinka Lietuvos interesus. Lietuva aktyviai palaiko siekius stiprinti ES išorės sienų apsaugą, užtikrinti ekonomikos atkūrimą po COVID-19 pandemijos, įgyvendinti žaliąjį ir skaitmeninį perėjimą, kovoti prieš dezinformaciją, stiprinti ES vaidmenį pasaulyje. Lietuva papildomai pabrėžia poreikį skirti didesnį dėmesį ES vidaus rinkai, ES Rytų kaimynystei, bendradarbiavimui su transatlantiniais sąjungininkais ir kitomis šalimis – bendramintėmis. Lietuva pabrėžia ES vienybės svarbą ginant valstybes nares nuo trečiųjų šalių (visų pirma Kinijos) ekonominio ir politinio spaudimo.</w:t>
      </w:r>
    </w:p>
    <w:p w:rsidR="004A558C" w:rsidRDefault="004A558C" w:rsidP="004A558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A900DC" w:rsidRDefault="00A900DC" w:rsidP="004A558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r w:rsidRPr="00C6339D">
        <w:rPr>
          <w:rFonts w:ascii="Times New Roman" w:hAnsi="Times New Roman" w:cs="Times New Roman"/>
          <w:sz w:val="24"/>
        </w:rPr>
        <w:t xml:space="preserve">Lietuva nuosekliai pabrėžia būtinybę užtikrinti stiprų ir koordinuotą ES atsaką į COVID-19 pandemiją. Teigiamai vertiname koordinuotus sprendimus dėl naujos viruso atmainos </w:t>
      </w:r>
      <w:proofErr w:type="spellStart"/>
      <w:r w:rsidRPr="00C6339D">
        <w:rPr>
          <w:rFonts w:ascii="Times New Roman" w:hAnsi="Times New Roman" w:cs="Times New Roman"/>
          <w:sz w:val="24"/>
        </w:rPr>
        <w:t>Omikron</w:t>
      </w:r>
      <w:proofErr w:type="spellEnd"/>
      <w:r w:rsidRPr="00C6339D">
        <w:rPr>
          <w:rFonts w:ascii="Times New Roman" w:hAnsi="Times New Roman" w:cs="Times New Roman"/>
          <w:sz w:val="24"/>
        </w:rPr>
        <w:t xml:space="preserve"> valdymo. Pažymime, kad įvesti nauji ribojimai turi būti laikini, nesutrikdyti Bendrosios rinkos </w:t>
      </w:r>
      <w:r w:rsidRPr="00C6339D">
        <w:rPr>
          <w:rFonts w:ascii="Times New Roman" w:hAnsi="Times New Roman" w:cs="Times New Roman"/>
          <w:sz w:val="24"/>
        </w:rPr>
        <w:lastRenderedPageBreak/>
        <w:t>veikimo ir kiek galima mažiau paveikti prekių, paslaugų ir piliečių judėjimą ES viduje. Lietuva remia bendrų taisyklių ir gairių sukūrimą reaguojant į ateities krizes, kad būtų užtikrintas efektyvus ir lankstus atsakas, didinantis Bend</w:t>
      </w:r>
      <w:r w:rsidRPr="00F14193">
        <w:rPr>
          <w:rFonts w:ascii="Times New Roman" w:hAnsi="Times New Roman" w:cs="Times New Roman"/>
          <w:sz w:val="24"/>
        </w:rPr>
        <w:t>rosios rinkos atsparumą. Pažymime tolesnio skiepijimo svarbą, įskaitant ir stiprinamąją doze. Šioje srityje labai svarbu bendromis komunikacinėmis pastangomis mažinti abejojimą vakcina ir kovoti su dezinformacija apie vakcinos saugumą ir veiksmingumą. Pabr</w:t>
      </w:r>
      <w:r w:rsidRPr="00827F42">
        <w:rPr>
          <w:rFonts w:ascii="Times New Roman" w:hAnsi="Times New Roman" w:cs="Times New Roman"/>
          <w:sz w:val="24"/>
        </w:rPr>
        <w:t>ėžiame tolesnio dalijimosi vakcina su trečiosiomis šalimis svarbą. Lietuva aktyviai prisideda prie „ES komandos“ globalaus solidarumo pastangų.</w:t>
      </w:r>
    </w:p>
    <w:p w:rsidR="00A900DC" w:rsidRDefault="00A900DC" w:rsidP="004A558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p>
    <w:p w:rsidR="00A900DC" w:rsidRP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Lietuva pritaria bendrajam paketo „</w:t>
      </w:r>
      <w:proofErr w:type="spellStart"/>
      <w:r w:rsidRPr="00A900DC">
        <w:rPr>
          <w:rFonts w:ascii="Times New Roman" w:hAnsi="Times New Roman" w:cs="Times New Roman"/>
          <w:sz w:val="24"/>
          <w:szCs w:val="24"/>
        </w:rPr>
        <w:t>Fit</w:t>
      </w:r>
      <w:proofErr w:type="spellEnd"/>
      <w:r w:rsidRPr="00A900DC">
        <w:rPr>
          <w:rFonts w:ascii="Times New Roman" w:hAnsi="Times New Roman" w:cs="Times New Roman"/>
          <w:sz w:val="24"/>
          <w:szCs w:val="24"/>
        </w:rPr>
        <w:t xml:space="preserve"> </w:t>
      </w:r>
      <w:proofErr w:type="spellStart"/>
      <w:r w:rsidRPr="00A900DC">
        <w:rPr>
          <w:rFonts w:ascii="Times New Roman" w:hAnsi="Times New Roman" w:cs="Times New Roman"/>
          <w:sz w:val="24"/>
          <w:szCs w:val="24"/>
        </w:rPr>
        <w:t>for</w:t>
      </w:r>
      <w:proofErr w:type="spellEnd"/>
      <w:r w:rsidRPr="00A900DC">
        <w:rPr>
          <w:rFonts w:ascii="Times New Roman" w:hAnsi="Times New Roman" w:cs="Times New Roman"/>
          <w:sz w:val="24"/>
          <w:szCs w:val="24"/>
        </w:rPr>
        <w:t xml:space="preserve"> 55“ tikslui taikyti sistemingą ir tarp atskirų sričių suderintą požiūrį siekiant Žaliojo kurso aplinkosaugos ir klimato kaitos tikslų. Norėtume iš EK daugiau aiškumo dėl sklandaus perėjimo ir teisingo įsipareigojimų pasidalinimo tarp valstybių narių dėl ŠESD mažinimo tikslų ES ATLPS nedalyvaujančiuose sektoriuose.</w:t>
      </w:r>
    </w:p>
    <w:p w:rsidR="00A900DC" w:rsidRP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Teigiamai vertiname Baterijų reglamento pasiūlymą, kuris yra reikalingas atsižvelgiant į Žaliojo kurso tikslus, pokyčius rinkoje ir technikos pažangą. Palankiai vertiname siekį reguliuoti visą baterijų gyvavimo ciklą, mažinti poveikį aplinkai ir sukurti gerai veikiančią perdirbimo paslaugų ir antrinių žaliavų vidaus rinką. Manome, kad baterijoms, kaip ir kitų atliekų srautams, turi būti taikomos Bendrosios atliekų direktyvos nuostatos dėl išplėstinės gamintojų atsakomybės, o Baterijų reglamente nustatomi tik papildomi reikalavimai.</w:t>
      </w:r>
    </w:p>
    <w:p w:rsidR="00A900DC" w:rsidRP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Lietuva palankiai vertina EK reglamento pasi</w:t>
      </w:r>
      <w:r w:rsidR="007E6994">
        <w:rPr>
          <w:rFonts w:ascii="Times New Roman" w:hAnsi="Times New Roman" w:cs="Times New Roman"/>
          <w:sz w:val="24"/>
          <w:szCs w:val="24"/>
        </w:rPr>
        <w:t xml:space="preserve">ūlymą, kuris orientuotas į kovą </w:t>
      </w:r>
      <w:r w:rsidRPr="00A900DC">
        <w:rPr>
          <w:rFonts w:ascii="Times New Roman" w:hAnsi="Times New Roman" w:cs="Times New Roman"/>
          <w:sz w:val="24"/>
          <w:szCs w:val="24"/>
        </w:rPr>
        <w:t>su</w:t>
      </w:r>
      <w:r w:rsidR="007E6994">
        <w:rPr>
          <w:rFonts w:ascii="Times New Roman" w:hAnsi="Times New Roman" w:cs="Times New Roman"/>
          <w:sz w:val="24"/>
          <w:szCs w:val="24"/>
        </w:rPr>
        <w:t xml:space="preserve"> pasauliniu</w:t>
      </w:r>
      <w:r w:rsidRPr="00A900DC">
        <w:rPr>
          <w:rFonts w:ascii="Times New Roman" w:hAnsi="Times New Roman" w:cs="Times New Roman"/>
          <w:sz w:val="24"/>
          <w:szCs w:val="24"/>
        </w:rPr>
        <w:t xml:space="preserve"> miškų </w:t>
      </w:r>
      <w:r w:rsidR="007E6994">
        <w:rPr>
          <w:rFonts w:ascii="Times New Roman" w:hAnsi="Times New Roman" w:cs="Times New Roman"/>
          <w:sz w:val="24"/>
          <w:szCs w:val="24"/>
        </w:rPr>
        <w:t>naikinimu ir nykimu</w:t>
      </w:r>
      <w:r w:rsidRPr="00A900DC">
        <w:rPr>
          <w:rFonts w:ascii="Times New Roman" w:hAnsi="Times New Roman" w:cs="Times New Roman"/>
          <w:sz w:val="24"/>
          <w:szCs w:val="24"/>
        </w:rPr>
        <w:t xml:space="preserve">. Įvertinus pasaulio miškų naikinimo ir nykimo tempus, manome, kad instrumentas, įgyvendinantis miškų </w:t>
      </w:r>
      <w:r w:rsidR="007E6994">
        <w:rPr>
          <w:rFonts w:ascii="Times New Roman" w:hAnsi="Times New Roman" w:cs="Times New Roman"/>
          <w:sz w:val="24"/>
          <w:szCs w:val="24"/>
        </w:rPr>
        <w:t>naikinimo</w:t>
      </w:r>
      <w:bookmarkStart w:id="0" w:name="_GoBack"/>
      <w:bookmarkEnd w:id="0"/>
      <w:r w:rsidRPr="00A900DC">
        <w:rPr>
          <w:rFonts w:ascii="Times New Roman" w:hAnsi="Times New Roman" w:cs="Times New Roman"/>
          <w:sz w:val="24"/>
          <w:szCs w:val="24"/>
        </w:rPr>
        <w:t xml:space="preserve"> mažinimo priemones yra būtinas.</w:t>
      </w:r>
    </w:p>
    <w:p w:rsid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Teigiamai vertiname CBAM, kuris skatintų trečiųjų šalių perėjimą prie švaresnės gamybos standartų ir ambicingesnių įsipareigojimų dėl klimato kaitos švelninimo. Pasiūlymas yra ypač aktualus Lietuvai, kuri yra ES pasienio šalis su trečiosiomis šalimis ir dėl importuojamos produkcijos patiria tiesioginį nelygių konkurencinių sąlygų poveikį trąšų, cemento ir kt. sektoriuose.</w:t>
      </w:r>
    </w:p>
    <w:p w:rsidR="00192F3A" w:rsidRDefault="00192F3A"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Default="00192F3A"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Lietuva remia „</w:t>
      </w:r>
      <w:proofErr w:type="spellStart"/>
      <w:r w:rsidRPr="00192F3A">
        <w:rPr>
          <w:rFonts w:ascii="Times New Roman" w:hAnsi="Times New Roman" w:cs="Times New Roman"/>
          <w:sz w:val="24"/>
          <w:szCs w:val="24"/>
        </w:rPr>
        <w:t>Fit</w:t>
      </w:r>
      <w:proofErr w:type="spellEnd"/>
      <w:r w:rsidRPr="00192F3A">
        <w:rPr>
          <w:rFonts w:ascii="Times New Roman" w:hAnsi="Times New Roman" w:cs="Times New Roman"/>
          <w:sz w:val="24"/>
          <w:szCs w:val="24"/>
        </w:rPr>
        <w:t xml:space="preserve"> </w:t>
      </w:r>
      <w:proofErr w:type="spellStart"/>
      <w:r w:rsidRPr="00192F3A">
        <w:rPr>
          <w:rFonts w:ascii="Times New Roman" w:hAnsi="Times New Roman" w:cs="Times New Roman"/>
          <w:sz w:val="24"/>
          <w:szCs w:val="24"/>
        </w:rPr>
        <w:t>for</w:t>
      </w:r>
      <w:proofErr w:type="spellEnd"/>
      <w:r w:rsidRPr="00192F3A">
        <w:rPr>
          <w:rFonts w:ascii="Times New Roman" w:hAnsi="Times New Roman" w:cs="Times New Roman"/>
          <w:sz w:val="24"/>
          <w:szCs w:val="24"/>
        </w:rPr>
        <w:t xml:space="preserve"> 55“ teisės aktų projektus, kuriais siekiama žaliųjų tikslų transporto srityje. Pažymima, kad visi paketo pasiūlymai turi būti svarstomi horizontaliai. Pabrėžiame, kad priimtame Mobilumo pakete I, nuostata dėl vilkiko grąžinimo niekaip neprisideda prie aplinkosauginių tikslų, o atvirkščiai – didina CO2 kiekį. Turi būti pateiktas naujas pasiūlymas valstybių narių svarstymui. TEN-T plėtros gairių žemėlapiuose turi būti ištaisyta klaida (EK tai pažadėjo) ir įtraukta jungtis Vilnius-Kaunas, kuri yra nauja europinė geležinkelio vėžė, taip pat dalis projekto „</w:t>
      </w:r>
      <w:proofErr w:type="spellStart"/>
      <w:r w:rsidRPr="00192F3A">
        <w:rPr>
          <w:rFonts w:ascii="Times New Roman" w:hAnsi="Times New Roman" w:cs="Times New Roman"/>
          <w:sz w:val="24"/>
          <w:szCs w:val="24"/>
        </w:rPr>
        <w:t>Rail</w:t>
      </w:r>
      <w:proofErr w:type="spellEnd"/>
      <w:r w:rsidRPr="00192F3A">
        <w:rPr>
          <w:rFonts w:ascii="Times New Roman" w:hAnsi="Times New Roman" w:cs="Times New Roman"/>
          <w:sz w:val="24"/>
          <w:szCs w:val="24"/>
        </w:rPr>
        <w:t xml:space="preserve"> </w:t>
      </w:r>
      <w:proofErr w:type="spellStart"/>
      <w:r w:rsidRPr="00192F3A">
        <w:rPr>
          <w:rFonts w:ascii="Times New Roman" w:hAnsi="Times New Roman" w:cs="Times New Roman"/>
          <w:sz w:val="24"/>
          <w:szCs w:val="24"/>
        </w:rPr>
        <w:t>Baltica</w:t>
      </w:r>
      <w:proofErr w:type="spellEnd"/>
      <w:r w:rsidRPr="00192F3A">
        <w:rPr>
          <w:rFonts w:ascii="Times New Roman" w:hAnsi="Times New Roman" w:cs="Times New Roman"/>
          <w:sz w:val="24"/>
          <w:szCs w:val="24"/>
        </w:rPr>
        <w:t xml:space="preserve">“. Dėl tarpinės TEN-T tinklo plėtros iki 2040 m. Lietuva kreipėsi į transporto komisarę A. </w:t>
      </w:r>
      <w:proofErr w:type="spellStart"/>
      <w:r w:rsidRPr="00192F3A">
        <w:rPr>
          <w:rFonts w:ascii="Times New Roman" w:hAnsi="Times New Roman" w:cs="Times New Roman"/>
          <w:sz w:val="24"/>
          <w:szCs w:val="24"/>
        </w:rPr>
        <w:t>Valean</w:t>
      </w:r>
      <w:proofErr w:type="spellEnd"/>
      <w:r w:rsidRPr="00192F3A">
        <w:rPr>
          <w:rFonts w:ascii="Times New Roman" w:hAnsi="Times New Roman" w:cs="Times New Roman"/>
          <w:sz w:val="24"/>
          <w:szCs w:val="24"/>
        </w:rPr>
        <w:t>, dėl ketinimų nutiesti europinę geležinkelio liniją Kaunas-Klaipėda iki 2040 m. Bus siekiama,, kad ši linija atsirastų TEN-T reglamente ir jo žemėlapiuose.</w:t>
      </w:r>
    </w:p>
    <w:p w:rsidR="00192F3A" w:rsidRDefault="00192F3A"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A900DC" w:rsidRP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w:t>
      </w:r>
      <w:proofErr w:type="spellStart"/>
      <w:r w:rsidRPr="00A900DC">
        <w:rPr>
          <w:rFonts w:ascii="Times New Roman" w:hAnsi="Times New Roman" w:cs="Times New Roman"/>
          <w:sz w:val="24"/>
          <w:szCs w:val="24"/>
        </w:rPr>
        <w:t>Fit</w:t>
      </w:r>
      <w:proofErr w:type="spellEnd"/>
      <w:r w:rsidRPr="00A900DC">
        <w:rPr>
          <w:rFonts w:ascii="Times New Roman" w:hAnsi="Times New Roman" w:cs="Times New Roman"/>
          <w:sz w:val="24"/>
          <w:szCs w:val="24"/>
        </w:rPr>
        <w:t xml:space="preserve"> </w:t>
      </w:r>
      <w:proofErr w:type="spellStart"/>
      <w:r w:rsidRPr="00A900DC">
        <w:rPr>
          <w:rFonts w:ascii="Times New Roman" w:hAnsi="Times New Roman" w:cs="Times New Roman"/>
          <w:sz w:val="24"/>
          <w:szCs w:val="24"/>
        </w:rPr>
        <w:t>for</w:t>
      </w:r>
      <w:proofErr w:type="spellEnd"/>
      <w:r w:rsidRPr="00A900DC">
        <w:rPr>
          <w:rFonts w:ascii="Times New Roman" w:hAnsi="Times New Roman" w:cs="Times New Roman"/>
          <w:sz w:val="24"/>
          <w:szCs w:val="24"/>
        </w:rPr>
        <w:t xml:space="preserve"> 55“ paketo įgyvendinimas pareikalaus sistemiškos ekonomikos transformacijos. Manytume, kad siekiant paketo tikslų, svarbu užtikrinti adekvačias finansines paskatas, tinkamas investicijas, sąžiningų sąlygų užtikrinimą, atsižvelgiant į valstybių narių specifiką. Paketo įgyvendinimas – galimybė verslui kurti </w:t>
      </w:r>
      <w:proofErr w:type="spellStart"/>
      <w:r w:rsidRPr="00A900DC">
        <w:rPr>
          <w:rFonts w:ascii="Times New Roman" w:hAnsi="Times New Roman" w:cs="Times New Roman"/>
          <w:sz w:val="24"/>
          <w:szCs w:val="24"/>
        </w:rPr>
        <w:t>inovatyvias</w:t>
      </w:r>
      <w:proofErr w:type="spellEnd"/>
      <w:r w:rsidRPr="00A900DC">
        <w:rPr>
          <w:rFonts w:ascii="Times New Roman" w:hAnsi="Times New Roman" w:cs="Times New Roman"/>
          <w:sz w:val="24"/>
          <w:szCs w:val="24"/>
        </w:rPr>
        <w:t xml:space="preserve"> technologijas, ypač verta pažymėti ženklų atsinaujinančios energetikos potencialą.</w:t>
      </w:r>
    </w:p>
    <w:p w:rsidR="00A900DC" w:rsidRP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 xml:space="preserve">Pritariame, kad sėkmingai skaitmeninei transformacijai įgyvendinti svarbu stiprinti technologinius </w:t>
      </w:r>
      <w:proofErr w:type="spellStart"/>
      <w:r w:rsidRPr="00A900DC">
        <w:rPr>
          <w:rFonts w:ascii="Times New Roman" w:hAnsi="Times New Roman" w:cs="Times New Roman"/>
          <w:sz w:val="24"/>
          <w:szCs w:val="24"/>
        </w:rPr>
        <w:t>pajėgumus</w:t>
      </w:r>
      <w:proofErr w:type="spellEnd"/>
      <w:r w:rsidRPr="00A900DC">
        <w:rPr>
          <w:rFonts w:ascii="Times New Roman" w:hAnsi="Times New Roman" w:cs="Times New Roman"/>
          <w:sz w:val="24"/>
          <w:szCs w:val="24"/>
        </w:rPr>
        <w:t xml:space="preserve">, užsitikrinant tokių kritiškai svarbių medžiagų kaip puslaidininkiai gamybą. Sieksime kuo labiau įsitraukti į procesą, siūlant savo </w:t>
      </w:r>
      <w:proofErr w:type="spellStart"/>
      <w:r w:rsidRPr="00A900DC">
        <w:rPr>
          <w:rFonts w:ascii="Times New Roman" w:hAnsi="Times New Roman" w:cs="Times New Roman"/>
          <w:sz w:val="24"/>
          <w:szCs w:val="24"/>
        </w:rPr>
        <w:t>pajėgumus</w:t>
      </w:r>
      <w:proofErr w:type="spellEnd"/>
      <w:r w:rsidRPr="00A900DC">
        <w:rPr>
          <w:rFonts w:ascii="Times New Roman" w:hAnsi="Times New Roman" w:cs="Times New Roman"/>
          <w:sz w:val="24"/>
          <w:szCs w:val="24"/>
        </w:rPr>
        <w:t>.</w:t>
      </w:r>
    </w:p>
    <w:p w:rsidR="00A900DC" w:rsidRP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 xml:space="preserve">Palaikome bendrosios rinkos veikimo užtikrinimo ekstremaliomis sąlygomis priemonę. Manome, kad siūloma nauja priemonė galėtų reikšmingai padėti būsimų krizių valdyme, paskatinti proporcingų priemonių ir gerųjų praktikų taikymą, kad būtų išvengta tiekimo grandinių sutrikimų ir perteklinių judėjimo ribojimų. </w:t>
      </w:r>
    </w:p>
    <w:p w:rsidR="00A900DC" w:rsidRDefault="00A900DC" w:rsidP="00A900D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900DC">
        <w:rPr>
          <w:rFonts w:ascii="Times New Roman" w:hAnsi="Times New Roman" w:cs="Times New Roman"/>
          <w:sz w:val="24"/>
          <w:szCs w:val="24"/>
        </w:rPr>
        <w:t xml:space="preserve">Lietuva pasisako už „atvirą strateginę autonomiją“, kuri turėtų koncentruotis į vertės grandinių diversifikavimą, prieigos prie eksporto rinkų gerinimą, paramą ES pramonei ir sąžiningai </w:t>
      </w:r>
      <w:r w:rsidRPr="00A900DC">
        <w:rPr>
          <w:rFonts w:ascii="Times New Roman" w:hAnsi="Times New Roman" w:cs="Times New Roman"/>
          <w:sz w:val="24"/>
          <w:szCs w:val="24"/>
        </w:rPr>
        <w:lastRenderedPageBreak/>
        <w:t>konkurencijai. Lygios konkurencinės sąlygos - esminis ES ekonominio atsparumo užtikrinimo akcentas. Ieškant sprendimų dėl globalių iššūkių svarbu bendradarbiauti su bendramintėmis šalimis – svarbus transatlantinis bendradarbiavimas ir kuo artimesnių santykių su Jungtine Karalyste išlaikymas.</w:t>
      </w: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Lietuva pritaria Kapitalo rinkų sąjungos gilinimui. Kapitalo rinkų sąjunga padės sustiprinti Europos finansų sistemą, paskatins ekonomikos plėtrą bei didins ES konkurencingumą globaliu lygiu. Palaikome priemones, kurios padės padidinti mažųjų ir vidutinių įmonių prieigą prie visos ES kapitalo rinkos. </w:t>
      </w: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Lietuva taip pat palaiko iniciatyvas, kurios ieško būdų, kaip pasiekti didesnę nemokumo taisyklių konvergenciją, ir iniciatyvas, prisidedančias prie finansų rinkos priežiūros konvergencijos per teisinės sistemos harmonizavimą.  </w:t>
      </w: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Nuosekliai laikomės pozicijos, kad Bankų sąjunga nebus užbaigta, kol neturėsime Europos indėlių draudimo sistemos (EDIS). </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Dėl ekonominės valdysenos (fiskalinių taisyklių peržiūros) - Lietuva pasisako už esamos sistemos </w:t>
      </w:r>
      <w:proofErr w:type="spellStart"/>
      <w:r w:rsidRPr="00192F3A">
        <w:rPr>
          <w:rFonts w:ascii="Times New Roman" w:hAnsi="Times New Roman" w:cs="Times New Roman"/>
          <w:sz w:val="24"/>
          <w:szCs w:val="24"/>
        </w:rPr>
        <w:t>patobulinimus</w:t>
      </w:r>
      <w:proofErr w:type="spellEnd"/>
      <w:r w:rsidRPr="00192F3A">
        <w:rPr>
          <w:rFonts w:ascii="Times New Roman" w:hAnsi="Times New Roman" w:cs="Times New Roman"/>
          <w:sz w:val="24"/>
          <w:szCs w:val="24"/>
        </w:rPr>
        <w:t>, ne radikalius pokyčius, ilgalaikis fiskalinis tvarumas turi išlikti pagrindiniu tikslu. Taip pat svarbus subalansuotas požiūris siekiant skolos lygių mažinimo, fiskalinių rezervų atkūrimo bei tvaraus ekonomikos augimo. Dabartinės krizės metu išaugusių skolų konsolidavimas turėtų vykti atsižvelgiant į konkrečios šalies situaciją, bet numatant privalomus kiekybinius tikslus. Palaikytume papildomą lankstumą produktyvių/žaliųjų investicijų atžvilgiu, bet numatant būtinus saugiklius. Matome erdvės taisyklių paprastinimui, siekiant skaidrumo, aiškesnio taisyklių taikymo praktikoje ir jų laikymosi užtikrinimo.</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Labai svarbu užtikrinti tolesnes sklandžias derybas dėl Atsinaujinančių energijos išteklių (AEI) direktyvos ir Energinio efektyvumo direktyvos bei pradėti derybas dėl 2021 m. gruodžio 14 d. pateikto Dujų paketo. Pagrindinis Lietuvos interesas diskutuojant dėl Atsinaujinančių energijos išteklių yra siekti, kad išliktų dabartiniai nustatyti kriterijai AEI direktyvoje, kadangi jie yra pakankami tvaraus biomasės naudojimui užtikrinti. ES energijos vartojimo efektyvumo tikslo padidinimas turi būti pasiektas, atsižvelgiant į ekonomiškai efektyviausias galimybes tiek ES, tiek valstybių narių lygmeniu. Lietuva pripažįsta, kad pastatų, pramonės ir transporto sektoriuose reikia papildomų energijos vartojimo efektyvumo pastangų, šie veiksmai turi būti skatinami. Būtina nuolat stebėti augančių energijos kainų situaciją. Svarbu užtikrinti, kad galutinės ACER ir ESMA ataskaitos būtų pateiktos laiku iki 2022 m. balandžio mėn. ir imtis atitinkamų tolesnių veiksmų. Lietuvai labai svarbu, kad būtų vykdoma 2020 m. gruodžio mėn. EVT išvadų nuostata, kad EK išnagrinėtų galimas priemones, kaip riboti trečiųjų šalių komercinę elektrą iš nesaugių atominių elektrinių. Lietuva toliau planuoja kelti šį klausimą visuose susijusiuose formatuose bei tarptautiniuose susitarimuose.</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Lietuva pritarė ES Tarybos bendrajam požiūriui dėl DSA ir DMA, tačiau atkreipiamas dėmesys, kad kompromisai yra trapūs. </w:t>
      </w:r>
      <w:proofErr w:type="spellStart"/>
      <w:r w:rsidRPr="00192F3A">
        <w:rPr>
          <w:rFonts w:ascii="Times New Roman" w:hAnsi="Times New Roman" w:cs="Times New Roman"/>
          <w:sz w:val="24"/>
          <w:szCs w:val="24"/>
        </w:rPr>
        <w:t>Trilogų</w:t>
      </w:r>
      <w:proofErr w:type="spellEnd"/>
      <w:r w:rsidRPr="00192F3A">
        <w:rPr>
          <w:rFonts w:ascii="Times New Roman" w:hAnsi="Times New Roman" w:cs="Times New Roman"/>
          <w:sz w:val="24"/>
          <w:szCs w:val="24"/>
        </w:rPr>
        <w:t xml:space="preserve"> su EP metu būtina išlaikyti ES Taryboje sutartas linijas. Lietuva sieks, kad </w:t>
      </w:r>
      <w:proofErr w:type="spellStart"/>
      <w:r w:rsidRPr="00192F3A">
        <w:rPr>
          <w:rFonts w:ascii="Times New Roman" w:hAnsi="Times New Roman" w:cs="Times New Roman"/>
          <w:sz w:val="24"/>
          <w:szCs w:val="24"/>
        </w:rPr>
        <w:t>triloguose</w:t>
      </w:r>
      <w:proofErr w:type="spellEnd"/>
      <w:r w:rsidRPr="00192F3A">
        <w:rPr>
          <w:rFonts w:ascii="Times New Roman" w:hAnsi="Times New Roman" w:cs="Times New Roman"/>
          <w:sz w:val="24"/>
          <w:szCs w:val="24"/>
        </w:rPr>
        <w:t xml:space="preserve"> būtų išlaikyti ir sustiprinti Elektroninės komercijos direktyvoje įtvirtinti pagrindiniai skaitmeninės vidaus rinkos principai. Derybose taip pat turėtų būti siekiama išlaikyti kuriamo teisinio reguliavimo atitiktį teisinio tikrumo, proporcingumo ir teisinio aiškumo principams, pabrėžiant atviros Europos svarbą tarptautinėje arenoje. Svarbu, kad DSA apimtis nebūtų išplėsta į </w:t>
      </w:r>
      <w:proofErr w:type="spellStart"/>
      <w:r w:rsidRPr="00192F3A">
        <w:rPr>
          <w:rFonts w:ascii="Times New Roman" w:hAnsi="Times New Roman" w:cs="Times New Roman"/>
          <w:sz w:val="24"/>
          <w:szCs w:val="24"/>
        </w:rPr>
        <w:t>Customer</w:t>
      </w:r>
      <w:proofErr w:type="spellEnd"/>
      <w:r w:rsidRPr="00192F3A">
        <w:rPr>
          <w:rFonts w:ascii="Times New Roman" w:hAnsi="Times New Roman" w:cs="Times New Roman"/>
          <w:sz w:val="24"/>
          <w:szCs w:val="24"/>
        </w:rPr>
        <w:t xml:space="preserve"> to </w:t>
      </w:r>
      <w:proofErr w:type="spellStart"/>
      <w:r w:rsidRPr="00192F3A">
        <w:rPr>
          <w:rFonts w:ascii="Times New Roman" w:hAnsi="Times New Roman" w:cs="Times New Roman"/>
          <w:sz w:val="24"/>
          <w:szCs w:val="24"/>
        </w:rPr>
        <w:t>Customer</w:t>
      </w:r>
      <w:proofErr w:type="spellEnd"/>
      <w:r w:rsidRPr="00192F3A">
        <w:rPr>
          <w:rFonts w:ascii="Times New Roman" w:hAnsi="Times New Roman" w:cs="Times New Roman"/>
          <w:sz w:val="24"/>
          <w:szCs w:val="24"/>
        </w:rPr>
        <w:t xml:space="preserve"> (C2C) verslo modelį. </w:t>
      </w: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Lietuva pasisako, kad už DMA įgyvendinimą ir priežiūrą liktų atsakinga Komisija. Lietuva lieka skeptiška siūlymams suteikti daugiau galių valstybėms narėms įgyvendinant DMA, nes tai keltų grėsmę DMA nuostatų vienodam aiškinimui ir taikymui.</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Palankiai vertiname pastangas sukurti dirbtinio intelekto reguliavimo taisykles. Teisinis aiškumas turėtų padidinti vartotojų ir viešojo sektoriaus pasitikėjimą, sudaryti prielaidas inovacijų plėtrai bei taikymui. Europos skaitmeninės tapatybė (</w:t>
      </w:r>
      <w:proofErr w:type="spellStart"/>
      <w:r w:rsidRPr="00192F3A">
        <w:rPr>
          <w:rFonts w:ascii="Times New Roman" w:hAnsi="Times New Roman" w:cs="Times New Roman"/>
          <w:sz w:val="24"/>
          <w:szCs w:val="24"/>
        </w:rPr>
        <w:t>eID</w:t>
      </w:r>
      <w:proofErr w:type="spellEnd"/>
      <w:r w:rsidRPr="00192F3A">
        <w:rPr>
          <w:rFonts w:ascii="Times New Roman" w:hAnsi="Times New Roman" w:cs="Times New Roman"/>
          <w:sz w:val="24"/>
          <w:szCs w:val="24"/>
        </w:rPr>
        <w:t>) užtikrins bendrą ES požiūrį, kuris yra naudingas skaitmeninių paslaugų naudotojams, teikiant paslaugas tarpvalstybiniu lygiu be suvaržymų.</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Lietuva tikisi sėkmingų derybų su EP dėl ES deramo minimalaus mėnesinio atlyginimo bei skaidraus darbo užmokesčio direktyvų. </w:t>
      </w:r>
      <w:proofErr w:type="spellStart"/>
      <w:r w:rsidRPr="00192F3A">
        <w:rPr>
          <w:rFonts w:ascii="Times New Roman" w:hAnsi="Times New Roman" w:cs="Times New Roman"/>
          <w:sz w:val="24"/>
          <w:szCs w:val="24"/>
        </w:rPr>
        <w:t>Triloguose</w:t>
      </w:r>
      <w:proofErr w:type="spellEnd"/>
      <w:r w:rsidRPr="00192F3A">
        <w:rPr>
          <w:rFonts w:ascii="Times New Roman" w:hAnsi="Times New Roman" w:cs="Times New Roman"/>
          <w:sz w:val="24"/>
          <w:szCs w:val="24"/>
        </w:rPr>
        <w:t xml:space="preserve"> su EP dėl MMA direktyvos, svarbu išlaikyti ES Taryboje sutartas linijas, ir turėti platų valstybių narių palaikymą galutiniam tekstui. Atkreipiamas dėmesys, kad skirtingų pozicijų laikosi profesinės sąjungos ir darbdavių organizacijos dėl skaitmeninėse platformose dirbančių asmenų direktyvos, todėl daug dėmesio bus skiriama Lietuvos pozicijos suderinimui tiek tarp institucijų, tiek su socialiniais-ekonominiais partneriais. Lietuva sveikina Prancūzijos </w:t>
      </w:r>
      <w:proofErr w:type="spellStart"/>
      <w:r w:rsidRPr="00192F3A">
        <w:rPr>
          <w:rFonts w:ascii="Times New Roman" w:hAnsi="Times New Roman" w:cs="Times New Roman"/>
          <w:sz w:val="24"/>
          <w:szCs w:val="24"/>
        </w:rPr>
        <w:t>ketinimus</w:t>
      </w:r>
      <w:proofErr w:type="spellEnd"/>
      <w:r w:rsidRPr="00192F3A">
        <w:rPr>
          <w:rFonts w:ascii="Times New Roman" w:hAnsi="Times New Roman" w:cs="Times New Roman"/>
          <w:sz w:val="24"/>
          <w:szCs w:val="24"/>
        </w:rPr>
        <w:t xml:space="preserve"> akcentuoti lyčių lygybės ir senėjimo temas.</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Lietuva remia veiksmus stiprinant ES sveikatos politiką. COVID-19 krizė atskleidė bendro koordinavimosi Sąjungos lygiu svarbą, bei europinių agentūrų vaidmenį. Pasiūlymas dėl Europos sveikatos duomenų erdvės pasitarnaus geresnei sveikatos priežiūrai, tyrimams ir pacientų atžvilgiu geresnės politikos formavimui.</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Kadangi mažai tikėtina, kad valstybės narės per ateinančių 6 mėnesių laikotarpį pasiek</w:t>
      </w:r>
      <w:r w:rsidR="005E144A">
        <w:rPr>
          <w:rFonts w:ascii="Times New Roman" w:hAnsi="Times New Roman" w:cs="Times New Roman"/>
          <w:sz w:val="24"/>
          <w:szCs w:val="24"/>
        </w:rPr>
        <w:t>s</w:t>
      </w:r>
      <w:r w:rsidRPr="00192F3A">
        <w:rPr>
          <w:rFonts w:ascii="Times New Roman" w:hAnsi="Times New Roman" w:cs="Times New Roman"/>
          <w:sz w:val="24"/>
          <w:szCs w:val="24"/>
        </w:rPr>
        <w:t xml:space="preserve"> susitarimą dėl Naujo migracijos ir prieglobsčio pakto ir Šengeno erdvės reformos, Lietuva akcentuoja konkrečius, greičiau įgyvendinamus sprendimus. Siekiame užsitikrinti pirmininkaujančios Prancūzijos paramą susiklosčiusiai situacijai ES-Baltarusijos pasienyje spręsti ir išorinės ES sienos apsaugos stiprinimui (pasiūlymas dėl Tarybos sprendimo dėl laikinų nepaprastosios padėties priemonių taikymo LT, LV ir PL pagal ESVS 78 (3) str., pasiūlymas dėl Šengeno sienų kodekso pakeitimų). Remiame siekius dėl migrantų srautų organizuotojų ir gabentojų užkardymo, įskaitant tikslinių priemonių prieš bet kokios rūšies transporto (sausumos, oro, vidaus vandenų ir jūrų) srities vežėjus, kurie dalyvauja vykdant arba sudaro sąlygas vykdyti neteisėtą žmonių gabenimą į ES arba prekybą organizuojant tokias keliones, migrantų grąžinimo ir tinkamų sąlygų grįžtantiems migrantams užtikrinimo.</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Remiame tikslą saugoti pamatines vertybes bei gerinti teisinės valstybės principo padėtį ES. Lietuva palaiko kasmetinį teisinės valstybės dialogą bei Europos Komisijos rengiamas teisinės valstybės principo ataskaitas – tai geras instrumentas, padedantis valstybėms narėms keistis gerąja patirtimi. Šis mechanizmas taip pat veikia kaip ankstyvojo įspėjimo sistema galimiems teisinės valstybės principo pažeidimams valstybėse narėse, padedanti jiems užkirsti kelią. Naująjį sąlygų režimą vertiname kaip griežčiausią ir galutinę priemonę, naudotiną tik tuomet, kai kiti turimi ES instrumentai nepadeda užtikrinti teisinės valstybės principo laikymosi. Atkreipiame dėmesį į itin sudėtingą situaciją ES rytiniame pasienyje – Baltarusijoje. Svarbu pasitelkti visus turimus dvišalius bei daugiašalius instrumentus siekiant užtikrinti pamatinių teisių laikymąsi Baltarusijoje.</w:t>
      </w:r>
    </w:p>
    <w:p w:rsidR="004A558C" w:rsidRDefault="004A558C" w:rsidP="004A558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Default="00192F3A" w:rsidP="004A558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Reaguojant į pastaruoju metu Lietuvos patiriamus ekonominio spaudimo atvejus, Lietuvai itin aktualu, kad ES prekybos politika prisidėtų prie ES ekonominio atsparumo didinimo ir ES valstybių narių interesų gynimo, įskaitant ir trečiųjų šalių ekonominės prievartos atvejus. Siekiant šių tikslų, svarbu sutelkti dėmesį į vienodų sąlygų ES įmonėms užtikrinimą, laisvosios prekybos sutarčių tinklo plėtrą, bendradarbiavimo su bendraminčiais partneriais stiprinimą. ES prekybos santykių su JAV gilinimas turi išlikti tarp didžiausių prekybinių prioritetų, tikimės sklandaus pasirengimo antrajam ES ir JAV Prekybos ir technologijų tarybos susitikimui, kuris leis toliau vystyti dialogą dėl ateities technologinių standartų ir bendro ES ir JAV atsako į globalius iššūkius. Taip pat svarbu tęsti darbą dėl ES laisvosios prekybos susitarimų su Australija ir N. Zelandija, siekti sudaryti ES ir Singapūro, Japonijos ir Pietų Korėjos skaitmeninės prekybos susitarimus, kurie yra svarbūs rinkų diversifikavimo ir atsvaros Kinijai didinimo prasme. Remiame tolesnį darbą, ruošiant sąlygas sklandžiam ES-</w:t>
      </w:r>
      <w:proofErr w:type="spellStart"/>
      <w:r w:rsidRPr="00192F3A">
        <w:rPr>
          <w:rFonts w:ascii="Times New Roman" w:hAnsi="Times New Roman" w:cs="Times New Roman"/>
          <w:sz w:val="24"/>
          <w:szCs w:val="24"/>
        </w:rPr>
        <w:t>Mercosur</w:t>
      </w:r>
      <w:proofErr w:type="spellEnd"/>
      <w:r w:rsidRPr="00192F3A">
        <w:rPr>
          <w:rFonts w:ascii="Times New Roman" w:hAnsi="Times New Roman" w:cs="Times New Roman"/>
          <w:sz w:val="24"/>
          <w:szCs w:val="24"/>
        </w:rPr>
        <w:t xml:space="preserve"> ir ES-Meksikos susitarimų ratifikavimui. Taip pat svarbu išlaikyti tinkamą dėmesį ES Rytų partnerystės asocijuotiems partneriams ir siekti progreso diskusijose dėl DCFTA su Ukraina peržiūros. Ypač remiame ES prekybos politikos instrumentų stiprinimą per ES teisėkūros iniciatyvas. Sveikiname pasiūlymą dėl ES instrumento dėl kovos su ekonominės prievartos veiksmais </w:t>
      </w:r>
      <w:r w:rsidRPr="00192F3A">
        <w:rPr>
          <w:rFonts w:ascii="Times New Roman" w:hAnsi="Times New Roman" w:cs="Times New Roman"/>
          <w:sz w:val="24"/>
          <w:szCs w:val="24"/>
        </w:rPr>
        <w:lastRenderedPageBreak/>
        <w:t xml:space="preserve">priemonės ir tikimės, kad Prancūzijos pirmininkavimo metu bus pasiekta reikšminga pažanga. Taip pat tikimės, kad Prancūzijai pavyks užbaigti </w:t>
      </w:r>
      <w:proofErr w:type="spellStart"/>
      <w:r w:rsidRPr="00192F3A">
        <w:rPr>
          <w:rFonts w:ascii="Times New Roman" w:hAnsi="Times New Roman" w:cs="Times New Roman"/>
          <w:sz w:val="24"/>
          <w:szCs w:val="24"/>
        </w:rPr>
        <w:t>trilogus</w:t>
      </w:r>
      <w:proofErr w:type="spellEnd"/>
      <w:r w:rsidRPr="00192F3A">
        <w:rPr>
          <w:rFonts w:ascii="Times New Roman" w:hAnsi="Times New Roman" w:cs="Times New Roman"/>
          <w:sz w:val="24"/>
          <w:szCs w:val="24"/>
        </w:rPr>
        <w:t xml:space="preserve"> su EP dėl Tarptautinės viešųjų pirkimų priemonės bei pasiekti progreso dėl Bendrųjų muitų tarifų lengvatų reglamento atnaujinimo.</w:t>
      </w:r>
    </w:p>
    <w:p w:rsidR="00192F3A" w:rsidRDefault="00192F3A" w:rsidP="004A558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Rytų partnerystė yra vienas iš svarbiausių Lietuvos nacionalinės užsienio politikos prioritetų. Būtinos papildomos Lietuvos diplomatų pastangos šalių-bendraminčių sostinėse telkimui, siekiant kad su Rytų Partnerystės politika susiję klausimai neatsidurtų ES politinės darbotvarkės paraštėse. </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Lietuva ir toliau rems Rytų partneres, ypač Asocijuotąjį Trio + Armėniją (</w:t>
      </w:r>
      <w:proofErr w:type="spellStart"/>
      <w:r w:rsidRPr="00192F3A">
        <w:rPr>
          <w:rFonts w:ascii="Times New Roman" w:hAnsi="Times New Roman" w:cs="Times New Roman"/>
          <w:sz w:val="24"/>
          <w:szCs w:val="24"/>
        </w:rPr>
        <w:t>palaipsnė</w:t>
      </w:r>
      <w:proofErr w:type="spellEnd"/>
      <w:r w:rsidRPr="00192F3A">
        <w:rPr>
          <w:rFonts w:ascii="Times New Roman" w:hAnsi="Times New Roman" w:cs="Times New Roman"/>
          <w:sz w:val="24"/>
          <w:szCs w:val="24"/>
        </w:rPr>
        <w:t xml:space="preserve"> integracija į ES vidaus rinką asocijuotiems partneriams, neasocijuotiems – gilesnė sektorinė integracija, bei judėjimas bevizio režimo link, kai tam bus sąlygos; parama Trio bei principo „daugiau už daugiau“ taikymas). Svarbu toliau palaikyti Trio ir skatinti juos siekti vykdyti daugiau reformų ir nuosekliai įgyvendinti AA/DCFTA, demonstruoti norą pokyčiams, sutelkti dėmesį į realius apčiuopiamus rezultatus svarbiausiose ir dažniausiai kritikuojamose srityse, kuriose trūksta pažangos: antikorupcija, įstatymo viršenybė, teismų reforma, geras valdymas, ir gilinti ekspertinį bendradarbiavimą bei žmonių ryšius.</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Rusijos klausimu pagrindiniai Lietuvos pozicijos principai išlieka nuoseklūs: ES vienybė, tvirta parama teise paremtai tarptautinei tvarkai, ir tinkamas atsakas į priešiškus Rusijos veiksmus. ES santykius su Rusija apibrėžiantys "5 principai" sudaro bendrą paketą, todėl vienas principas (selektyvūs ES įsitraukimas) negali būti stiprinamas nesant pokyčių dėl kitų principų (Rytų kaimynystės politikos stiprinimo).  Situacija Rusijoje toliau blogėja, tad būtina jau dabar rengti tinkamo ES atsako priemones.</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Kinijos klausimu Lietuva pabrėžia ES vienybės svarbą ginant valstybes nares nuo trečiųjų šalių ekonominio ir politinio spaudimo. Lietuva siekia išlaikyti konstruktyvų ES dialogą su Turkija.</w:t>
      </w:r>
    </w:p>
    <w:p w:rsid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192F3A" w:rsidRPr="00192F3A"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Saugumo ir gynybos srityje, a</w:t>
      </w:r>
      <w:r w:rsidRPr="00192F3A">
        <w:rPr>
          <w:rFonts w:ascii="Times New Roman" w:hAnsi="Times New Roman" w:cs="Times New Roman"/>
          <w:sz w:val="24"/>
          <w:szCs w:val="24"/>
        </w:rPr>
        <w:t>tsižvelgiant į Prancūzijos išsakytus prioritetinius kaimynystės regionus, sieksime didesnio dėmesio Rytų partnerėms. ES BSGP turi vadovautis 360 laipsnių požiūriu, prioritetą teikiant artimajai kaimynystei. Vystydami ES saugumo ir gynybos iniciatyvas turime išlikti atviri ir užtikrinti, kad nebūtų ribojamas bendradarbiavimas su strateginiais partneriais, ypač JAV ir JK. Taip pat siekiame stiprinti saugumo ir gynybos bendradarbiavimą su Rytų Partnerystės šalimis.</w:t>
      </w:r>
    </w:p>
    <w:p w:rsidR="00192F3A" w:rsidRPr="00CC101E" w:rsidRDefault="00192F3A" w:rsidP="00192F3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192F3A">
        <w:rPr>
          <w:rFonts w:ascii="Times New Roman" w:hAnsi="Times New Roman" w:cs="Times New Roman"/>
          <w:sz w:val="24"/>
          <w:szCs w:val="24"/>
        </w:rPr>
        <w:t xml:space="preserve">Plėtojant iniciatyvas, susijusias su gynybos pramone, įskaitant Europos gynybos fondą, tikimės, kad bus įtrauktos </w:t>
      </w:r>
      <w:proofErr w:type="spellStart"/>
      <w:r w:rsidRPr="00192F3A">
        <w:rPr>
          <w:rFonts w:ascii="Times New Roman" w:hAnsi="Times New Roman" w:cs="Times New Roman"/>
          <w:sz w:val="24"/>
          <w:szCs w:val="24"/>
        </w:rPr>
        <w:t>SMEs</w:t>
      </w:r>
      <w:proofErr w:type="spellEnd"/>
      <w:r w:rsidRPr="00192F3A">
        <w:rPr>
          <w:rFonts w:ascii="Times New Roman" w:hAnsi="Times New Roman" w:cs="Times New Roman"/>
          <w:sz w:val="24"/>
          <w:szCs w:val="24"/>
        </w:rPr>
        <w:t>.</w:t>
      </w:r>
      <w:r w:rsidR="00203F71">
        <w:rPr>
          <w:rFonts w:ascii="Times New Roman" w:hAnsi="Times New Roman" w:cs="Times New Roman"/>
          <w:sz w:val="24"/>
          <w:szCs w:val="24"/>
        </w:rPr>
        <w:t xml:space="preserve"> </w:t>
      </w:r>
      <w:r w:rsidRPr="00192F3A">
        <w:rPr>
          <w:rFonts w:ascii="Times New Roman" w:hAnsi="Times New Roman" w:cs="Times New Roman"/>
          <w:sz w:val="24"/>
          <w:szCs w:val="24"/>
        </w:rPr>
        <w:t xml:space="preserve">Papildomumas ir suderinamumas su NATO – svarbiausias Strateginio kompaso aspektas. Mūsų/ES gynybą užtikrina transatlantinis ryšys ir įsipareigojimai kolektyvinei gynybai NATO. Saugumo ir gynybos srityje pastangų ir resursų dubliavimas žalingas </w:t>
      </w:r>
      <w:proofErr w:type="spellStart"/>
      <w:r w:rsidRPr="00192F3A">
        <w:rPr>
          <w:rFonts w:ascii="Times New Roman" w:hAnsi="Times New Roman" w:cs="Times New Roman"/>
          <w:sz w:val="24"/>
          <w:szCs w:val="24"/>
        </w:rPr>
        <w:t>abiems</w:t>
      </w:r>
      <w:proofErr w:type="spellEnd"/>
      <w:r w:rsidRPr="00192F3A">
        <w:rPr>
          <w:rFonts w:ascii="Times New Roman" w:hAnsi="Times New Roman" w:cs="Times New Roman"/>
          <w:sz w:val="24"/>
          <w:szCs w:val="24"/>
        </w:rPr>
        <w:t xml:space="preserve"> organizacijoms, todėl to turi būti išvengta. Strateginiame kompase keliamos ambicijos turi atitikti turimus resursus, išlieka labai svarbus nacionalinių investicijų į gynybą klausimas.</w:t>
      </w:r>
    </w:p>
    <w:p w:rsidR="009E185E" w:rsidRPr="00CC101E" w:rsidRDefault="009E185E" w:rsidP="00CC101E">
      <w:pPr>
        <w:spacing w:after="0" w:line="240" w:lineRule="auto"/>
        <w:jc w:val="both"/>
        <w:rPr>
          <w:rFonts w:ascii="Times New Roman" w:hAnsi="Times New Roman" w:cs="Times New Roman"/>
          <w:sz w:val="24"/>
          <w:szCs w:val="24"/>
        </w:rPr>
      </w:pPr>
    </w:p>
    <w:p w:rsidR="009E185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 xml:space="preserve">Pirmininkaujančios Prancūzijos prioritetai </w:t>
      </w:r>
      <w:r w:rsidR="009E185E" w:rsidRPr="00CC101E">
        <w:rPr>
          <w:rFonts w:ascii="Times New Roman" w:hAnsi="Times New Roman" w:cs="Times New Roman"/>
          <w:b/>
          <w:sz w:val="24"/>
          <w:szCs w:val="24"/>
        </w:rPr>
        <w:t xml:space="preserve">Konferencija dėl Europos ateities </w:t>
      </w:r>
    </w:p>
    <w:p w:rsidR="009E185E" w:rsidRP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r w:rsidRPr="00CC101E">
        <w:rPr>
          <w:rFonts w:ascii="Times New Roman" w:hAnsi="Times New Roman" w:cs="Times New Roman"/>
          <w:b/>
          <w:i/>
          <w:sz w:val="24"/>
          <w:szCs w:val="24"/>
        </w:rPr>
        <w:t xml:space="preserve">Pirmininkaujančios valstybės narės informacija </w:t>
      </w:r>
    </w:p>
    <w:p w:rsidR="00CC101E" w:rsidRP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r w:rsidRPr="00CC101E">
        <w:rPr>
          <w:rFonts w:ascii="Times New Roman" w:hAnsi="Times New Roman" w:cs="Times New Roman"/>
          <w:b/>
          <w:i/>
          <w:sz w:val="24"/>
          <w:szCs w:val="24"/>
        </w:rPr>
        <w:t>Pasikeitimas nuomonėmis</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b/>
          <w:sz w:val="24"/>
          <w:szCs w:val="24"/>
          <w:u w:val="single"/>
        </w:rPr>
        <w:t>Kontekstas</w:t>
      </w:r>
      <w:r w:rsidRPr="00CC101E">
        <w:rPr>
          <w:rFonts w:ascii="Times New Roman" w:hAnsi="Times New Roman" w:cs="Times New Roman"/>
          <w:b/>
          <w:sz w:val="24"/>
          <w:szCs w:val="24"/>
        </w:rPr>
        <w:t>.</w:t>
      </w:r>
      <w:r w:rsidR="001F16B5">
        <w:rPr>
          <w:rFonts w:ascii="Times New Roman" w:hAnsi="Times New Roman" w:cs="Times New Roman"/>
          <w:sz w:val="24"/>
          <w:szCs w:val="24"/>
        </w:rPr>
        <w:t xml:space="preserve"> </w:t>
      </w:r>
      <w:r w:rsidRPr="00CC101E">
        <w:rPr>
          <w:rFonts w:ascii="Times New Roman" w:hAnsi="Times New Roman" w:cs="Times New Roman"/>
          <w:sz w:val="24"/>
          <w:szCs w:val="24"/>
        </w:rPr>
        <w:t>Pirm</w:t>
      </w:r>
      <w:r w:rsidR="009E25B2">
        <w:rPr>
          <w:rFonts w:ascii="Times New Roman" w:hAnsi="Times New Roman" w:cs="Times New Roman"/>
          <w:sz w:val="24"/>
          <w:szCs w:val="24"/>
        </w:rPr>
        <w:t>ininkaujanti valstybė</w:t>
      </w:r>
      <w:r w:rsidRPr="00CC101E">
        <w:rPr>
          <w:rFonts w:ascii="Times New Roman" w:hAnsi="Times New Roman" w:cs="Times New Roman"/>
          <w:sz w:val="24"/>
          <w:szCs w:val="24"/>
        </w:rPr>
        <w:t xml:space="preserve"> informuos apie Konferencijos dėl Europos ateities (</w:t>
      </w:r>
      <w:proofErr w:type="spellStart"/>
      <w:r w:rsidRPr="00CC101E">
        <w:rPr>
          <w:rFonts w:ascii="Times New Roman" w:hAnsi="Times New Roman" w:cs="Times New Roman"/>
          <w:sz w:val="24"/>
          <w:szCs w:val="24"/>
        </w:rPr>
        <w:t>CoFE</w:t>
      </w:r>
      <w:proofErr w:type="spellEnd"/>
      <w:r w:rsidRPr="00CC101E">
        <w:rPr>
          <w:rFonts w:ascii="Times New Roman" w:hAnsi="Times New Roman" w:cs="Times New Roman"/>
          <w:sz w:val="24"/>
          <w:szCs w:val="24"/>
        </w:rPr>
        <w:t xml:space="preserve">) esamą padėtį ir planus FR pirmininkavimo metu bei sausio 10 d. </w:t>
      </w:r>
      <w:r w:rsidR="001F16B5">
        <w:rPr>
          <w:rFonts w:ascii="Times New Roman" w:hAnsi="Times New Roman" w:cs="Times New Roman"/>
          <w:sz w:val="24"/>
          <w:szCs w:val="24"/>
        </w:rPr>
        <w:t>į</w:t>
      </w:r>
      <w:r w:rsidRPr="00CC101E">
        <w:rPr>
          <w:rFonts w:ascii="Times New Roman" w:hAnsi="Times New Roman" w:cs="Times New Roman"/>
          <w:sz w:val="24"/>
          <w:szCs w:val="24"/>
        </w:rPr>
        <w:t xml:space="preserve">vykusių ko-pirmininkų susitikimo rezultatus. Konkrečiai dėl: (1) </w:t>
      </w:r>
      <w:proofErr w:type="spellStart"/>
      <w:r w:rsidRPr="00CC101E">
        <w:rPr>
          <w:rFonts w:ascii="Times New Roman" w:hAnsi="Times New Roman" w:cs="Times New Roman"/>
          <w:sz w:val="24"/>
          <w:szCs w:val="24"/>
        </w:rPr>
        <w:t>CoFE</w:t>
      </w:r>
      <w:proofErr w:type="spellEnd"/>
      <w:r w:rsidRPr="00CC101E">
        <w:rPr>
          <w:rFonts w:ascii="Times New Roman" w:hAnsi="Times New Roman" w:cs="Times New Roman"/>
          <w:sz w:val="24"/>
          <w:szCs w:val="24"/>
        </w:rPr>
        <w:t xml:space="preserve"> kalendoriaus, (2) Europos ir nacionalinių piliečių forumų (</w:t>
      </w:r>
      <w:proofErr w:type="spellStart"/>
      <w:r w:rsidRPr="00CC101E">
        <w:rPr>
          <w:rFonts w:ascii="Times New Roman" w:hAnsi="Times New Roman" w:cs="Times New Roman"/>
          <w:i/>
          <w:sz w:val="24"/>
          <w:szCs w:val="24"/>
        </w:rPr>
        <w:t>panels</w:t>
      </w:r>
      <w:proofErr w:type="spellEnd"/>
      <w:r w:rsidRPr="00CC101E">
        <w:rPr>
          <w:rFonts w:ascii="Times New Roman" w:hAnsi="Times New Roman" w:cs="Times New Roman"/>
          <w:sz w:val="24"/>
          <w:szCs w:val="24"/>
        </w:rPr>
        <w:t xml:space="preserve">) organizavimo bei (3) sausio 21-22 d. </w:t>
      </w:r>
      <w:proofErr w:type="spellStart"/>
      <w:r w:rsidRPr="00CC101E">
        <w:rPr>
          <w:rFonts w:ascii="Times New Roman" w:hAnsi="Times New Roman" w:cs="Times New Roman"/>
          <w:sz w:val="24"/>
          <w:szCs w:val="24"/>
        </w:rPr>
        <w:t>CoFE</w:t>
      </w:r>
      <w:proofErr w:type="spellEnd"/>
      <w:r w:rsidRPr="00CC101E">
        <w:rPr>
          <w:rFonts w:ascii="Times New Roman" w:hAnsi="Times New Roman" w:cs="Times New Roman"/>
          <w:sz w:val="24"/>
          <w:szCs w:val="24"/>
        </w:rPr>
        <w:t xml:space="preserve"> plenarinės sesijos.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b/>
          <w:sz w:val="24"/>
          <w:szCs w:val="24"/>
          <w:u w:val="single"/>
        </w:rPr>
        <w:t>Lietuvos pozicija</w:t>
      </w:r>
      <w:r w:rsidRPr="00CC101E">
        <w:rPr>
          <w:rFonts w:ascii="Times New Roman" w:hAnsi="Times New Roman" w:cs="Times New Roman"/>
          <w:b/>
          <w:sz w:val="24"/>
          <w:szCs w:val="24"/>
        </w:rPr>
        <w:t>.</w:t>
      </w:r>
      <w:r w:rsidRPr="00CC101E">
        <w:rPr>
          <w:rFonts w:ascii="Times New Roman" w:hAnsi="Times New Roman" w:cs="Times New Roman"/>
          <w:sz w:val="24"/>
          <w:szCs w:val="24"/>
        </w:rPr>
        <w:t xml:space="preserve"> Remiame Konferencijos dėl Europos ateities iniciatyvą, kuri yra unikali platforma su Lietuvos ir vis</w:t>
      </w:r>
      <w:r w:rsidR="009E25B2">
        <w:rPr>
          <w:rFonts w:ascii="Times New Roman" w:hAnsi="Times New Roman" w:cs="Times New Roman"/>
          <w:sz w:val="24"/>
          <w:szCs w:val="24"/>
        </w:rPr>
        <w:t xml:space="preserve">os ES piliečiais kalbėtis apie bendrą ES </w:t>
      </w:r>
      <w:r w:rsidRPr="00CC101E">
        <w:rPr>
          <w:rFonts w:ascii="Times New Roman" w:hAnsi="Times New Roman" w:cs="Times New Roman"/>
          <w:sz w:val="24"/>
          <w:szCs w:val="24"/>
        </w:rPr>
        <w:t xml:space="preserve">ateitį. Tikimės, kad ji prisidės prie ES vienybės stiprinimo. Nuosekliai akcentuojame, kad didžiausias dėmesys turėtų būti  kreipiamas į ES Strateginės darbotvarkės įgyvendinimą, atsigavimą po pandemijos, ES žaliąjį kursą ir </w:t>
      </w:r>
      <w:proofErr w:type="spellStart"/>
      <w:r w:rsidRPr="00CC101E">
        <w:rPr>
          <w:rFonts w:ascii="Times New Roman" w:hAnsi="Times New Roman" w:cs="Times New Roman"/>
          <w:sz w:val="24"/>
          <w:szCs w:val="24"/>
        </w:rPr>
        <w:t>skaitmenizacijos</w:t>
      </w:r>
      <w:proofErr w:type="spellEnd"/>
      <w:r w:rsidRPr="00CC101E">
        <w:rPr>
          <w:rFonts w:ascii="Times New Roman" w:hAnsi="Times New Roman" w:cs="Times New Roman"/>
          <w:sz w:val="24"/>
          <w:szCs w:val="24"/>
        </w:rPr>
        <w:t xml:space="preserve"> plėtrą bei jos keliamus iššūkius. Kartu pabrėžiame būtinybę stiprinti ES atsaką į </w:t>
      </w:r>
      <w:r w:rsidRPr="00CC101E">
        <w:rPr>
          <w:rFonts w:ascii="Times New Roman" w:hAnsi="Times New Roman" w:cs="Times New Roman"/>
          <w:sz w:val="24"/>
          <w:szCs w:val="24"/>
        </w:rPr>
        <w:lastRenderedPageBreak/>
        <w:t>migraci</w:t>
      </w:r>
      <w:r w:rsidR="00876C74">
        <w:rPr>
          <w:rFonts w:ascii="Times New Roman" w:hAnsi="Times New Roman" w:cs="Times New Roman"/>
          <w:sz w:val="24"/>
          <w:szCs w:val="24"/>
        </w:rPr>
        <w:t>jos</w:t>
      </w:r>
      <w:r w:rsidRPr="00CC101E">
        <w:rPr>
          <w:rFonts w:ascii="Times New Roman" w:hAnsi="Times New Roman" w:cs="Times New Roman"/>
          <w:sz w:val="24"/>
          <w:szCs w:val="24"/>
        </w:rPr>
        <w:t xml:space="preserve"> spaudimą ir demokratijos, įskaitant teisės viršenybę, stiprinimą tiek ES viduje, tiek ir kaimynystėje bei pasaulyje.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Tikimės, kad artėjanti sausio 21-22 d. Konferencijos plenarinė sesija įvyks, tai – svarbi Konferencijos dalis, leidžianti sprendimų priėmėjams diskutuoti kartu su piliečiais. Pritariame sausio plenarinės sesijos darbotvarkei, ypač svarbu bus aptarti jau įvykusių dviejų Europos piliečių forumų rezultatus. Tikimės, kad lyginant su 2021 m. spalio mėn. Plenarine sesija, šįkart formatas bus interaktyvesnis ir leidžiantis </w:t>
      </w:r>
      <w:r w:rsidR="00876C74">
        <w:rPr>
          <w:rFonts w:ascii="Times New Roman" w:hAnsi="Times New Roman" w:cs="Times New Roman"/>
          <w:sz w:val="24"/>
          <w:szCs w:val="24"/>
        </w:rPr>
        <w:t>vystyti</w:t>
      </w:r>
      <w:r w:rsidRPr="00CC101E">
        <w:rPr>
          <w:rFonts w:ascii="Times New Roman" w:hAnsi="Times New Roman" w:cs="Times New Roman"/>
          <w:sz w:val="24"/>
          <w:szCs w:val="24"/>
        </w:rPr>
        <w:t xml:space="preserve"> produktyvų dialogą.</w:t>
      </w:r>
    </w:p>
    <w:p w:rsidR="00CC101E" w:rsidRPr="00CC101E" w:rsidRDefault="00E65B71"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Vertiname </w:t>
      </w:r>
      <w:r w:rsidR="00CC101E" w:rsidRPr="00CC101E">
        <w:rPr>
          <w:rFonts w:ascii="Times New Roman" w:hAnsi="Times New Roman" w:cs="Times New Roman"/>
          <w:sz w:val="24"/>
          <w:szCs w:val="24"/>
        </w:rPr>
        <w:t>Europos piliečių forumuose išreikštas idėjas, tai – formatas, kuris suteikia galimybę įsivertinti piliečių nuotaikas ir lūkesčius. Ypač teigiamai vertiname faktą, kad Europos demokratijos tema yra daugiausiai dėmesio Konferencijos kontekste sulaukianti tema, o Europos piliečių forumo rekomendacijos rodo, kad piliečiams svarbu demokratijos vertybių puoselėjimas. Piliečiai yra suinteresuoti konkrečiu, apčiuopiamu rezultatu, todėl ES institucijų ir valstybių narių užduotis yra įvertinti piliečių lūkesčius ir i</w:t>
      </w:r>
      <w:r w:rsidR="00876C74">
        <w:rPr>
          <w:rFonts w:ascii="Times New Roman" w:hAnsi="Times New Roman" w:cs="Times New Roman"/>
          <w:sz w:val="24"/>
          <w:szCs w:val="24"/>
        </w:rPr>
        <w:t>dentifikuoti temas bei pasiūlymu</w:t>
      </w:r>
      <w:r w:rsidR="00CC101E" w:rsidRPr="00CC101E">
        <w:rPr>
          <w:rFonts w:ascii="Times New Roman" w:hAnsi="Times New Roman" w:cs="Times New Roman"/>
          <w:sz w:val="24"/>
          <w:szCs w:val="24"/>
        </w:rPr>
        <w:t xml:space="preserve">s, </w:t>
      </w:r>
      <w:r w:rsidR="00876C74">
        <w:rPr>
          <w:rFonts w:ascii="Times New Roman" w:hAnsi="Times New Roman" w:cs="Times New Roman"/>
          <w:sz w:val="24"/>
          <w:szCs w:val="24"/>
        </w:rPr>
        <w:t>kurie gali virsti apčiuopiamais rezultatais.</w:t>
      </w:r>
    </w:p>
    <w:p w:rsidR="009E185E" w:rsidRPr="00CC101E" w:rsidRDefault="009E185E" w:rsidP="00CC101E">
      <w:pPr>
        <w:spacing w:after="0" w:line="240" w:lineRule="auto"/>
        <w:jc w:val="both"/>
        <w:rPr>
          <w:rFonts w:ascii="Times New Roman" w:hAnsi="Times New Roman" w:cs="Times New Roman"/>
          <w:b/>
          <w:sz w:val="24"/>
          <w:szCs w:val="24"/>
        </w:rPr>
      </w:pPr>
    </w:p>
    <w:p w:rsidR="009E185E" w:rsidRP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 xml:space="preserve">COVID-19: koordinavimas Europos Sąjungos lygmeniu </w:t>
      </w:r>
    </w:p>
    <w:p w:rsid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r w:rsidRPr="00CC101E">
        <w:rPr>
          <w:rFonts w:ascii="Times New Roman" w:hAnsi="Times New Roman" w:cs="Times New Roman"/>
          <w:b/>
          <w:i/>
          <w:sz w:val="24"/>
          <w:szCs w:val="24"/>
        </w:rPr>
        <w:t>Dabartinė padėtis</w:t>
      </w:r>
    </w:p>
    <w:p w:rsidR="00876C74" w:rsidRPr="00CC101E" w:rsidRDefault="00876C74"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p>
    <w:p w:rsid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b/>
          <w:sz w:val="24"/>
          <w:szCs w:val="24"/>
          <w:u w:val="single"/>
        </w:rPr>
        <w:t>Kontekstas</w:t>
      </w:r>
      <w:r w:rsidRPr="00CC101E">
        <w:rPr>
          <w:rFonts w:ascii="Times New Roman" w:hAnsi="Times New Roman" w:cs="Times New Roman"/>
          <w:b/>
          <w:sz w:val="24"/>
          <w:szCs w:val="24"/>
        </w:rPr>
        <w:t xml:space="preserve">. </w:t>
      </w:r>
      <w:r w:rsidRPr="00CC101E">
        <w:rPr>
          <w:rFonts w:ascii="Times New Roman" w:hAnsi="Times New Roman" w:cs="Times New Roman"/>
          <w:sz w:val="24"/>
          <w:szCs w:val="24"/>
        </w:rPr>
        <w:t>Klausimas dėl koordinuoto ES atsako į COVID-19 pandemiją aptariamas kiekviename BRT posėdyje. Atsižvelgiant į sparčiai besikeičiančią epidemiologinę situaciją, ministrai aptars tolesnius bendro atsako į pandemi</w:t>
      </w:r>
      <w:r w:rsidR="00E65B71">
        <w:rPr>
          <w:rFonts w:ascii="Times New Roman" w:hAnsi="Times New Roman" w:cs="Times New Roman"/>
          <w:sz w:val="24"/>
          <w:szCs w:val="24"/>
        </w:rPr>
        <w:t xml:space="preserve">ją žingsnius – viruso atmainos </w:t>
      </w:r>
      <w:proofErr w:type="spellStart"/>
      <w:r w:rsidR="00E65B71">
        <w:rPr>
          <w:rFonts w:ascii="Times New Roman" w:hAnsi="Times New Roman" w:cs="Times New Roman"/>
          <w:sz w:val="24"/>
          <w:szCs w:val="24"/>
        </w:rPr>
        <w:t>o</w:t>
      </w:r>
      <w:r w:rsidRPr="00CC101E">
        <w:rPr>
          <w:rFonts w:ascii="Times New Roman" w:hAnsi="Times New Roman" w:cs="Times New Roman"/>
          <w:sz w:val="24"/>
          <w:szCs w:val="24"/>
        </w:rPr>
        <w:t>mikron</w:t>
      </w:r>
      <w:proofErr w:type="spellEnd"/>
      <w:r w:rsidRPr="00CC101E">
        <w:rPr>
          <w:rFonts w:ascii="Times New Roman" w:hAnsi="Times New Roman" w:cs="Times New Roman"/>
          <w:sz w:val="24"/>
          <w:szCs w:val="24"/>
        </w:rPr>
        <w:t xml:space="preserve"> valdymo, skiepijimo spartinimo, kovos su abejojimu vakcina ir dezinformacija, dalinimosi vakcina su trečiosiomis šalimis ir kitus klausimus. Taip pat gali būti tvirtinama atnaujinta Tarybos rekomendacija dėl suderinto požiūrio į laisvo judėjimo apribojimą reaguojant į COVID-19 pandemiją. Diskusijos dėl šios Rekomendacijos buvo laik</w:t>
      </w:r>
      <w:r w:rsidR="00E65B71">
        <w:rPr>
          <w:rFonts w:ascii="Times New Roman" w:hAnsi="Times New Roman" w:cs="Times New Roman"/>
          <w:sz w:val="24"/>
          <w:szCs w:val="24"/>
        </w:rPr>
        <w:t xml:space="preserve">inai sustabdytos, reaguojant į </w:t>
      </w:r>
      <w:proofErr w:type="spellStart"/>
      <w:r w:rsidR="00E65B71">
        <w:rPr>
          <w:rFonts w:ascii="Times New Roman" w:hAnsi="Times New Roman" w:cs="Times New Roman"/>
          <w:sz w:val="24"/>
          <w:szCs w:val="24"/>
        </w:rPr>
        <w:t>o</w:t>
      </w:r>
      <w:r w:rsidRPr="00CC101E">
        <w:rPr>
          <w:rFonts w:ascii="Times New Roman" w:hAnsi="Times New Roman" w:cs="Times New Roman"/>
          <w:sz w:val="24"/>
          <w:szCs w:val="24"/>
        </w:rPr>
        <w:t>mikron</w:t>
      </w:r>
      <w:proofErr w:type="spellEnd"/>
      <w:r w:rsidRPr="00CC101E">
        <w:rPr>
          <w:rFonts w:ascii="Times New Roman" w:hAnsi="Times New Roman" w:cs="Times New Roman"/>
          <w:sz w:val="24"/>
          <w:szCs w:val="24"/>
        </w:rPr>
        <w:t xml:space="preserve"> atmainą. 2021 m. gruodį susitarta tik dėl vienodos ribotos ES COVID skaitmeninio pažymėjimo galiojimo po pirmosios skiepijimo serijos trukmės (270 dienų).</w:t>
      </w:r>
    </w:p>
    <w:p w:rsidR="00876C74" w:rsidRPr="00CC101E" w:rsidRDefault="00876C74"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u w:val="single"/>
        </w:rPr>
        <w:t>Lietuvos pozicija</w:t>
      </w:r>
      <w:r w:rsidRPr="00CC101E">
        <w:rPr>
          <w:rFonts w:ascii="Times New Roman" w:hAnsi="Times New Roman" w:cs="Times New Roman"/>
          <w:b/>
          <w:sz w:val="24"/>
          <w:szCs w:val="24"/>
        </w:rPr>
        <w:t xml:space="preserve">. </w:t>
      </w:r>
      <w:r w:rsidRPr="00CC101E">
        <w:rPr>
          <w:rFonts w:ascii="Times New Roman" w:hAnsi="Times New Roman" w:cs="Times New Roman"/>
          <w:sz w:val="24"/>
          <w:szCs w:val="24"/>
        </w:rPr>
        <w:t>Lietuva nuosekliai laikosi pozicijos dėl būtinybės užtikrinti tolesnį stiprų koordinuotą ES atsaką į COVID-19 pandemiją.</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Pažymime, kad įvesti nauji ribojimai, kuriais siekiama suvaldyti naujas viruso atmainas, turi būti laikini, nesutrikdyti Bendrosios rinkos veikimo ir kiek galima mažiau paveikti prekių, paslaugų ir piliečių judėjimą ES viduje.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Pažymime koordinuoto požiūrio į tolesnę skiepijimo strategiją svarbą, įskaitant ir stiprinamąja doze bei atitinkamai – skaitmeninio COVID pažymėjimo galiojimo po stiprinamosios dozės trukmę. Labai svarbios tolesnės komunikacinės pastangos mažinti abejojimą vakcina ir kovoti su dezinformacija apie vakcinos saugumą ir veiksmingumą.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C101E">
        <w:rPr>
          <w:rFonts w:ascii="Times New Roman" w:hAnsi="Times New Roman" w:cs="Times New Roman"/>
          <w:sz w:val="24"/>
          <w:szCs w:val="24"/>
        </w:rPr>
        <w:t xml:space="preserve">Pabrėžiame būtinybę spartinti skiepijimą globaliu lygiu, todėl remiame „Europos komandos“ solidarumo pastangas. Lietuva prisideda prie šių pastangų, dalydamasi vakcina su trečiosiomis šalimis per ES dalijimosi vakcina mechanizmą ir COVAX.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sz w:val="24"/>
          <w:szCs w:val="24"/>
        </w:rPr>
      </w:pPr>
      <w:r w:rsidRPr="00CC101E">
        <w:rPr>
          <w:rFonts w:ascii="Times New Roman" w:hAnsi="Times New Roman" w:cs="Times New Roman"/>
          <w:sz w:val="24"/>
          <w:szCs w:val="24"/>
        </w:rPr>
        <w:t>Dėl Rekomendacijos dėl suderinto požiūrio į laisvo judėjimo apribojimą reaguojant į COVID-19 pandemiją – remiame būtinybę atnaujinti šias rekomendacijas, atsižvelgiant į vis didesnę pasiskiepijusių gyventojų dalį. Pritariame, kad kelionių ribojimai būtų siejami ne su teritorija, iš kur keliautojas atvyksta, bet su tuo, ar asmuo pasiskiepijęs/persirgęs. Svarbu, kad rekomendacijose išlieka galimybė įvesti griežtesnius ribojimus ypatingai skubiais atvejais (</w:t>
      </w:r>
      <w:proofErr w:type="spellStart"/>
      <w:r w:rsidRPr="00CC101E">
        <w:rPr>
          <w:rFonts w:ascii="Times New Roman" w:hAnsi="Times New Roman" w:cs="Times New Roman"/>
          <w:i/>
          <w:iCs/>
          <w:sz w:val="24"/>
          <w:szCs w:val="24"/>
        </w:rPr>
        <w:t>emergency</w:t>
      </w:r>
      <w:proofErr w:type="spellEnd"/>
      <w:r w:rsidRPr="00CC101E">
        <w:rPr>
          <w:rFonts w:ascii="Times New Roman" w:hAnsi="Times New Roman" w:cs="Times New Roman"/>
          <w:i/>
          <w:iCs/>
          <w:sz w:val="24"/>
          <w:szCs w:val="24"/>
        </w:rPr>
        <w:t xml:space="preserve"> </w:t>
      </w:r>
      <w:proofErr w:type="spellStart"/>
      <w:r w:rsidRPr="00CC101E">
        <w:rPr>
          <w:rFonts w:ascii="Times New Roman" w:hAnsi="Times New Roman" w:cs="Times New Roman"/>
          <w:i/>
          <w:iCs/>
          <w:sz w:val="24"/>
          <w:szCs w:val="24"/>
        </w:rPr>
        <w:t>brake</w:t>
      </w:r>
      <w:proofErr w:type="spellEnd"/>
      <w:r w:rsidRPr="00CC101E">
        <w:rPr>
          <w:rFonts w:ascii="Times New Roman" w:hAnsi="Times New Roman" w:cs="Times New Roman"/>
          <w:i/>
          <w:iCs/>
          <w:sz w:val="24"/>
          <w:szCs w:val="24"/>
        </w:rPr>
        <w:t xml:space="preserve">). </w:t>
      </w:r>
    </w:p>
    <w:p w:rsidR="00CC101E" w:rsidRPr="00CC101E" w:rsidRDefault="00CC101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i/>
          <w:iCs/>
          <w:sz w:val="24"/>
          <w:szCs w:val="24"/>
        </w:rPr>
        <w:t xml:space="preserve">Dėl konkrečių Rekomendacijos elementų: </w:t>
      </w:r>
      <w:r w:rsidRPr="00876C74">
        <w:rPr>
          <w:rFonts w:ascii="Times New Roman" w:hAnsi="Times New Roman" w:cs="Times New Roman"/>
          <w:iCs/>
          <w:sz w:val="24"/>
          <w:szCs w:val="24"/>
        </w:rPr>
        <w:t>a</w:t>
      </w:r>
      <w:r w:rsidRPr="00CC101E">
        <w:rPr>
          <w:rFonts w:ascii="Times New Roman" w:hAnsi="Times New Roman" w:cs="Times New Roman"/>
          <w:sz w:val="24"/>
          <w:szCs w:val="24"/>
        </w:rPr>
        <w:t xml:space="preserve">tsižvelgiant į </w:t>
      </w:r>
      <w:proofErr w:type="spellStart"/>
      <w:r w:rsidR="00E65B71">
        <w:rPr>
          <w:rFonts w:ascii="Times New Roman" w:hAnsi="Times New Roman" w:cs="Times New Roman"/>
          <w:iCs/>
          <w:sz w:val="24"/>
          <w:szCs w:val="24"/>
        </w:rPr>
        <w:t>o</w:t>
      </w:r>
      <w:r w:rsidRPr="00CC101E">
        <w:rPr>
          <w:rFonts w:ascii="Times New Roman" w:hAnsi="Times New Roman" w:cs="Times New Roman"/>
          <w:iCs/>
          <w:sz w:val="24"/>
          <w:szCs w:val="24"/>
        </w:rPr>
        <w:t>mikron</w:t>
      </w:r>
      <w:proofErr w:type="spellEnd"/>
      <w:r w:rsidRPr="00CC101E">
        <w:rPr>
          <w:rFonts w:ascii="Times New Roman" w:hAnsi="Times New Roman" w:cs="Times New Roman"/>
          <w:sz w:val="24"/>
          <w:szCs w:val="24"/>
        </w:rPr>
        <w:t xml:space="preserve"> atmainos plitimo tempus ir tai, kad galimai nebus galimybės užtikrinti visų atvejų patvirtinimo PGR tyrimais, siūlytume iš naujo svarstyti antigeno testo įtraukimą į </w:t>
      </w:r>
      <w:r w:rsidR="00E65B71">
        <w:rPr>
          <w:rFonts w:ascii="Times New Roman" w:hAnsi="Times New Roman" w:cs="Times New Roman"/>
          <w:sz w:val="24"/>
          <w:szCs w:val="24"/>
        </w:rPr>
        <w:t>persirgimo pažymėjimą. Taip pat</w:t>
      </w:r>
      <w:r w:rsidRPr="00CC101E">
        <w:rPr>
          <w:rFonts w:ascii="Times New Roman" w:hAnsi="Times New Roman" w:cs="Times New Roman"/>
          <w:sz w:val="24"/>
          <w:szCs w:val="24"/>
        </w:rPr>
        <w:t xml:space="preserve"> ats</w:t>
      </w:r>
      <w:r w:rsidR="00E65B71">
        <w:rPr>
          <w:rFonts w:ascii="Times New Roman" w:hAnsi="Times New Roman" w:cs="Times New Roman"/>
          <w:sz w:val="24"/>
          <w:szCs w:val="24"/>
        </w:rPr>
        <w:t xml:space="preserve">ižvelgdami į galimai trumpesnį </w:t>
      </w:r>
      <w:proofErr w:type="spellStart"/>
      <w:r w:rsidR="00E65B71">
        <w:rPr>
          <w:rFonts w:ascii="Times New Roman" w:hAnsi="Times New Roman" w:cs="Times New Roman"/>
          <w:sz w:val="24"/>
          <w:szCs w:val="24"/>
        </w:rPr>
        <w:t>o</w:t>
      </w:r>
      <w:r w:rsidRPr="00CC101E">
        <w:rPr>
          <w:rFonts w:ascii="Times New Roman" w:hAnsi="Times New Roman" w:cs="Times New Roman"/>
          <w:sz w:val="24"/>
          <w:szCs w:val="24"/>
        </w:rPr>
        <w:t>mikron</w:t>
      </w:r>
      <w:proofErr w:type="spellEnd"/>
      <w:r w:rsidRPr="00CC101E">
        <w:rPr>
          <w:rFonts w:ascii="Times New Roman" w:hAnsi="Times New Roman" w:cs="Times New Roman"/>
          <w:sz w:val="24"/>
          <w:szCs w:val="24"/>
        </w:rPr>
        <w:t xml:space="preserve"> atmainos inkubacinį laikotarpį ir į kai kurių valstybių priimamus sprendimus trumpinti </w:t>
      </w:r>
      <w:r w:rsidRPr="00CC101E">
        <w:rPr>
          <w:rFonts w:ascii="Times New Roman" w:hAnsi="Times New Roman" w:cs="Times New Roman"/>
          <w:sz w:val="24"/>
          <w:szCs w:val="24"/>
        </w:rPr>
        <w:lastRenderedPageBreak/>
        <w:t>izoliac</w:t>
      </w:r>
      <w:r w:rsidR="00E65B71">
        <w:rPr>
          <w:rFonts w:ascii="Times New Roman" w:hAnsi="Times New Roman" w:cs="Times New Roman"/>
          <w:sz w:val="24"/>
          <w:szCs w:val="24"/>
        </w:rPr>
        <w:t xml:space="preserve">ijos trukmę net po kontakto su </w:t>
      </w:r>
      <w:proofErr w:type="spellStart"/>
      <w:r w:rsidR="00E65B71">
        <w:rPr>
          <w:rFonts w:ascii="Times New Roman" w:hAnsi="Times New Roman" w:cs="Times New Roman"/>
          <w:sz w:val="24"/>
          <w:szCs w:val="24"/>
        </w:rPr>
        <w:t>o</w:t>
      </w:r>
      <w:r w:rsidRPr="00CC101E">
        <w:rPr>
          <w:rFonts w:ascii="Times New Roman" w:hAnsi="Times New Roman" w:cs="Times New Roman"/>
          <w:sz w:val="24"/>
          <w:szCs w:val="24"/>
        </w:rPr>
        <w:t>mikron</w:t>
      </w:r>
      <w:proofErr w:type="spellEnd"/>
      <w:r w:rsidRPr="00CC101E">
        <w:rPr>
          <w:rFonts w:ascii="Times New Roman" w:hAnsi="Times New Roman" w:cs="Times New Roman"/>
          <w:sz w:val="24"/>
          <w:szCs w:val="24"/>
        </w:rPr>
        <w:t xml:space="preserve"> atmaina užsikrėtusiu asmeniu, siūlytume izoliaciją trumpinti iki 7 dienų. </w:t>
      </w:r>
    </w:p>
    <w:p w:rsidR="00CC101E" w:rsidRPr="00CC101E" w:rsidRDefault="00CC101E" w:rsidP="00CC101E">
      <w:pPr>
        <w:spacing w:after="0" w:line="240" w:lineRule="auto"/>
        <w:jc w:val="both"/>
        <w:rPr>
          <w:rFonts w:ascii="Times New Roman" w:hAnsi="Times New Roman" w:cs="Times New Roman"/>
          <w:b/>
          <w:i/>
          <w:sz w:val="24"/>
          <w:szCs w:val="24"/>
        </w:rPr>
      </w:pPr>
    </w:p>
    <w:p w:rsidR="009E185E" w:rsidRP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CC101E">
        <w:rPr>
          <w:rFonts w:ascii="Times New Roman" w:hAnsi="Times New Roman" w:cs="Times New Roman"/>
          <w:b/>
          <w:sz w:val="24"/>
          <w:szCs w:val="24"/>
        </w:rPr>
        <w:t xml:space="preserve">Europos Sąjungos ir Jungtinės Karalystės santykiai </w:t>
      </w:r>
    </w:p>
    <w:p w:rsidR="00CC101E" w:rsidRPr="00CC101E" w:rsidRDefault="009E185E" w:rsidP="00CC10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szCs w:val="24"/>
        </w:rPr>
      </w:pPr>
      <w:r w:rsidRPr="00CC101E">
        <w:rPr>
          <w:rFonts w:ascii="Times New Roman" w:hAnsi="Times New Roman" w:cs="Times New Roman"/>
          <w:b/>
          <w:i/>
          <w:sz w:val="24"/>
          <w:szCs w:val="24"/>
        </w:rPr>
        <w:t>Dabartinė padėtis</w:t>
      </w:r>
    </w:p>
    <w:p w:rsidR="00CC101E" w:rsidRDefault="00CC101E" w:rsidP="00CC10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8"/>
        </w:rPr>
      </w:pPr>
    </w:p>
    <w:p w:rsidR="007A1EAF" w:rsidRPr="00222EDA" w:rsidRDefault="007A1EAF" w:rsidP="007A1EA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8"/>
        </w:rPr>
      </w:pPr>
      <w:r w:rsidRPr="00026B2A">
        <w:rPr>
          <w:rFonts w:ascii="Times New Roman" w:hAnsi="Times New Roman" w:cs="Times New Roman"/>
          <w:b/>
          <w:sz w:val="24"/>
          <w:szCs w:val="28"/>
          <w:u w:val="single"/>
        </w:rPr>
        <w:t>Kontekstas</w:t>
      </w:r>
      <w:r>
        <w:rPr>
          <w:rFonts w:ascii="Times New Roman" w:hAnsi="Times New Roman" w:cs="Times New Roman"/>
          <w:b/>
          <w:sz w:val="24"/>
          <w:szCs w:val="28"/>
        </w:rPr>
        <w:t>.</w:t>
      </w:r>
      <w:r w:rsidR="00222EDA">
        <w:rPr>
          <w:rFonts w:ascii="Times New Roman" w:hAnsi="Times New Roman" w:cs="Times New Roman"/>
          <w:b/>
          <w:sz w:val="24"/>
          <w:szCs w:val="28"/>
        </w:rPr>
        <w:t xml:space="preserve"> </w:t>
      </w:r>
      <w:r>
        <w:rPr>
          <w:rFonts w:ascii="Times New Roman" w:hAnsi="Times New Roman" w:cs="Times New Roman"/>
          <w:bCs/>
          <w:iCs/>
          <w:color w:val="231F20"/>
          <w:sz w:val="24"/>
          <w:szCs w:val="24"/>
        </w:rPr>
        <w:t>BRT</w:t>
      </w:r>
      <w:r w:rsidRPr="00026B2A">
        <w:rPr>
          <w:rFonts w:ascii="Times New Roman" w:hAnsi="Times New Roman" w:cs="Times New Roman"/>
          <w:bCs/>
          <w:iCs/>
          <w:color w:val="231F20"/>
          <w:sz w:val="24"/>
          <w:szCs w:val="24"/>
        </w:rPr>
        <w:t xml:space="preserve"> posėdžio </w:t>
      </w:r>
      <w:r>
        <w:rPr>
          <w:rFonts w:ascii="Times New Roman" w:hAnsi="Times New Roman" w:cs="Times New Roman"/>
          <w:bCs/>
          <w:iCs/>
          <w:color w:val="231F20"/>
          <w:sz w:val="24"/>
          <w:szCs w:val="24"/>
        </w:rPr>
        <w:t xml:space="preserve">metu </w:t>
      </w:r>
      <w:r w:rsidR="008D7BFC">
        <w:rPr>
          <w:rFonts w:ascii="Times New Roman" w:hAnsi="Times New Roman" w:cs="Times New Roman"/>
          <w:bCs/>
          <w:iCs/>
          <w:color w:val="231F20"/>
          <w:sz w:val="24"/>
          <w:szCs w:val="24"/>
        </w:rPr>
        <w:t>Europos Komisijos</w:t>
      </w:r>
      <w:r w:rsidRPr="00026B2A">
        <w:rPr>
          <w:rFonts w:ascii="Times New Roman" w:hAnsi="Times New Roman" w:cs="Times New Roman"/>
          <w:bCs/>
          <w:iCs/>
          <w:color w:val="231F20"/>
          <w:sz w:val="24"/>
          <w:szCs w:val="24"/>
        </w:rPr>
        <w:t xml:space="preserve"> vicepirmininkas M. </w:t>
      </w:r>
      <w:proofErr w:type="spellStart"/>
      <w:r w:rsidRPr="00026B2A">
        <w:rPr>
          <w:rFonts w:ascii="Times New Roman" w:hAnsi="Times New Roman" w:cs="Times New Roman"/>
          <w:bCs/>
          <w:iCs/>
          <w:color w:val="231F20"/>
          <w:sz w:val="24"/>
          <w:szCs w:val="24"/>
        </w:rPr>
        <w:t>Šefčovičius</w:t>
      </w:r>
      <w:proofErr w:type="spellEnd"/>
      <w:r w:rsidRPr="00026B2A">
        <w:rPr>
          <w:rFonts w:ascii="Times New Roman" w:hAnsi="Times New Roman" w:cs="Times New Roman"/>
          <w:bCs/>
          <w:iCs/>
          <w:color w:val="231F20"/>
          <w:sz w:val="24"/>
          <w:szCs w:val="24"/>
        </w:rPr>
        <w:t xml:space="preserve"> pristatys </w:t>
      </w:r>
      <w:r w:rsidR="008D7BFC">
        <w:rPr>
          <w:rFonts w:ascii="Times New Roman" w:hAnsi="Times New Roman" w:cs="Times New Roman"/>
          <w:bCs/>
          <w:iCs/>
          <w:color w:val="231F20"/>
          <w:sz w:val="24"/>
          <w:szCs w:val="24"/>
        </w:rPr>
        <w:t xml:space="preserve">esamą padėtį </w:t>
      </w:r>
      <w:r w:rsidRPr="00026B2A">
        <w:rPr>
          <w:rFonts w:ascii="Times New Roman" w:hAnsi="Times New Roman" w:cs="Times New Roman"/>
          <w:bCs/>
          <w:iCs/>
          <w:color w:val="231F20"/>
          <w:sz w:val="24"/>
          <w:szCs w:val="24"/>
        </w:rPr>
        <w:t>ES</w:t>
      </w:r>
      <w:r w:rsidR="008D7BFC">
        <w:rPr>
          <w:rFonts w:ascii="Times New Roman" w:hAnsi="Times New Roman" w:cs="Times New Roman"/>
          <w:bCs/>
          <w:iCs/>
          <w:color w:val="231F20"/>
          <w:sz w:val="24"/>
          <w:szCs w:val="24"/>
        </w:rPr>
        <w:t xml:space="preserve"> ir </w:t>
      </w:r>
      <w:r w:rsidRPr="00026B2A">
        <w:rPr>
          <w:rFonts w:ascii="Times New Roman" w:hAnsi="Times New Roman" w:cs="Times New Roman"/>
          <w:bCs/>
          <w:iCs/>
          <w:color w:val="231F20"/>
          <w:sz w:val="24"/>
          <w:szCs w:val="24"/>
        </w:rPr>
        <w:t>JK santyki</w:t>
      </w:r>
      <w:r w:rsidR="008D7BFC">
        <w:rPr>
          <w:rFonts w:ascii="Times New Roman" w:hAnsi="Times New Roman" w:cs="Times New Roman"/>
          <w:bCs/>
          <w:iCs/>
          <w:color w:val="231F20"/>
          <w:sz w:val="24"/>
          <w:szCs w:val="24"/>
        </w:rPr>
        <w:t>ų klausimu, tame tarpe ir</w:t>
      </w:r>
      <w:r w:rsidRPr="00026B2A">
        <w:rPr>
          <w:rFonts w:ascii="Times New Roman" w:hAnsi="Times New Roman" w:cs="Times New Roman"/>
          <w:bCs/>
          <w:iCs/>
          <w:color w:val="231F20"/>
          <w:sz w:val="24"/>
          <w:szCs w:val="24"/>
        </w:rPr>
        <w:t xml:space="preserve"> pirmojo susitikimo su </w:t>
      </w:r>
      <w:proofErr w:type="spellStart"/>
      <w:r w:rsidRPr="00026B2A">
        <w:rPr>
          <w:rFonts w:ascii="Times New Roman" w:hAnsi="Times New Roman" w:cs="Times New Roman"/>
          <w:bCs/>
          <w:iCs/>
          <w:color w:val="231F20"/>
          <w:sz w:val="24"/>
          <w:szCs w:val="24"/>
        </w:rPr>
        <w:t>Brexit</w:t>
      </w:r>
      <w:proofErr w:type="spellEnd"/>
      <w:r w:rsidRPr="00026B2A">
        <w:rPr>
          <w:rFonts w:ascii="Times New Roman" w:hAnsi="Times New Roman" w:cs="Times New Roman"/>
          <w:bCs/>
          <w:iCs/>
          <w:color w:val="231F20"/>
          <w:sz w:val="24"/>
          <w:szCs w:val="24"/>
        </w:rPr>
        <w:t xml:space="preserve"> vairą perėmusia JK užsienio reikalų sekretor</w:t>
      </w:r>
      <w:r>
        <w:rPr>
          <w:rFonts w:ascii="Times New Roman" w:hAnsi="Times New Roman" w:cs="Times New Roman"/>
          <w:bCs/>
          <w:iCs/>
          <w:color w:val="231F20"/>
          <w:sz w:val="24"/>
          <w:szCs w:val="24"/>
        </w:rPr>
        <w:t xml:space="preserve">e L. </w:t>
      </w:r>
      <w:proofErr w:type="spellStart"/>
      <w:r>
        <w:rPr>
          <w:rFonts w:ascii="Times New Roman" w:hAnsi="Times New Roman" w:cs="Times New Roman"/>
          <w:bCs/>
          <w:iCs/>
          <w:color w:val="231F20"/>
          <w:sz w:val="24"/>
          <w:szCs w:val="24"/>
        </w:rPr>
        <w:t>Truss</w:t>
      </w:r>
      <w:proofErr w:type="spellEnd"/>
      <w:r>
        <w:rPr>
          <w:rFonts w:ascii="Times New Roman" w:hAnsi="Times New Roman" w:cs="Times New Roman"/>
          <w:bCs/>
          <w:iCs/>
          <w:color w:val="231F20"/>
          <w:sz w:val="24"/>
          <w:szCs w:val="24"/>
        </w:rPr>
        <w:t xml:space="preserve">, vykusio </w:t>
      </w:r>
      <w:proofErr w:type="spellStart"/>
      <w:r>
        <w:rPr>
          <w:rFonts w:ascii="Times New Roman" w:hAnsi="Times New Roman" w:cs="Times New Roman"/>
          <w:bCs/>
          <w:iCs/>
          <w:color w:val="231F20"/>
          <w:sz w:val="24"/>
          <w:szCs w:val="24"/>
        </w:rPr>
        <w:t>Chevening</w:t>
      </w:r>
      <w:proofErr w:type="spellEnd"/>
      <w:r w:rsidR="008D7BFC">
        <w:rPr>
          <w:rFonts w:ascii="Times New Roman" w:hAnsi="Times New Roman" w:cs="Times New Roman"/>
          <w:bCs/>
          <w:iCs/>
          <w:color w:val="231F20"/>
          <w:sz w:val="24"/>
          <w:szCs w:val="24"/>
        </w:rPr>
        <w:t xml:space="preserve"> (</w:t>
      </w:r>
      <w:r>
        <w:rPr>
          <w:rFonts w:ascii="Times New Roman" w:hAnsi="Times New Roman" w:cs="Times New Roman"/>
          <w:bCs/>
          <w:iCs/>
          <w:color w:val="231F20"/>
          <w:sz w:val="24"/>
          <w:szCs w:val="24"/>
        </w:rPr>
        <w:t>J</w:t>
      </w:r>
      <w:r w:rsidRPr="00026B2A">
        <w:rPr>
          <w:rFonts w:ascii="Times New Roman" w:hAnsi="Times New Roman" w:cs="Times New Roman"/>
          <w:bCs/>
          <w:iCs/>
          <w:color w:val="231F20"/>
          <w:sz w:val="24"/>
          <w:szCs w:val="24"/>
        </w:rPr>
        <w:t>K</w:t>
      </w:r>
      <w:r w:rsidR="008D7BFC">
        <w:rPr>
          <w:rFonts w:ascii="Times New Roman" w:hAnsi="Times New Roman" w:cs="Times New Roman"/>
          <w:bCs/>
          <w:iCs/>
          <w:color w:val="231F20"/>
          <w:sz w:val="24"/>
          <w:szCs w:val="24"/>
        </w:rPr>
        <w:t>)</w:t>
      </w:r>
      <w:r w:rsidRPr="00026B2A">
        <w:rPr>
          <w:rFonts w:ascii="Times New Roman" w:hAnsi="Times New Roman" w:cs="Times New Roman"/>
          <w:bCs/>
          <w:iCs/>
          <w:color w:val="231F20"/>
          <w:sz w:val="24"/>
          <w:szCs w:val="24"/>
        </w:rPr>
        <w:t>, 2021-01-13/14, rezultatus. Atstovės JK pusėje pasikeitimas suteikia vilčių dėl geresnės diskusijų atmosferos, nors JK Vyriausybė pozicijos nekeičia. Radus spre</w:t>
      </w:r>
      <w:r>
        <w:rPr>
          <w:rFonts w:ascii="Times New Roman" w:hAnsi="Times New Roman" w:cs="Times New Roman"/>
          <w:bCs/>
          <w:iCs/>
          <w:color w:val="231F20"/>
          <w:sz w:val="24"/>
          <w:szCs w:val="24"/>
        </w:rPr>
        <w:t>ndimą dėl medikamentų tiekimo Šiaurės Airijoje</w:t>
      </w:r>
      <w:r w:rsidRPr="00026B2A">
        <w:rPr>
          <w:rFonts w:ascii="Times New Roman" w:hAnsi="Times New Roman" w:cs="Times New Roman"/>
          <w:bCs/>
          <w:iCs/>
          <w:color w:val="231F20"/>
          <w:sz w:val="24"/>
          <w:szCs w:val="24"/>
        </w:rPr>
        <w:t>, EK tęs diskusijas aktualiais muitų, SPS (sanitarinių ir f</w:t>
      </w:r>
      <w:r>
        <w:rPr>
          <w:rFonts w:ascii="Times New Roman" w:hAnsi="Times New Roman" w:cs="Times New Roman"/>
          <w:bCs/>
          <w:iCs/>
          <w:color w:val="231F20"/>
          <w:sz w:val="24"/>
          <w:szCs w:val="24"/>
        </w:rPr>
        <w:t>itosanitarinių) reikalavimų, Airijos/Šiaurės Airijos</w:t>
      </w:r>
      <w:r w:rsidRPr="00026B2A">
        <w:rPr>
          <w:rFonts w:ascii="Times New Roman" w:hAnsi="Times New Roman" w:cs="Times New Roman"/>
          <w:bCs/>
          <w:iCs/>
          <w:color w:val="231F20"/>
          <w:sz w:val="24"/>
          <w:szCs w:val="24"/>
        </w:rPr>
        <w:t xml:space="preserve"> Protokolo valdymo klausimais.</w:t>
      </w:r>
    </w:p>
    <w:p w:rsidR="007A1EAF" w:rsidRPr="00026B2A" w:rsidRDefault="007A1EAF" w:rsidP="007A1EA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8"/>
        </w:rPr>
      </w:pPr>
    </w:p>
    <w:p w:rsidR="00DF6507" w:rsidRPr="00DF6507" w:rsidRDefault="007A1EAF" w:rsidP="00DF650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8"/>
        </w:rPr>
      </w:pPr>
      <w:r w:rsidRPr="0021712C">
        <w:rPr>
          <w:rFonts w:ascii="Times New Roman" w:hAnsi="Times New Roman" w:cs="Times New Roman"/>
          <w:b/>
          <w:sz w:val="24"/>
          <w:szCs w:val="28"/>
          <w:u w:val="single"/>
        </w:rPr>
        <w:t>Lietuvos pozicija</w:t>
      </w:r>
      <w:r w:rsidRPr="0021712C">
        <w:rPr>
          <w:rFonts w:ascii="Times New Roman" w:hAnsi="Times New Roman" w:cs="Times New Roman"/>
          <w:b/>
          <w:sz w:val="24"/>
          <w:szCs w:val="28"/>
        </w:rPr>
        <w:t xml:space="preserve">. </w:t>
      </w:r>
      <w:r w:rsidR="00DF6507" w:rsidRPr="00DF6507">
        <w:rPr>
          <w:rFonts w:ascii="Times New Roman" w:hAnsi="Times New Roman" w:cs="Times New Roman"/>
          <w:sz w:val="24"/>
          <w:szCs w:val="28"/>
        </w:rPr>
        <w:t>Lietuva pabrėžia ES VN vienybės ir solidarumo išlaikymą santykiuose su JK. Remiame pilną ES-JK Išstojimo (WA) ir Prekybos ir bendradarbiavimo (TCA) susitarimų įgyvendinimą.</w:t>
      </w:r>
    </w:p>
    <w:p w:rsidR="009E185E" w:rsidRPr="00CC101E" w:rsidRDefault="00DF6507" w:rsidP="00DF650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DF6507">
        <w:rPr>
          <w:rFonts w:ascii="Times New Roman" w:hAnsi="Times New Roman" w:cs="Times New Roman"/>
          <w:sz w:val="24"/>
          <w:szCs w:val="28"/>
        </w:rPr>
        <w:t xml:space="preserve">Tikimės, kad pasiektas sprendimas medikamentų tiekimo Šiaurės Airijai (iš JK) srityje, EK Vicepirmininko M. </w:t>
      </w:r>
      <w:proofErr w:type="spellStart"/>
      <w:r w:rsidRPr="00DF6507">
        <w:rPr>
          <w:rFonts w:ascii="Times New Roman" w:hAnsi="Times New Roman" w:cs="Times New Roman"/>
          <w:sz w:val="24"/>
          <w:szCs w:val="28"/>
        </w:rPr>
        <w:t>Šefočivičiaus</w:t>
      </w:r>
      <w:proofErr w:type="spellEnd"/>
      <w:r w:rsidRPr="00DF6507">
        <w:rPr>
          <w:rFonts w:ascii="Times New Roman" w:hAnsi="Times New Roman" w:cs="Times New Roman"/>
          <w:sz w:val="24"/>
          <w:szCs w:val="28"/>
        </w:rPr>
        <w:t xml:space="preserve"> ir JK užsienio reikalų sekretorės L. </w:t>
      </w:r>
      <w:proofErr w:type="spellStart"/>
      <w:r w:rsidRPr="00DF6507">
        <w:rPr>
          <w:rFonts w:ascii="Times New Roman" w:hAnsi="Times New Roman" w:cs="Times New Roman"/>
          <w:sz w:val="24"/>
          <w:szCs w:val="28"/>
        </w:rPr>
        <w:t>Truss</w:t>
      </w:r>
      <w:proofErr w:type="spellEnd"/>
      <w:r w:rsidRPr="00DF6507">
        <w:rPr>
          <w:rFonts w:ascii="Times New Roman" w:hAnsi="Times New Roman" w:cs="Times New Roman"/>
          <w:sz w:val="24"/>
          <w:szCs w:val="28"/>
        </w:rPr>
        <w:t xml:space="preserve"> vadovaujamose diskusijose padės pasiekti progreso ir kitais - muitinės, SPS (sanitarijos ir </w:t>
      </w:r>
      <w:proofErr w:type="spellStart"/>
      <w:r w:rsidRPr="00DF6507">
        <w:rPr>
          <w:rFonts w:ascii="Times New Roman" w:hAnsi="Times New Roman" w:cs="Times New Roman"/>
          <w:sz w:val="24"/>
          <w:szCs w:val="28"/>
        </w:rPr>
        <w:t>fitosanitarijos</w:t>
      </w:r>
      <w:proofErr w:type="spellEnd"/>
      <w:r w:rsidRPr="00DF6507">
        <w:rPr>
          <w:rFonts w:ascii="Times New Roman" w:hAnsi="Times New Roman" w:cs="Times New Roman"/>
          <w:sz w:val="24"/>
          <w:szCs w:val="28"/>
        </w:rPr>
        <w:t>), valdymo klausimais.</w:t>
      </w:r>
    </w:p>
    <w:p w:rsidR="00CC101E" w:rsidRPr="00CC101E" w:rsidRDefault="00CC101E" w:rsidP="009E185E">
      <w:pPr>
        <w:spacing w:after="0" w:line="240" w:lineRule="auto"/>
        <w:jc w:val="both"/>
        <w:rPr>
          <w:rFonts w:ascii="Times New Roman" w:hAnsi="Times New Roman" w:cs="Times New Roman"/>
          <w:b/>
          <w:sz w:val="24"/>
          <w:szCs w:val="24"/>
        </w:rPr>
      </w:pPr>
    </w:p>
    <w:sectPr w:rsidR="00CC101E" w:rsidRPr="00CC101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A95" w:rsidRDefault="00252A95" w:rsidP="00623D76">
      <w:pPr>
        <w:spacing w:after="0" w:line="240" w:lineRule="auto"/>
      </w:pPr>
      <w:r>
        <w:separator/>
      </w:r>
    </w:p>
  </w:endnote>
  <w:endnote w:type="continuationSeparator" w:id="0">
    <w:p w:rsidR="00252A95" w:rsidRDefault="00252A95" w:rsidP="0062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auto"/>
    <w:pitch w:val="default"/>
  </w:font>
  <w:font w:name="Calibri">
    <w:panose1 w:val="020F0502020204030204"/>
    <w:charset w:val="BA"/>
    <w:family w:val="swiss"/>
    <w:pitch w:val="variable"/>
    <w:sig w:usb0="E0002EFF" w:usb1="C000247B" w:usb2="00000009" w:usb3="00000000" w:csb0="000001FF" w:csb1="00000000"/>
  </w:font>
  <w:font w:name="TimesNewRomanPSMT">
    <w:altName w:val="Times New Roman PSM T"/>
    <w:panose1 w:val="00000000000000000000"/>
    <w:charset w:val="EE"/>
    <w:family w:val="roman"/>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168597936"/>
      <w:docPartObj>
        <w:docPartGallery w:val="Page Numbers (Bottom of Page)"/>
        <w:docPartUnique/>
      </w:docPartObj>
    </w:sdtPr>
    <w:sdtEndPr>
      <w:rPr>
        <w:noProof/>
      </w:rPr>
    </w:sdtEndPr>
    <w:sdtContent>
      <w:p w:rsidR="00623D76" w:rsidRPr="00623D76" w:rsidRDefault="00623D76">
        <w:pPr>
          <w:pStyle w:val="Footer"/>
          <w:jc w:val="right"/>
          <w:rPr>
            <w:rFonts w:ascii="Times New Roman" w:hAnsi="Times New Roman" w:cs="Times New Roman"/>
            <w:sz w:val="24"/>
          </w:rPr>
        </w:pPr>
        <w:r w:rsidRPr="00623D76">
          <w:rPr>
            <w:rFonts w:ascii="Times New Roman" w:hAnsi="Times New Roman" w:cs="Times New Roman"/>
            <w:sz w:val="24"/>
          </w:rPr>
          <w:fldChar w:fldCharType="begin"/>
        </w:r>
        <w:r w:rsidRPr="00623D76">
          <w:rPr>
            <w:rFonts w:ascii="Times New Roman" w:hAnsi="Times New Roman" w:cs="Times New Roman"/>
            <w:sz w:val="24"/>
          </w:rPr>
          <w:instrText xml:space="preserve"> PAGE   \* MERGEFORMAT </w:instrText>
        </w:r>
        <w:r w:rsidRPr="00623D76">
          <w:rPr>
            <w:rFonts w:ascii="Times New Roman" w:hAnsi="Times New Roman" w:cs="Times New Roman"/>
            <w:sz w:val="24"/>
          </w:rPr>
          <w:fldChar w:fldCharType="separate"/>
        </w:r>
        <w:r w:rsidR="007E6994">
          <w:rPr>
            <w:rFonts w:ascii="Times New Roman" w:hAnsi="Times New Roman" w:cs="Times New Roman"/>
            <w:noProof/>
            <w:sz w:val="24"/>
          </w:rPr>
          <w:t>6</w:t>
        </w:r>
        <w:r w:rsidRPr="00623D76">
          <w:rPr>
            <w:rFonts w:ascii="Times New Roman" w:hAnsi="Times New Roman" w:cs="Times New Roman"/>
            <w:noProof/>
            <w:sz w:val="24"/>
          </w:rPr>
          <w:fldChar w:fldCharType="end"/>
        </w:r>
      </w:p>
    </w:sdtContent>
  </w:sdt>
  <w:p w:rsidR="00623D76" w:rsidRPr="00623D76" w:rsidRDefault="00623D76">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A95" w:rsidRDefault="00252A95" w:rsidP="00623D76">
      <w:pPr>
        <w:spacing w:after="0" w:line="240" w:lineRule="auto"/>
      </w:pPr>
      <w:r>
        <w:separator/>
      </w:r>
    </w:p>
  </w:footnote>
  <w:footnote w:type="continuationSeparator" w:id="0">
    <w:p w:rsidR="00252A95" w:rsidRDefault="00252A95" w:rsidP="00623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B35B0"/>
    <w:multiLevelType w:val="multilevel"/>
    <w:tmpl w:val="6E7278F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1" w15:restartNumberingAfterBreak="0">
    <w:nsid w:val="76404E0A"/>
    <w:multiLevelType w:val="hybridMultilevel"/>
    <w:tmpl w:val="591AD5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5E"/>
    <w:rsid w:val="000924B7"/>
    <w:rsid w:val="0011513B"/>
    <w:rsid w:val="00192F3A"/>
    <w:rsid w:val="001F16B5"/>
    <w:rsid w:val="00203F71"/>
    <w:rsid w:val="0021712C"/>
    <w:rsid w:val="00222EDA"/>
    <w:rsid w:val="00252A95"/>
    <w:rsid w:val="004A558C"/>
    <w:rsid w:val="005E144A"/>
    <w:rsid w:val="006015A1"/>
    <w:rsid w:val="00623D76"/>
    <w:rsid w:val="00787CBB"/>
    <w:rsid w:val="007A1EAF"/>
    <w:rsid w:val="007E466E"/>
    <w:rsid w:val="007E6994"/>
    <w:rsid w:val="00876C74"/>
    <w:rsid w:val="008D7BFC"/>
    <w:rsid w:val="00925687"/>
    <w:rsid w:val="009C73E5"/>
    <w:rsid w:val="009E185E"/>
    <w:rsid w:val="009E25B2"/>
    <w:rsid w:val="00A900DC"/>
    <w:rsid w:val="00B2211F"/>
    <w:rsid w:val="00CC101E"/>
    <w:rsid w:val="00CF7547"/>
    <w:rsid w:val="00DF6507"/>
    <w:rsid w:val="00E64D55"/>
    <w:rsid w:val="00E65B71"/>
    <w:rsid w:val="00EB2291"/>
    <w:rsid w:val="00F12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9BA0"/>
  <w15:chartTrackingRefBased/>
  <w15:docId w15:val="{FCC58711-563C-4B20-B48C-5E16BE7C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185E"/>
    <w:pPr>
      <w:autoSpaceDE w:val="0"/>
      <w:autoSpaceDN w:val="0"/>
      <w:adjustRightInd w:val="0"/>
      <w:spacing w:after="0" w:line="240" w:lineRule="auto"/>
    </w:pPr>
    <w:rPr>
      <w:rFonts w:ascii="TimesNewRomanPSMT" w:hAnsi="TimesNewRomanPSMT" w:cs="TimesNewRomanPSMT"/>
      <w:color w:val="000000"/>
      <w:sz w:val="24"/>
      <w:szCs w:val="24"/>
    </w:rPr>
  </w:style>
  <w:style w:type="paragraph" w:styleId="HTMLPreformatted">
    <w:name w:val="HTML Preformatted"/>
    <w:basedOn w:val="Normal"/>
    <w:link w:val="HTMLPreformattedChar"/>
    <w:uiPriority w:val="99"/>
    <w:semiHidden/>
    <w:unhideWhenUsed/>
    <w:rsid w:val="009E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9E185E"/>
    <w:rPr>
      <w:rFonts w:ascii="Courier New" w:hAnsi="Courier New" w:cs="Courier New"/>
      <w:sz w:val="20"/>
      <w:szCs w:val="20"/>
      <w:lang w:eastAsia="lt-LT"/>
    </w:rPr>
  </w:style>
  <w:style w:type="paragraph" w:styleId="ListParagraph">
    <w:name w:val="List Paragraph"/>
    <w:basedOn w:val="Normal"/>
    <w:uiPriority w:val="34"/>
    <w:qFormat/>
    <w:rsid w:val="009E185E"/>
    <w:pPr>
      <w:spacing w:line="252" w:lineRule="auto"/>
      <w:ind w:left="720"/>
      <w:contextualSpacing/>
    </w:pPr>
    <w:rPr>
      <w:rFonts w:ascii="Calibri" w:hAnsi="Calibri" w:cs="Calibri"/>
    </w:rPr>
  </w:style>
  <w:style w:type="paragraph" w:styleId="NormalWeb">
    <w:name w:val="Normal (Web)"/>
    <w:basedOn w:val="Normal"/>
    <w:uiPriority w:val="99"/>
    <w:unhideWhenUsed/>
    <w:rsid w:val="00CC101E"/>
    <w:pPr>
      <w:spacing w:after="0" w:line="240" w:lineRule="auto"/>
    </w:pPr>
    <w:rPr>
      <w:rFonts w:ascii="Times New Roman" w:hAnsi="Times New Roman" w:cs="Times New Roman"/>
      <w:sz w:val="24"/>
      <w:szCs w:val="24"/>
      <w:lang w:eastAsia="lt-LT"/>
    </w:rPr>
  </w:style>
  <w:style w:type="character" w:styleId="Emphasis">
    <w:name w:val="Emphasis"/>
    <w:basedOn w:val="DefaultParagraphFont"/>
    <w:uiPriority w:val="20"/>
    <w:qFormat/>
    <w:rsid w:val="00CC101E"/>
    <w:rPr>
      <w:i/>
      <w:iCs/>
    </w:rPr>
  </w:style>
  <w:style w:type="paragraph" w:styleId="Header">
    <w:name w:val="header"/>
    <w:basedOn w:val="Normal"/>
    <w:link w:val="HeaderChar"/>
    <w:uiPriority w:val="99"/>
    <w:unhideWhenUsed/>
    <w:rsid w:val="00623D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3D76"/>
  </w:style>
  <w:style w:type="paragraph" w:styleId="Footer">
    <w:name w:val="footer"/>
    <w:basedOn w:val="Normal"/>
    <w:link w:val="FooterChar"/>
    <w:uiPriority w:val="99"/>
    <w:unhideWhenUsed/>
    <w:rsid w:val="00623D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4314">
      <w:bodyDiv w:val="1"/>
      <w:marLeft w:val="0"/>
      <w:marRight w:val="0"/>
      <w:marTop w:val="0"/>
      <w:marBottom w:val="0"/>
      <w:divBdr>
        <w:top w:val="none" w:sz="0" w:space="0" w:color="auto"/>
        <w:left w:val="none" w:sz="0" w:space="0" w:color="auto"/>
        <w:bottom w:val="none" w:sz="0" w:space="0" w:color="auto"/>
        <w:right w:val="none" w:sz="0" w:space="0" w:color="auto"/>
      </w:divBdr>
    </w:div>
    <w:div w:id="363557221">
      <w:bodyDiv w:val="1"/>
      <w:marLeft w:val="0"/>
      <w:marRight w:val="0"/>
      <w:marTop w:val="0"/>
      <w:marBottom w:val="0"/>
      <w:divBdr>
        <w:top w:val="none" w:sz="0" w:space="0" w:color="auto"/>
        <w:left w:val="none" w:sz="0" w:space="0" w:color="auto"/>
        <w:bottom w:val="none" w:sz="0" w:space="0" w:color="auto"/>
        <w:right w:val="none" w:sz="0" w:space="0" w:color="auto"/>
      </w:divBdr>
    </w:div>
    <w:div w:id="1157652895">
      <w:bodyDiv w:val="1"/>
      <w:marLeft w:val="0"/>
      <w:marRight w:val="0"/>
      <w:marTop w:val="0"/>
      <w:marBottom w:val="0"/>
      <w:divBdr>
        <w:top w:val="none" w:sz="0" w:space="0" w:color="auto"/>
        <w:left w:val="none" w:sz="0" w:space="0" w:color="auto"/>
        <w:bottom w:val="none" w:sz="0" w:space="0" w:color="auto"/>
        <w:right w:val="none" w:sz="0" w:space="0" w:color="auto"/>
      </w:divBdr>
    </w:div>
    <w:div w:id="1866946838">
      <w:bodyDiv w:val="1"/>
      <w:marLeft w:val="0"/>
      <w:marRight w:val="0"/>
      <w:marTop w:val="0"/>
      <w:marBottom w:val="0"/>
      <w:divBdr>
        <w:top w:val="none" w:sz="0" w:space="0" w:color="auto"/>
        <w:left w:val="none" w:sz="0" w:space="0" w:color="auto"/>
        <w:bottom w:val="none" w:sz="0" w:space="0" w:color="auto"/>
        <w:right w:val="none" w:sz="0" w:space="0" w:color="auto"/>
      </w:divBdr>
    </w:div>
    <w:div w:id="21287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20870</Words>
  <Characters>11896</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2022-01-17T12:17:00Z</dcterms:created>
  <dc:creator>Dominykas Goda</dc:creator>
  <cp:lastModifiedBy>Dominykas Goda</cp:lastModifiedBy>
  <dcterms:modified xsi:type="dcterms:W3CDTF">2022-01-18T06:57:00Z</dcterms:modified>
  <cp:revision>4</cp:revision>
</cp:coreProperties>
</file>