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B3746" w14:textId="61272B9C" w:rsidR="00610BFB" w:rsidRPr="001713E1" w:rsidRDefault="004760E7" w:rsidP="003A616E">
      <w:pPr>
        <w:pStyle w:val="CM4"/>
        <w:spacing w:before="60" w:after="60"/>
        <w:jc w:val="center"/>
        <w:rPr>
          <w:rFonts w:ascii="Times New Roman" w:hAnsi="Times New Roman" w:cs="Times New Roman"/>
          <w:b/>
        </w:rPr>
      </w:pPr>
      <w:bookmarkStart w:id="0" w:name="_GoBack"/>
      <w:bookmarkEnd w:id="0"/>
      <w:r w:rsidRPr="004760E7">
        <w:rPr>
          <w:rFonts w:ascii="Times New Roman" w:hAnsi="Times New Roman" w:cs="Times New Roman"/>
          <w:b/>
        </w:rPr>
        <w:t>2021 M. GEGUŽĖS 20 D. EUROPOS PARLAMENTO IR TARYBOS REGLAMENT</w:t>
      </w:r>
      <w:r>
        <w:rPr>
          <w:rFonts w:ascii="Times New Roman" w:hAnsi="Times New Roman" w:cs="Times New Roman"/>
          <w:b/>
        </w:rPr>
        <w:t>O</w:t>
      </w:r>
      <w:r w:rsidRPr="004760E7">
        <w:rPr>
          <w:rFonts w:ascii="Times New Roman" w:hAnsi="Times New Roman" w:cs="Times New Roman"/>
          <w:b/>
        </w:rPr>
        <w:t xml:space="preserve"> (ES) NR. 2021/887, KURIUO ĮSTEIGIAMAS EUROPOS KIBERNETINIO SAUGUMO PRAMONĖS, TECHNOLOGIJŲ IR MOKSLINIŲ TYRIMŲ KOMPETENCIJOS CENTRAS IR NACIONALINIŲ KOORDINAVIMO CENTRŲ TINKLAS</w:t>
      </w:r>
      <w:r>
        <w:rPr>
          <w:rFonts w:ascii="Times New Roman" w:hAnsi="Times New Roman" w:cs="Times New Roman"/>
          <w:b/>
        </w:rPr>
        <w:t xml:space="preserve">, IR </w:t>
      </w:r>
      <w:r w:rsidRPr="004760E7">
        <w:rPr>
          <w:rFonts w:ascii="Times New Roman" w:hAnsi="Times New Roman" w:cs="Times New Roman"/>
          <w:b/>
        </w:rPr>
        <w:t>LIETUVOS RESPUBLIKOS VYRIAUSYBĖS NUTARIMO „DĖL LIETUVOS RESPUBLIKOS VYRIAUSYBĖS 1998 M. LIEPOS 23 D. NUTARIMO NR. 924 „DĖL LIETUVOS RESPUBLIKOS KRAŠTO APSAUGOS MINISTERIJOS NUOSTATŲ P</w:t>
      </w:r>
      <w:r>
        <w:rPr>
          <w:rFonts w:ascii="Times New Roman" w:hAnsi="Times New Roman" w:cs="Times New Roman"/>
          <w:b/>
        </w:rPr>
        <w:t xml:space="preserve">ATVIRTINIMO“ PAKEITIMO“ PROJEKTO </w:t>
      </w:r>
    </w:p>
    <w:p w14:paraId="3F5B3747" w14:textId="77777777" w:rsidR="00812DC8" w:rsidRPr="001713E1" w:rsidRDefault="00812DC8" w:rsidP="003A616E">
      <w:pPr>
        <w:pStyle w:val="CM4"/>
        <w:spacing w:before="60" w:after="60"/>
        <w:jc w:val="center"/>
        <w:rPr>
          <w:rFonts w:ascii="Times New Roman" w:hAnsi="Times New Roman" w:cs="Times New Roman"/>
          <w:b/>
        </w:rPr>
      </w:pPr>
      <w:r w:rsidRPr="001713E1">
        <w:rPr>
          <w:rFonts w:ascii="Times New Roman" w:hAnsi="Times New Roman" w:cs="Times New Roman"/>
          <w:b/>
        </w:rPr>
        <w:t>ATITIKTIES LENTEL</w:t>
      </w:r>
      <w:r w:rsidRPr="001713E1">
        <w:rPr>
          <w:rFonts w:ascii="Times New Roman" w:hAnsi="Times New Roman" w:cs="Times New Roman" w:hint="eastAsia"/>
          <w:b/>
        </w:rPr>
        <w:t>Ė</w:t>
      </w:r>
    </w:p>
    <w:p w14:paraId="3F5B3748" w14:textId="77777777" w:rsidR="003A616E" w:rsidRPr="009176AA" w:rsidRDefault="003A616E" w:rsidP="003A616E">
      <w:pPr>
        <w:pStyle w:val="Default"/>
      </w:pPr>
    </w:p>
    <w:tbl>
      <w:tblPr>
        <w:tblW w:w="14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7655"/>
        <w:gridCol w:w="1842"/>
        <w:gridCol w:w="19"/>
      </w:tblGrid>
      <w:tr w:rsidR="00812DC8" w:rsidRPr="009176AA" w14:paraId="3F5B374E" w14:textId="77777777" w:rsidTr="0075785A">
        <w:tc>
          <w:tcPr>
            <w:tcW w:w="5132" w:type="dxa"/>
          </w:tcPr>
          <w:p w14:paraId="3F5B374A" w14:textId="5CD15CE3" w:rsidR="00812DC8" w:rsidRPr="009176AA" w:rsidRDefault="004760E7" w:rsidP="004760E7">
            <w:pPr>
              <w:jc w:val="both"/>
              <w:rPr>
                <w:szCs w:val="24"/>
              </w:rPr>
            </w:pPr>
            <w:r w:rsidRPr="004760E7">
              <w:rPr>
                <w:b/>
              </w:rPr>
              <w:t>2021 m. gegužės 20 d. Europos Parlamento ir Tarybos reglament</w:t>
            </w:r>
            <w:r>
              <w:rPr>
                <w:b/>
              </w:rPr>
              <w:t>as</w:t>
            </w:r>
            <w:r w:rsidRPr="004760E7">
              <w:rPr>
                <w:b/>
              </w:rPr>
              <w:t xml:space="preserve"> (ES) Nr. 2021/887, kuriuo įsteigiamas Europos kibernetinio saugumo pramonės, technologijų ir mokslinių tyrimų kompetencijos centras ir Nacionalinių koordinavimo centrų tinklas </w:t>
            </w:r>
          </w:p>
        </w:tc>
        <w:tc>
          <w:tcPr>
            <w:tcW w:w="7655" w:type="dxa"/>
          </w:tcPr>
          <w:p w14:paraId="3F5B374C" w14:textId="16045081" w:rsidR="00812DC8" w:rsidRPr="004760E7" w:rsidRDefault="004760E7" w:rsidP="009F7EAE">
            <w:pPr>
              <w:jc w:val="both"/>
              <w:rPr>
                <w:b/>
                <w:szCs w:val="24"/>
              </w:rPr>
            </w:pPr>
            <w:r w:rsidRPr="004760E7">
              <w:rPr>
                <w:b/>
                <w:szCs w:val="24"/>
              </w:rPr>
              <w:t>Lietuvos Respublikos Vyriausybės nutarimo „Dėl Lietuvos Respublikos Vyriausybės 1998 m. liepos 23 d. nutarimo Nr. 924 „Dėl Lietuvos Respublikos krašto apsaugos ministerijos nuostatų patvirtinimo“ pakeitimo“ projektas</w:t>
            </w:r>
            <w:r w:rsidR="00147F5D">
              <w:rPr>
                <w:b/>
                <w:szCs w:val="24"/>
              </w:rPr>
              <w:t xml:space="preserve"> (toliau – nutarimo projektas)</w:t>
            </w:r>
          </w:p>
        </w:tc>
        <w:tc>
          <w:tcPr>
            <w:tcW w:w="1861" w:type="dxa"/>
            <w:gridSpan w:val="2"/>
          </w:tcPr>
          <w:p w14:paraId="3F5B374D" w14:textId="77777777" w:rsidR="00812DC8" w:rsidRPr="009176AA" w:rsidRDefault="00812DC8">
            <w:pPr>
              <w:pStyle w:val="Header"/>
              <w:rPr>
                <w:b/>
                <w:szCs w:val="24"/>
              </w:rPr>
            </w:pPr>
            <w:r w:rsidRPr="009176AA">
              <w:rPr>
                <w:b/>
              </w:rPr>
              <w:t>ES teisės akto įgyvendinimo lygis (visiškas, dalinis)</w:t>
            </w:r>
          </w:p>
        </w:tc>
      </w:tr>
      <w:tr w:rsidR="00FE2AC0" w:rsidRPr="009176AA" w14:paraId="3F5B3758" w14:textId="77777777" w:rsidTr="00757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9" w:type="dxa"/>
        </w:trPr>
        <w:tc>
          <w:tcPr>
            <w:tcW w:w="5132" w:type="dxa"/>
            <w:tcBorders>
              <w:top w:val="single" w:sz="4" w:space="0" w:color="auto"/>
              <w:left w:val="single" w:sz="4" w:space="0" w:color="auto"/>
              <w:bottom w:val="single" w:sz="4" w:space="0" w:color="auto"/>
              <w:right w:val="single" w:sz="4" w:space="0" w:color="auto"/>
            </w:tcBorders>
          </w:tcPr>
          <w:p w14:paraId="03B0AC8D" w14:textId="77777777" w:rsidR="004760E7" w:rsidRPr="004760E7" w:rsidRDefault="004760E7" w:rsidP="004760E7">
            <w:pPr>
              <w:pStyle w:val="oj-ti-art"/>
              <w:spacing w:before="0" w:beforeAutospacing="0" w:after="0" w:afterAutospacing="0"/>
              <w:rPr>
                <w:b/>
                <w:lang w:val="en"/>
              </w:rPr>
            </w:pPr>
            <w:r w:rsidRPr="004760E7">
              <w:rPr>
                <w:b/>
                <w:lang w:val="en"/>
              </w:rPr>
              <w:t>6 straipsnis</w:t>
            </w:r>
          </w:p>
          <w:p w14:paraId="2BD858CB" w14:textId="77777777" w:rsidR="004760E7" w:rsidRPr="004760E7" w:rsidRDefault="004760E7" w:rsidP="004760E7">
            <w:pPr>
              <w:pStyle w:val="oj-sti-art"/>
              <w:spacing w:before="0" w:beforeAutospacing="0" w:after="0" w:afterAutospacing="0"/>
              <w:rPr>
                <w:b/>
                <w:lang w:val="en"/>
              </w:rPr>
            </w:pPr>
            <w:r w:rsidRPr="004760E7">
              <w:rPr>
                <w:b/>
                <w:lang w:val="en"/>
              </w:rPr>
              <w:t>Nacionalinių koordinavimo centrų skyrimas</w:t>
            </w:r>
          </w:p>
          <w:p w14:paraId="69E9F4D3" w14:textId="19526C49" w:rsidR="004760E7" w:rsidRPr="004760E7" w:rsidRDefault="004760E7" w:rsidP="004760E7">
            <w:pPr>
              <w:pStyle w:val="CM4"/>
              <w:spacing w:before="60" w:after="60"/>
              <w:jc w:val="both"/>
              <w:rPr>
                <w:rFonts w:ascii="Times New Roman" w:hAnsi="Times New Roman" w:cs="Times New Roman"/>
                <w:color w:val="000000"/>
                <w:sz w:val="22"/>
                <w:szCs w:val="22"/>
              </w:rPr>
            </w:pPr>
            <w:r w:rsidRPr="004760E7">
              <w:rPr>
                <w:rFonts w:ascii="Times New Roman" w:hAnsi="Times New Roman" w:cs="Times New Roman"/>
                <w:color w:val="000000"/>
                <w:sz w:val="22"/>
                <w:szCs w:val="22"/>
              </w:rPr>
              <w:t>1. Ne vėliau kaip 2021 m. gruodžio 29 d. kiekviena valstybė narė paskiria vieną 5 dalyje nustatytus kriterijus atitinkantį subjektą, kuris šio reglamento tikslais vykdys savo nacionalinio koordinavimo centro funkcijas. Kiekviena valstybė narė nedelsdama praneša apie tą subjektą Valdanči</w:t>
            </w:r>
            <w:r w:rsidR="00446EB1">
              <w:rPr>
                <w:rFonts w:ascii="Times New Roman" w:hAnsi="Times New Roman" w:cs="Times New Roman"/>
                <w:color w:val="000000"/>
                <w:sz w:val="22"/>
                <w:szCs w:val="22"/>
              </w:rPr>
              <w:t>ajai</w:t>
            </w:r>
            <w:r w:rsidRPr="004760E7">
              <w:rPr>
                <w:rFonts w:ascii="Times New Roman" w:hAnsi="Times New Roman" w:cs="Times New Roman"/>
                <w:color w:val="000000"/>
                <w:sz w:val="22"/>
                <w:szCs w:val="22"/>
              </w:rPr>
              <w:t xml:space="preserve"> tarybai. Toks subjektas gali būti toje valstybėje narėje jau įsteigtas subjektas.</w:t>
            </w:r>
          </w:p>
          <w:p w14:paraId="0372CDDC" w14:textId="77777777" w:rsidR="004760E7" w:rsidRPr="004760E7" w:rsidRDefault="004760E7" w:rsidP="004760E7">
            <w:pPr>
              <w:pStyle w:val="CM4"/>
              <w:spacing w:before="60" w:after="60"/>
              <w:jc w:val="both"/>
              <w:rPr>
                <w:rFonts w:ascii="Times New Roman" w:hAnsi="Times New Roman" w:cs="Times New Roman"/>
                <w:color w:val="000000"/>
                <w:sz w:val="22"/>
                <w:szCs w:val="22"/>
              </w:rPr>
            </w:pPr>
            <w:r w:rsidRPr="004760E7">
              <w:rPr>
                <w:rFonts w:ascii="Times New Roman" w:hAnsi="Times New Roman" w:cs="Times New Roman"/>
                <w:color w:val="000000"/>
                <w:sz w:val="22"/>
                <w:szCs w:val="22"/>
              </w:rPr>
              <w:t>Šios dalies pirmoje pastraipoje nustatytas terminas pratęsiamas laikotarpiui, per kurį Komisija turi pateikti 2 dalyje nurodytą nuomonę.</w:t>
            </w:r>
          </w:p>
          <w:p w14:paraId="665032EF" w14:textId="19E23C0D" w:rsidR="004760E7" w:rsidRPr="004760E7" w:rsidRDefault="00147F5D" w:rsidP="004760E7">
            <w:pPr>
              <w:pStyle w:val="CM4"/>
              <w:spacing w:before="60" w:after="60"/>
              <w:jc w:val="both"/>
              <w:rPr>
                <w:rFonts w:ascii="Times New Roman" w:hAnsi="Times New Roman" w:cs="Times New Roman"/>
                <w:color w:val="000000"/>
                <w:sz w:val="22"/>
                <w:szCs w:val="22"/>
              </w:rPr>
            </w:pPr>
            <w:r>
              <w:rPr>
                <w:rFonts w:ascii="Times New Roman" w:hAnsi="Times New Roman" w:cs="Times New Roman"/>
                <w:color w:val="000000"/>
                <w:sz w:val="22"/>
                <w:szCs w:val="22"/>
              </w:rPr>
              <w:t>&lt;...&gt;</w:t>
            </w:r>
          </w:p>
          <w:p w14:paraId="12F23F04" w14:textId="65B74927" w:rsidR="004760E7" w:rsidRPr="004760E7" w:rsidRDefault="004760E7" w:rsidP="004760E7">
            <w:pPr>
              <w:pStyle w:val="CM4"/>
              <w:spacing w:before="60" w:after="60"/>
              <w:jc w:val="both"/>
              <w:rPr>
                <w:rFonts w:ascii="Times New Roman" w:hAnsi="Times New Roman" w:cs="Times New Roman"/>
                <w:color w:val="000000"/>
                <w:sz w:val="22"/>
                <w:szCs w:val="22"/>
              </w:rPr>
            </w:pPr>
            <w:r w:rsidRPr="004760E7">
              <w:rPr>
                <w:rFonts w:ascii="Times New Roman" w:hAnsi="Times New Roman" w:cs="Times New Roman"/>
                <w:color w:val="000000"/>
                <w:sz w:val="22"/>
                <w:szCs w:val="22"/>
              </w:rPr>
              <w:t>5. Nacionalinis koordinavimo centras yra viešojo sektoriaus subjektas arba subjektas, kurio didžioji dalis priklauso valstybei narei, vykdantis viešojo administravimo funkcijas pagal nacionalinę teisę, be kita ko, delegavimo pagrindu ir kuris turi pajėgumų padėti Kompetencijos centrui ir Tinklui įvykdyti jų misiją, nustatytą šio reglamento 3 straipsnyje. Jis turi turėti kibernetinio saugumo mokslinių tyrimų ir technologijų ekspertinių žinių arba prieigą prie tokių mokslinių tyrimų ir ekspertinių žinių. Jis turi būti pajėgus veiksmingai bendradarbiauti ir koordinuoti savo veiklą su pramonės subjektais, viešuoju sektoriumi, akademine ir mokslinių tyrimų bendruomene ir piliečiais, įskaitant institucijas, paskirtas pagal Direktyvą (ES) 2016/1148.</w:t>
            </w:r>
          </w:p>
          <w:p w14:paraId="3F5B3751" w14:textId="45C8A259" w:rsidR="00FE2AC0" w:rsidRPr="009176AA" w:rsidRDefault="00147F5D" w:rsidP="00147F5D">
            <w:pPr>
              <w:pStyle w:val="CM4"/>
              <w:spacing w:before="60" w:after="60"/>
              <w:jc w:val="both"/>
              <w:rPr>
                <w:rFonts w:ascii="Times New Roman" w:hAnsi="Times New Roman" w:cs="Times New Roman"/>
                <w:b/>
                <w:bCs/>
                <w:color w:val="000000"/>
                <w:sz w:val="22"/>
                <w:szCs w:val="22"/>
              </w:rPr>
            </w:pPr>
            <w:r>
              <w:rPr>
                <w:rFonts w:ascii="Times New Roman" w:hAnsi="Times New Roman" w:cs="Times New Roman"/>
                <w:color w:val="000000"/>
                <w:sz w:val="22"/>
                <w:szCs w:val="22"/>
              </w:rPr>
              <w:t>&lt;...&gt;</w:t>
            </w:r>
          </w:p>
        </w:tc>
        <w:tc>
          <w:tcPr>
            <w:tcW w:w="7655" w:type="dxa"/>
            <w:tcBorders>
              <w:top w:val="single" w:sz="4" w:space="0" w:color="auto"/>
              <w:left w:val="single" w:sz="4" w:space="0" w:color="auto"/>
              <w:bottom w:val="single" w:sz="4" w:space="0" w:color="auto"/>
              <w:right w:val="single" w:sz="4" w:space="0" w:color="auto"/>
            </w:tcBorders>
          </w:tcPr>
          <w:p w14:paraId="3F5B3752" w14:textId="0780B3FC" w:rsidR="00FE2AC0" w:rsidRPr="0074681A" w:rsidRDefault="00147F5D" w:rsidP="0074681A">
            <w:pPr>
              <w:jc w:val="both"/>
              <w:rPr>
                <w:b/>
                <w:sz w:val="22"/>
                <w:szCs w:val="22"/>
              </w:rPr>
            </w:pPr>
            <w:r>
              <w:rPr>
                <w:b/>
                <w:sz w:val="22"/>
                <w:szCs w:val="22"/>
              </w:rPr>
              <w:t>Nutarimo projektas</w:t>
            </w:r>
          </w:p>
          <w:p w14:paraId="7B402E29" w14:textId="3E5030EF" w:rsidR="00147F5D" w:rsidRDefault="00147F5D" w:rsidP="0074681A">
            <w:pPr>
              <w:rPr>
                <w:b/>
                <w:sz w:val="22"/>
                <w:szCs w:val="22"/>
              </w:rPr>
            </w:pPr>
            <w:r>
              <w:rPr>
                <w:b/>
                <w:bCs/>
                <w:color w:val="000000"/>
              </w:rPr>
              <w:t>II.</w:t>
            </w:r>
            <w:r>
              <w:rPr>
                <w:color w:val="000000"/>
              </w:rPr>
              <w:t> </w:t>
            </w:r>
            <w:r>
              <w:rPr>
                <w:b/>
                <w:bCs/>
                <w:caps/>
                <w:color w:val="000000"/>
              </w:rPr>
              <w:t>SKYRIUS. KRAŠTO APSAUGOS MINISTERIJOS VEIKLOS TIKSLAI IR FUNKCIJOS</w:t>
            </w:r>
          </w:p>
          <w:p w14:paraId="2931EE73" w14:textId="1540C2B1" w:rsidR="005A6C7E" w:rsidRDefault="000C6886" w:rsidP="0074681A">
            <w:pPr>
              <w:rPr>
                <w:b/>
                <w:sz w:val="22"/>
                <w:szCs w:val="22"/>
              </w:rPr>
            </w:pPr>
            <w:r>
              <w:rPr>
                <w:b/>
                <w:sz w:val="22"/>
                <w:szCs w:val="22"/>
              </w:rPr>
              <w:t>„</w:t>
            </w:r>
            <w:r w:rsidR="005A6C7E">
              <w:rPr>
                <w:b/>
                <w:sz w:val="22"/>
                <w:szCs w:val="22"/>
              </w:rPr>
              <w:t>&lt;...&gt;</w:t>
            </w:r>
          </w:p>
          <w:p w14:paraId="327CADA5" w14:textId="051246C7" w:rsidR="00147F5D" w:rsidRDefault="005A6C7E" w:rsidP="0074681A">
            <w:pPr>
              <w:rPr>
                <w:b/>
                <w:sz w:val="22"/>
                <w:szCs w:val="22"/>
              </w:rPr>
            </w:pPr>
            <w:r w:rsidRPr="005A6C7E">
              <w:rPr>
                <w:b/>
                <w:sz w:val="22"/>
                <w:szCs w:val="22"/>
              </w:rPr>
              <w:t>10</w:t>
            </w:r>
            <w:r w:rsidRPr="005A6C7E">
              <w:rPr>
                <w:b/>
                <w:sz w:val="22"/>
                <w:szCs w:val="22"/>
                <w:vertAlign w:val="superscript"/>
              </w:rPr>
              <w:t>1</w:t>
            </w:r>
            <w:r w:rsidRPr="005A6C7E">
              <w:rPr>
                <w:b/>
                <w:sz w:val="22"/>
                <w:szCs w:val="22"/>
              </w:rPr>
              <w:t xml:space="preserve">. Siekdama 7.4 papunktyje nurodyto veiklos tikslo, ministerija: </w:t>
            </w:r>
          </w:p>
          <w:p w14:paraId="00B29C96" w14:textId="77777777" w:rsidR="005A6C7E" w:rsidRDefault="005A6C7E" w:rsidP="0074681A">
            <w:pPr>
              <w:rPr>
                <w:b/>
                <w:sz w:val="22"/>
                <w:szCs w:val="22"/>
              </w:rPr>
            </w:pPr>
            <w:r>
              <w:rPr>
                <w:b/>
                <w:sz w:val="22"/>
                <w:szCs w:val="22"/>
              </w:rPr>
              <w:t>&lt;...&gt;</w:t>
            </w:r>
          </w:p>
          <w:p w14:paraId="49D87266" w14:textId="4696BE8E" w:rsidR="00147F5D" w:rsidRDefault="00147F5D" w:rsidP="005A6C7E">
            <w:pPr>
              <w:jc w:val="both"/>
              <w:rPr>
                <w:b/>
                <w:sz w:val="22"/>
                <w:szCs w:val="22"/>
              </w:rPr>
            </w:pPr>
            <w:r w:rsidRPr="00147F5D">
              <w:rPr>
                <w:b/>
                <w:sz w:val="22"/>
                <w:szCs w:val="22"/>
              </w:rPr>
              <w:t>10</w:t>
            </w:r>
            <w:r w:rsidRPr="00147F5D">
              <w:rPr>
                <w:b/>
                <w:sz w:val="22"/>
                <w:szCs w:val="22"/>
                <w:vertAlign w:val="superscript"/>
              </w:rPr>
              <w:t>1</w:t>
            </w:r>
            <w:r w:rsidRPr="00147F5D">
              <w:rPr>
                <w:b/>
                <w:sz w:val="22"/>
                <w:szCs w:val="22"/>
              </w:rPr>
              <w:t>.15. atlieka 2021 m. gegužės 20 d. Europos Parlamento ir Tarybos reglamente (ES) Nr. 2021/887, kuriuo įsteigiamas Europos kibernetinio saugumo pramonės, technologijų ir mokslinių tyrimų kompetencijos centras ir Nacionalinių koordinavimo centrų tinklas, nustatytas nacionalinio koordinavimo centro funkcijas.</w:t>
            </w:r>
            <w:r w:rsidR="000C6886">
              <w:rPr>
                <w:b/>
                <w:sz w:val="22"/>
                <w:szCs w:val="22"/>
              </w:rPr>
              <w:t>“</w:t>
            </w:r>
          </w:p>
          <w:p w14:paraId="3F5B3756" w14:textId="77777777" w:rsidR="00FE2AC0" w:rsidRPr="0074681A" w:rsidRDefault="00FE2AC0" w:rsidP="005A6C7E">
            <w:pPr>
              <w:tabs>
                <w:tab w:val="left" w:pos="993"/>
              </w:tabs>
              <w:suppressAutoHyphens/>
              <w:jc w:val="both"/>
              <w:textAlignment w:val="baseline"/>
              <w:rPr>
                <w:sz w:val="22"/>
                <w:szCs w:val="22"/>
                <w:lang w:eastAsia="ar-SA"/>
              </w:rPr>
            </w:pPr>
          </w:p>
        </w:tc>
        <w:tc>
          <w:tcPr>
            <w:tcW w:w="1842" w:type="dxa"/>
            <w:tcBorders>
              <w:top w:val="single" w:sz="4" w:space="0" w:color="auto"/>
              <w:left w:val="single" w:sz="4" w:space="0" w:color="auto"/>
              <w:bottom w:val="single" w:sz="4" w:space="0" w:color="auto"/>
              <w:right w:val="single" w:sz="4" w:space="0" w:color="auto"/>
            </w:tcBorders>
          </w:tcPr>
          <w:p w14:paraId="3F5B3757" w14:textId="715CDCC0" w:rsidR="00FE2AC0" w:rsidRPr="009176AA" w:rsidRDefault="000C6886" w:rsidP="000C6886">
            <w:pPr>
              <w:pStyle w:val="TableContents"/>
              <w:jc w:val="both"/>
              <w:rPr>
                <w:szCs w:val="22"/>
              </w:rPr>
            </w:pPr>
            <w:r>
              <w:rPr>
                <w:sz w:val="22"/>
                <w:szCs w:val="22"/>
              </w:rPr>
              <w:t>Dalinis</w:t>
            </w:r>
          </w:p>
        </w:tc>
      </w:tr>
    </w:tbl>
    <w:p w14:paraId="3F5B3797" w14:textId="77777777" w:rsidR="00E02535" w:rsidRPr="00812DC8" w:rsidRDefault="00E02535" w:rsidP="00812DC8"/>
    <w:sectPr w:rsidR="00E02535" w:rsidRPr="00812DC8" w:rsidSect="00311461">
      <w:headerReference w:type="default" r:id="rId7"/>
      <w:footerReference w:type="even" r:id="rId8"/>
      <w:footerReference w:type="default" r:id="rId9"/>
      <w:footnotePr>
        <w:numFmt w:val="chicago"/>
      </w:footnotePr>
      <w:pgSz w:w="16840" w:h="11907" w:orient="landscape"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A453" w14:textId="77777777" w:rsidR="00C4532F" w:rsidRDefault="00C4532F" w:rsidP="00812DC8">
      <w:r>
        <w:separator/>
      </w:r>
    </w:p>
  </w:endnote>
  <w:endnote w:type="continuationSeparator" w:id="0">
    <w:p w14:paraId="291F4C0E" w14:textId="77777777" w:rsidR="00C4532F" w:rsidRDefault="00C4532F" w:rsidP="008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 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379E" w14:textId="77777777" w:rsidR="00C65A02" w:rsidRDefault="003D2FF0" w:rsidP="008A7BAD">
    <w:pPr>
      <w:pStyle w:val="Footer"/>
      <w:framePr w:wrap="around" w:vAnchor="text" w:hAnchor="margin" w:xAlign="center" w:y="1"/>
      <w:rPr>
        <w:rStyle w:val="PageNumber"/>
      </w:rPr>
    </w:pPr>
    <w:r>
      <w:rPr>
        <w:rStyle w:val="PageNumber"/>
      </w:rPr>
      <w:fldChar w:fldCharType="begin"/>
    </w:r>
    <w:r w:rsidR="00E02535">
      <w:rPr>
        <w:rStyle w:val="PageNumber"/>
      </w:rPr>
      <w:instrText xml:space="preserve">PAGE  </w:instrText>
    </w:r>
    <w:r>
      <w:rPr>
        <w:rStyle w:val="PageNumber"/>
      </w:rPr>
      <w:fldChar w:fldCharType="end"/>
    </w:r>
  </w:p>
  <w:p w14:paraId="3F5B379F" w14:textId="77777777" w:rsidR="00C65A02" w:rsidRDefault="00A80C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37A0" w14:textId="77777777" w:rsidR="00C65A02" w:rsidRDefault="00A80C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99B37" w14:textId="77777777" w:rsidR="00C4532F" w:rsidRDefault="00C4532F" w:rsidP="00812DC8">
      <w:r>
        <w:separator/>
      </w:r>
    </w:p>
  </w:footnote>
  <w:footnote w:type="continuationSeparator" w:id="0">
    <w:p w14:paraId="68A72EC8" w14:textId="77777777" w:rsidR="00C4532F" w:rsidRDefault="00C4532F" w:rsidP="0081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6598"/>
      <w:docPartObj>
        <w:docPartGallery w:val="Page Numbers (Top of Page)"/>
        <w:docPartUnique/>
      </w:docPartObj>
    </w:sdtPr>
    <w:sdtEndPr/>
    <w:sdtContent>
      <w:p w14:paraId="3F5B379C" w14:textId="2E317833" w:rsidR="00B65319" w:rsidRDefault="003D2FF0">
        <w:pPr>
          <w:pStyle w:val="Header"/>
          <w:jc w:val="center"/>
        </w:pPr>
        <w:r>
          <w:fldChar w:fldCharType="begin"/>
        </w:r>
        <w:r w:rsidR="00E54855">
          <w:instrText xml:space="preserve"> PAGE   \* MERGEFORMAT </w:instrText>
        </w:r>
        <w:r>
          <w:fldChar w:fldCharType="separate"/>
        </w:r>
        <w:r w:rsidR="00A80CDC">
          <w:rPr>
            <w:noProof/>
          </w:rPr>
          <w:t>2</w:t>
        </w:r>
        <w:r>
          <w:rPr>
            <w:noProof/>
          </w:rPr>
          <w:fldChar w:fldCharType="end"/>
        </w:r>
      </w:p>
    </w:sdtContent>
  </w:sdt>
  <w:p w14:paraId="3F5B379D" w14:textId="77777777" w:rsidR="00B65319" w:rsidRDefault="00B65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7F0"/>
    <w:multiLevelType w:val="hybridMultilevel"/>
    <w:tmpl w:val="DE841D9C"/>
    <w:lvl w:ilvl="0" w:tplc="3BD0119A">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9C1A37"/>
    <w:multiLevelType w:val="hybridMultilevel"/>
    <w:tmpl w:val="FD0C652C"/>
    <w:lvl w:ilvl="0" w:tplc="142C3CE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ED6025"/>
    <w:multiLevelType w:val="hybridMultilevel"/>
    <w:tmpl w:val="60BC6CC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6007"/>
    <w:multiLevelType w:val="hybridMultilevel"/>
    <w:tmpl w:val="50E4A5B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C5334D"/>
    <w:multiLevelType w:val="hybridMultilevel"/>
    <w:tmpl w:val="3D5673F4"/>
    <w:lvl w:ilvl="0" w:tplc="BC129E26">
      <w:start w:val="1"/>
      <w:numFmt w:val="decimal"/>
      <w:lvlText w:val="%1."/>
      <w:lvlJc w:val="left"/>
      <w:pPr>
        <w:ind w:left="720" w:hanging="360"/>
      </w:pPr>
      <w:rPr>
        <w:rFonts w:ascii="Times New Roman" w:hAnsi="Times New Roman" w:cs="Times New Roman"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897597"/>
    <w:multiLevelType w:val="hybridMultilevel"/>
    <w:tmpl w:val="ED624DFC"/>
    <w:lvl w:ilvl="0" w:tplc="04270011">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B0674"/>
    <w:multiLevelType w:val="hybridMultilevel"/>
    <w:tmpl w:val="08E8003E"/>
    <w:lvl w:ilvl="0" w:tplc="4BFED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D3D5D0B"/>
    <w:multiLevelType w:val="hybridMultilevel"/>
    <w:tmpl w:val="60BC6CC6"/>
    <w:lvl w:ilvl="0" w:tplc="04270011">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1296"/>
  <w:hyphenationZone w:val="396"/>
  <w:drawingGridHorizontalSpacing w:val="12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37"/>
    <w:rsid w:val="00021C03"/>
    <w:rsid w:val="00042CFC"/>
    <w:rsid w:val="000474C7"/>
    <w:rsid w:val="00052A2B"/>
    <w:rsid w:val="0008285B"/>
    <w:rsid w:val="00096F6B"/>
    <w:rsid w:val="000A748D"/>
    <w:rsid w:val="000A7884"/>
    <w:rsid w:val="000C6886"/>
    <w:rsid w:val="000D4E23"/>
    <w:rsid w:val="00147F5D"/>
    <w:rsid w:val="001713E1"/>
    <w:rsid w:val="001A392C"/>
    <w:rsid w:val="00206B0D"/>
    <w:rsid w:val="00242130"/>
    <w:rsid w:val="0024778C"/>
    <w:rsid w:val="002477B4"/>
    <w:rsid w:val="00286B66"/>
    <w:rsid w:val="002A4345"/>
    <w:rsid w:val="002B1FE1"/>
    <w:rsid w:val="002C74CD"/>
    <w:rsid w:val="002F0460"/>
    <w:rsid w:val="00302E3B"/>
    <w:rsid w:val="00311461"/>
    <w:rsid w:val="00356F32"/>
    <w:rsid w:val="003656D7"/>
    <w:rsid w:val="00393D90"/>
    <w:rsid w:val="00395F37"/>
    <w:rsid w:val="003A616E"/>
    <w:rsid w:val="003D2FF0"/>
    <w:rsid w:val="0044169B"/>
    <w:rsid w:val="00446384"/>
    <w:rsid w:val="00446EB1"/>
    <w:rsid w:val="00463C65"/>
    <w:rsid w:val="004760E7"/>
    <w:rsid w:val="0049562D"/>
    <w:rsid w:val="004E7C70"/>
    <w:rsid w:val="0050176D"/>
    <w:rsid w:val="005059E4"/>
    <w:rsid w:val="0054170F"/>
    <w:rsid w:val="00577D20"/>
    <w:rsid w:val="005A252B"/>
    <w:rsid w:val="005A6C7E"/>
    <w:rsid w:val="005C048A"/>
    <w:rsid w:val="005E434B"/>
    <w:rsid w:val="00610BFB"/>
    <w:rsid w:val="00696B76"/>
    <w:rsid w:val="006A2344"/>
    <w:rsid w:val="006B00C6"/>
    <w:rsid w:val="006D7EFB"/>
    <w:rsid w:val="0074172A"/>
    <w:rsid w:val="007466F1"/>
    <w:rsid w:val="0074681A"/>
    <w:rsid w:val="0075569F"/>
    <w:rsid w:val="0075785A"/>
    <w:rsid w:val="00812DC8"/>
    <w:rsid w:val="008B30FA"/>
    <w:rsid w:val="009176AA"/>
    <w:rsid w:val="00936169"/>
    <w:rsid w:val="00942776"/>
    <w:rsid w:val="00985D6F"/>
    <w:rsid w:val="009C0D73"/>
    <w:rsid w:val="009C40B1"/>
    <w:rsid w:val="009F7EAE"/>
    <w:rsid w:val="00A34AA8"/>
    <w:rsid w:val="00A50CB0"/>
    <w:rsid w:val="00A6131B"/>
    <w:rsid w:val="00A80CDC"/>
    <w:rsid w:val="00AD376D"/>
    <w:rsid w:val="00B209A0"/>
    <w:rsid w:val="00B502B1"/>
    <w:rsid w:val="00B65319"/>
    <w:rsid w:val="00B9596A"/>
    <w:rsid w:val="00BF71BD"/>
    <w:rsid w:val="00C4532F"/>
    <w:rsid w:val="00C64D2C"/>
    <w:rsid w:val="00CB26AC"/>
    <w:rsid w:val="00CE37BB"/>
    <w:rsid w:val="00D76FD6"/>
    <w:rsid w:val="00D86D7D"/>
    <w:rsid w:val="00E02535"/>
    <w:rsid w:val="00E54855"/>
    <w:rsid w:val="00E702DF"/>
    <w:rsid w:val="00EB1997"/>
    <w:rsid w:val="00EC4194"/>
    <w:rsid w:val="00F55356"/>
    <w:rsid w:val="00FA64FF"/>
    <w:rsid w:val="00FD12E5"/>
    <w:rsid w:val="00FD1E22"/>
    <w:rsid w:val="00FD2496"/>
    <w:rsid w:val="00FD4C63"/>
    <w:rsid w:val="00FE2A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3742"/>
  <w15:docId w15:val="{BA1CB28A-3F55-42CF-8C2B-31CC119E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37"/>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DC8"/>
    <w:pPr>
      <w:tabs>
        <w:tab w:val="center" w:pos="4153"/>
        <w:tab w:val="right" w:pos="8306"/>
      </w:tabs>
      <w:jc w:val="both"/>
    </w:pPr>
    <w:rPr>
      <w:lang w:eastAsia="lt-LT"/>
    </w:rPr>
  </w:style>
  <w:style w:type="character" w:customStyle="1" w:styleId="HeaderChar">
    <w:name w:val="Header Char"/>
    <w:basedOn w:val="DefaultParagraphFont"/>
    <w:link w:val="Header"/>
    <w:uiPriority w:val="99"/>
    <w:rsid w:val="00812DC8"/>
    <w:rPr>
      <w:rFonts w:ascii="Times New Roman" w:eastAsia="Times New Roman" w:hAnsi="Times New Roman" w:cs="Times New Roman"/>
      <w:sz w:val="24"/>
      <w:szCs w:val="20"/>
    </w:rPr>
  </w:style>
  <w:style w:type="paragraph" w:styleId="BodyText3">
    <w:name w:val="Body Text 3"/>
    <w:basedOn w:val="Normal"/>
    <w:link w:val="BodyText3Char"/>
    <w:rsid w:val="00812DC8"/>
    <w:pPr>
      <w:jc w:val="center"/>
    </w:pPr>
    <w:rPr>
      <w:b/>
      <w:lang w:eastAsia="lt-LT"/>
    </w:rPr>
  </w:style>
  <w:style w:type="character" w:customStyle="1" w:styleId="BodyText3Char">
    <w:name w:val="Body Text 3 Char"/>
    <w:basedOn w:val="DefaultParagraphFont"/>
    <w:link w:val="BodyText3"/>
    <w:rsid w:val="00812DC8"/>
    <w:rPr>
      <w:rFonts w:ascii="Times New Roman" w:eastAsia="Times New Roman" w:hAnsi="Times New Roman" w:cs="Times New Roman"/>
      <w:b/>
      <w:sz w:val="24"/>
      <w:szCs w:val="20"/>
    </w:rPr>
  </w:style>
  <w:style w:type="paragraph" w:styleId="BodyText">
    <w:name w:val="Body Text"/>
    <w:basedOn w:val="Normal"/>
    <w:link w:val="BodyTextChar"/>
    <w:rsid w:val="00812DC8"/>
    <w:pPr>
      <w:spacing w:after="120"/>
      <w:jc w:val="both"/>
    </w:pPr>
    <w:rPr>
      <w:lang w:eastAsia="lt-LT"/>
    </w:rPr>
  </w:style>
  <w:style w:type="character" w:customStyle="1" w:styleId="BodyTextChar">
    <w:name w:val="Body Text Char"/>
    <w:basedOn w:val="DefaultParagraphFont"/>
    <w:link w:val="BodyText"/>
    <w:rsid w:val="00812DC8"/>
    <w:rPr>
      <w:rFonts w:ascii="Times New Roman" w:eastAsia="Times New Roman" w:hAnsi="Times New Roman" w:cs="Times New Roman"/>
      <w:sz w:val="24"/>
      <w:szCs w:val="20"/>
    </w:rPr>
  </w:style>
  <w:style w:type="character" w:styleId="FootnoteReference">
    <w:name w:val="footnote reference"/>
    <w:basedOn w:val="DefaultParagraphFont"/>
    <w:semiHidden/>
    <w:rsid w:val="00812DC8"/>
  </w:style>
  <w:style w:type="paragraph" w:styleId="Footer">
    <w:name w:val="footer"/>
    <w:basedOn w:val="Normal"/>
    <w:link w:val="FooterChar"/>
    <w:rsid w:val="00812DC8"/>
    <w:pPr>
      <w:tabs>
        <w:tab w:val="center" w:pos="4819"/>
        <w:tab w:val="right" w:pos="9638"/>
      </w:tabs>
      <w:jc w:val="both"/>
    </w:pPr>
    <w:rPr>
      <w:lang w:eastAsia="lt-LT"/>
    </w:rPr>
  </w:style>
  <w:style w:type="character" w:customStyle="1" w:styleId="FooterChar">
    <w:name w:val="Footer Char"/>
    <w:basedOn w:val="DefaultParagraphFont"/>
    <w:link w:val="Footer"/>
    <w:rsid w:val="00812DC8"/>
    <w:rPr>
      <w:rFonts w:ascii="Times New Roman" w:eastAsia="Times New Roman" w:hAnsi="Times New Roman" w:cs="Times New Roman"/>
      <w:sz w:val="24"/>
      <w:szCs w:val="20"/>
    </w:rPr>
  </w:style>
  <w:style w:type="character" w:styleId="PageNumber">
    <w:name w:val="page number"/>
    <w:basedOn w:val="DefaultParagraphFont"/>
    <w:rsid w:val="00812DC8"/>
  </w:style>
  <w:style w:type="paragraph" w:styleId="FootnoteText">
    <w:name w:val="footnote text"/>
    <w:basedOn w:val="Normal"/>
    <w:link w:val="FootnoteTextChar"/>
    <w:semiHidden/>
    <w:rsid w:val="00812DC8"/>
    <w:pPr>
      <w:jc w:val="both"/>
    </w:pPr>
    <w:rPr>
      <w:sz w:val="20"/>
    </w:rPr>
  </w:style>
  <w:style w:type="character" w:customStyle="1" w:styleId="FootnoteTextChar">
    <w:name w:val="Footnote Text Char"/>
    <w:basedOn w:val="DefaultParagraphFont"/>
    <w:link w:val="FootnoteText"/>
    <w:semiHidden/>
    <w:rsid w:val="00812DC8"/>
    <w:rPr>
      <w:rFonts w:ascii="Times New Roman" w:eastAsia="Times New Roman" w:hAnsi="Times New Roman" w:cs="Times New Roman"/>
      <w:sz w:val="20"/>
      <w:szCs w:val="20"/>
      <w:lang w:eastAsia="en-US"/>
    </w:rPr>
  </w:style>
  <w:style w:type="character" w:styleId="Hyperlink">
    <w:name w:val="Hyperlink"/>
    <w:rsid w:val="00812DC8"/>
    <w:rPr>
      <w:color w:val="000000"/>
      <w:u w:val="single"/>
    </w:rPr>
  </w:style>
  <w:style w:type="paragraph" w:customStyle="1" w:styleId="TableContents">
    <w:name w:val="Table Contents"/>
    <w:basedOn w:val="Normal"/>
    <w:rsid w:val="00812DC8"/>
    <w:pPr>
      <w:widowControl w:val="0"/>
      <w:suppressLineNumbers/>
      <w:suppressAutoHyphens/>
    </w:pPr>
    <w:rPr>
      <w:rFonts w:eastAsia="Arial Unicode MS"/>
      <w:szCs w:val="24"/>
      <w:lang w:eastAsia="lt-LT"/>
    </w:rPr>
  </w:style>
  <w:style w:type="paragraph" w:customStyle="1" w:styleId="Default">
    <w:name w:val="Default"/>
    <w:rsid w:val="003A616E"/>
    <w:pPr>
      <w:autoSpaceDE w:val="0"/>
      <w:autoSpaceDN w:val="0"/>
      <w:adjustRightInd w:val="0"/>
      <w:spacing w:after="0" w:line="240" w:lineRule="auto"/>
    </w:pPr>
    <w:rPr>
      <w:rFonts w:ascii="EU Albertina" w:hAnsi="EU Albertina" w:cs="EU Albertina"/>
      <w:color w:val="000000"/>
      <w:sz w:val="24"/>
      <w:szCs w:val="24"/>
    </w:rPr>
  </w:style>
  <w:style w:type="paragraph" w:customStyle="1" w:styleId="CM1">
    <w:name w:val="CM1"/>
    <w:basedOn w:val="Default"/>
    <w:next w:val="Default"/>
    <w:uiPriority w:val="99"/>
    <w:rsid w:val="003A616E"/>
    <w:rPr>
      <w:rFonts w:cstheme="minorBidi"/>
      <w:color w:val="auto"/>
    </w:rPr>
  </w:style>
  <w:style w:type="paragraph" w:customStyle="1" w:styleId="CM3">
    <w:name w:val="CM3"/>
    <w:basedOn w:val="Default"/>
    <w:next w:val="Default"/>
    <w:uiPriority w:val="99"/>
    <w:rsid w:val="003A616E"/>
    <w:rPr>
      <w:rFonts w:cstheme="minorBidi"/>
      <w:color w:val="auto"/>
    </w:rPr>
  </w:style>
  <w:style w:type="paragraph" w:customStyle="1" w:styleId="CM4">
    <w:name w:val="CM4"/>
    <w:basedOn w:val="Default"/>
    <w:next w:val="Default"/>
    <w:uiPriority w:val="99"/>
    <w:rsid w:val="003A616E"/>
    <w:rPr>
      <w:rFonts w:cstheme="minorBidi"/>
      <w:color w:val="auto"/>
    </w:rPr>
  </w:style>
  <w:style w:type="character" w:styleId="CommentReference">
    <w:name w:val="annotation reference"/>
    <w:basedOn w:val="DefaultParagraphFont"/>
    <w:rsid w:val="00096F6B"/>
    <w:rPr>
      <w:sz w:val="16"/>
      <w:szCs w:val="16"/>
    </w:rPr>
  </w:style>
  <w:style w:type="paragraph" w:styleId="CommentText">
    <w:name w:val="annotation text"/>
    <w:basedOn w:val="Normal"/>
    <w:link w:val="CommentTextChar"/>
    <w:rsid w:val="00096F6B"/>
    <w:rPr>
      <w:sz w:val="20"/>
    </w:rPr>
  </w:style>
  <w:style w:type="character" w:customStyle="1" w:styleId="CommentTextChar">
    <w:name w:val="Comment Text Char"/>
    <w:basedOn w:val="DefaultParagraphFont"/>
    <w:link w:val="CommentText"/>
    <w:rsid w:val="00096F6B"/>
    <w:rPr>
      <w:rFonts w:ascii="Times New Roman" w:eastAsia="Times New Roman" w:hAnsi="Times New Roman" w:cs="Times New Roman"/>
      <w:sz w:val="20"/>
      <w:szCs w:val="20"/>
      <w:lang w:eastAsia="en-US"/>
    </w:rPr>
  </w:style>
  <w:style w:type="paragraph" w:styleId="ListParagraph">
    <w:name w:val="List Paragraph"/>
    <w:basedOn w:val="Normal"/>
    <w:qFormat/>
    <w:rsid w:val="00096F6B"/>
    <w:pPr>
      <w:ind w:left="720"/>
      <w:contextualSpacing/>
    </w:pPr>
  </w:style>
  <w:style w:type="paragraph" w:styleId="BalloonText">
    <w:name w:val="Balloon Text"/>
    <w:basedOn w:val="Normal"/>
    <w:link w:val="BalloonTextChar"/>
    <w:uiPriority w:val="99"/>
    <w:semiHidden/>
    <w:unhideWhenUsed/>
    <w:rsid w:val="00096F6B"/>
    <w:rPr>
      <w:rFonts w:ascii="Tahoma" w:hAnsi="Tahoma" w:cs="Tahoma"/>
      <w:sz w:val="16"/>
      <w:szCs w:val="16"/>
    </w:rPr>
  </w:style>
  <w:style w:type="character" w:customStyle="1" w:styleId="BalloonTextChar">
    <w:name w:val="Balloon Text Char"/>
    <w:basedOn w:val="DefaultParagraphFont"/>
    <w:link w:val="BalloonText"/>
    <w:uiPriority w:val="99"/>
    <w:semiHidden/>
    <w:rsid w:val="00096F6B"/>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E54855"/>
    <w:rPr>
      <w:b/>
      <w:bCs/>
    </w:rPr>
  </w:style>
  <w:style w:type="character" w:customStyle="1" w:styleId="CommentSubjectChar">
    <w:name w:val="Comment Subject Char"/>
    <w:basedOn w:val="CommentTextChar"/>
    <w:link w:val="CommentSubject"/>
    <w:uiPriority w:val="99"/>
    <w:semiHidden/>
    <w:rsid w:val="00E54855"/>
    <w:rPr>
      <w:rFonts w:ascii="Times New Roman" w:eastAsia="Times New Roman" w:hAnsi="Times New Roman" w:cs="Times New Roman"/>
      <w:b/>
      <w:bCs/>
      <w:sz w:val="20"/>
      <w:szCs w:val="20"/>
      <w:lang w:eastAsia="en-US"/>
    </w:rPr>
  </w:style>
  <w:style w:type="character" w:customStyle="1" w:styleId="apple-converted-space">
    <w:name w:val="apple-converted-space"/>
    <w:basedOn w:val="DefaultParagraphFont"/>
    <w:rsid w:val="005E434B"/>
  </w:style>
  <w:style w:type="paragraph" w:customStyle="1" w:styleId="oj-ti-art">
    <w:name w:val="oj-ti-art"/>
    <w:basedOn w:val="Normal"/>
    <w:rsid w:val="004760E7"/>
    <w:pPr>
      <w:spacing w:before="100" w:beforeAutospacing="1" w:after="100" w:afterAutospacing="1"/>
    </w:pPr>
    <w:rPr>
      <w:szCs w:val="24"/>
      <w:lang w:val="en-US"/>
    </w:rPr>
  </w:style>
  <w:style w:type="paragraph" w:customStyle="1" w:styleId="oj-sti-art">
    <w:name w:val="oj-sti-art"/>
    <w:basedOn w:val="Normal"/>
    <w:rsid w:val="004760E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6433">
      <w:bodyDiv w:val="1"/>
      <w:marLeft w:val="0"/>
      <w:marRight w:val="0"/>
      <w:marTop w:val="0"/>
      <w:marBottom w:val="0"/>
      <w:divBdr>
        <w:top w:val="none" w:sz="0" w:space="0" w:color="auto"/>
        <w:left w:val="none" w:sz="0" w:space="0" w:color="auto"/>
        <w:bottom w:val="none" w:sz="0" w:space="0" w:color="auto"/>
        <w:right w:val="none" w:sz="0" w:space="0" w:color="auto"/>
      </w:divBdr>
      <w:divsChild>
        <w:div w:id="1539589098">
          <w:marLeft w:val="0"/>
          <w:marRight w:val="0"/>
          <w:marTop w:val="0"/>
          <w:marBottom w:val="0"/>
          <w:divBdr>
            <w:top w:val="none" w:sz="0" w:space="0" w:color="auto"/>
            <w:left w:val="none" w:sz="0" w:space="0" w:color="auto"/>
            <w:bottom w:val="none" w:sz="0" w:space="0" w:color="auto"/>
            <w:right w:val="none" w:sz="0" w:space="0" w:color="auto"/>
          </w:divBdr>
          <w:divsChild>
            <w:div w:id="1826704795">
              <w:marLeft w:val="0"/>
              <w:marRight w:val="0"/>
              <w:marTop w:val="0"/>
              <w:marBottom w:val="0"/>
              <w:divBdr>
                <w:top w:val="none" w:sz="0" w:space="0" w:color="auto"/>
                <w:left w:val="none" w:sz="0" w:space="0" w:color="auto"/>
                <w:bottom w:val="none" w:sz="0" w:space="0" w:color="auto"/>
                <w:right w:val="none" w:sz="0" w:space="0" w:color="auto"/>
              </w:divBdr>
              <w:divsChild>
                <w:div w:id="590168138">
                  <w:marLeft w:val="0"/>
                  <w:marRight w:val="0"/>
                  <w:marTop w:val="0"/>
                  <w:marBottom w:val="0"/>
                  <w:divBdr>
                    <w:top w:val="none" w:sz="0" w:space="0" w:color="auto"/>
                    <w:left w:val="none" w:sz="0" w:space="0" w:color="auto"/>
                    <w:bottom w:val="none" w:sz="0" w:space="0" w:color="auto"/>
                    <w:right w:val="none" w:sz="0" w:space="0" w:color="auto"/>
                  </w:divBdr>
                  <w:divsChild>
                    <w:div w:id="1176730256">
                      <w:marLeft w:val="0"/>
                      <w:marRight w:val="0"/>
                      <w:marTop w:val="0"/>
                      <w:marBottom w:val="0"/>
                      <w:divBdr>
                        <w:top w:val="none" w:sz="0" w:space="0" w:color="auto"/>
                        <w:left w:val="none" w:sz="0" w:space="0" w:color="auto"/>
                        <w:bottom w:val="none" w:sz="0" w:space="0" w:color="auto"/>
                        <w:right w:val="none" w:sz="0" w:space="0" w:color="auto"/>
                      </w:divBdr>
                      <w:divsChild>
                        <w:div w:id="699890338">
                          <w:marLeft w:val="0"/>
                          <w:marRight w:val="0"/>
                          <w:marTop w:val="0"/>
                          <w:marBottom w:val="0"/>
                          <w:divBdr>
                            <w:top w:val="none" w:sz="0" w:space="0" w:color="auto"/>
                            <w:left w:val="none" w:sz="0" w:space="0" w:color="auto"/>
                            <w:bottom w:val="none" w:sz="0" w:space="0" w:color="auto"/>
                            <w:right w:val="none" w:sz="0" w:space="0" w:color="auto"/>
                          </w:divBdr>
                          <w:divsChild>
                            <w:div w:id="1886603690">
                              <w:marLeft w:val="0"/>
                              <w:marRight w:val="0"/>
                              <w:marTop w:val="0"/>
                              <w:marBottom w:val="0"/>
                              <w:divBdr>
                                <w:top w:val="none" w:sz="0" w:space="0" w:color="auto"/>
                                <w:left w:val="none" w:sz="0" w:space="0" w:color="auto"/>
                                <w:bottom w:val="none" w:sz="0" w:space="0" w:color="auto"/>
                                <w:right w:val="none" w:sz="0" w:space="0" w:color="auto"/>
                              </w:divBdr>
                              <w:divsChild>
                                <w:div w:id="1113868473">
                                  <w:marLeft w:val="0"/>
                                  <w:marRight w:val="0"/>
                                  <w:marTop w:val="0"/>
                                  <w:marBottom w:val="0"/>
                                  <w:divBdr>
                                    <w:top w:val="none" w:sz="0" w:space="0" w:color="auto"/>
                                    <w:left w:val="none" w:sz="0" w:space="0" w:color="auto"/>
                                    <w:bottom w:val="none" w:sz="0" w:space="0" w:color="auto"/>
                                    <w:right w:val="none" w:sz="0" w:space="0" w:color="auto"/>
                                  </w:divBdr>
                                  <w:divsChild>
                                    <w:div w:id="64494849">
                                      <w:marLeft w:val="0"/>
                                      <w:marRight w:val="0"/>
                                      <w:marTop w:val="0"/>
                                      <w:marBottom w:val="0"/>
                                      <w:divBdr>
                                        <w:top w:val="none" w:sz="0" w:space="0" w:color="auto"/>
                                        <w:left w:val="none" w:sz="0" w:space="0" w:color="auto"/>
                                        <w:bottom w:val="none" w:sz="0" w:space="0" w:color="auto"/>
                                        <w:right w:val="none" w:sz="0" w:space="0" w:color="auto"/>
                                      </w:divBdr>
                                      <w:divsChild>
                                        <w:div w:id="1536700266">
                                          <w:marLeft w:val="0"/>
                                          <w:marRight w:val="0"/>
                                          <w:marTop w:val="0"/>
                                          <w:marBottom w:val="0"/>
                                          <w:divBdr>
                                            <w:top w:val="none" w:sz="0" w:space="0" w:color="auto"/>
                                            <w:left w:val="none" w:sz="0" w:space="0" w:color="auto"/>
                                            <w:bottom w:val="none" w:sz="0" w:space="0" w:color="auto"/>
                                            <w:right w:val="none" w:sz="0" w:space="0" w:color="auto"/>
                                          </w:divBdr>
                                          <w:divsChild>
                                            <w:div w:id="622003236">
                                              <w:marLeft w:val="0"/>
                                              <w:marRight w:val="0"/>
                                              <w:marTop w:val="0"/>
                                              <w:marBottom w:val="0"/>
                                              <w:divBdr>
                                                <w:top w:val="none" w:sz="0" w:space="0" w:color="auto"/>
                                                <w:left w:val="none" w:sz="0" w:space="0" w:color="auto"/>
                                                <w:bottom w:val="none" w:sz="0" w:space="0" w:color="auto"/>
                                                <w:right w:val="none" w:sz="0" w:space="0" w:color="auto"/>
                                              </w:divBdr>
                                              <w:divsChild>
                                                <w:div w:id="146023554">
                                                  <w:marLeft w:val="0"/>
                                                  <w:marRight w:val="0"/>
                                                  <w:marTop w:val="0"/>
                                                  <w:marBottom w:val="0"/>
                                                  <w:divBdr>
                                                    <w:top w:val="none" w:sz="0" w:space="0" w:color="auto"/>
                                                    <w:left w:val="none" w:sz="0" w:space="0" w:color="auto"/>
                                                    <w:bottom w:val="none" w:sz="0" w:space="0" w:color="auto"/>
                                                    <w:right w:val="none" w:sz="0" w:space="0" w:color="auto"/>
                                                  </w:divBdr>
                                                  <w:divsChild>
                                                    <w:div w:id="335839121">
                                                      <w:marLeft w:val="0"/>
                                                      <w:marRight w:val="0"/>
                                                      <w:marTop w:val="0"/>
                                                      <w:marBottom w:val="0"/>
                                                      <w:divBdr>
                                                        <w:top w:val="none" w:sz="0" w:space="0" w:color="auto"/>
                                                        <w:left w:val="none" w:sz="0" w:space="0" w:color="auto"/>
                                                        <w:bottom w:val="none" w:sz="0" w:space="0" w:color="auto"/>
                                                        <w:right w:val="none" w:sz="0" w:space="0" w:color="auto"/>
                                                      </w:divBdr>
                                                      <w:divsChild>
                                                        <w:div w:id="1503397362">
                                                          <w:marLeft w:val="0"/>
                                                          <w:marRight w:val="0"/>
                                                          <w:marTop w:val="0"/>
                                                          <w:marBottom w:val="0"/>
                                                          <w:divBdr>
                                                            <w:top w:val="none" w:sz="0" w:space="0" w:color="auto"/>
                                                            <w:left w:val="none" w:sz="0" w:space="0" w:color="auto"/>
                                                            <w:bottom w:val="none" w:sz="0" w:space="0" w:color="auto"/>
                                                            <w:right w:val="none" w:sz="0" w:space="0" w:color="auto"/>
                                                          </w:divBdr>
                                                          <w:divsChild>
                                                            <w:div w:id="595940727">
                                                              <w:marLeft w:val="0"/>
                                                              <w:marRight w:val="0"/>
                                                              <w:marTop w:val="0"/>
                                                              <w:marBottom w:val="0"/>
                                                              <w:divBdr>
                                                                <w:top w:val="none" w:sz="0" w:space="0" w:color="auto"/>
                                                                <w:left w:val="none" w:sz="0" w:space="0" w:color="auto"/>
                                                                <w:bottom w:val="none" w:sz="0" w:space="0" w:color="auto"/>
                                                                <w:right w:val="none" w:sz="0" w:space="0" w:color="auto"/>
                                                              </w:divBdr>
                                                              <w:divsChild>
                                                                <w:div w:id="1443761531">
                                                                  <w:marLeft w:val="0"/>
                                                                  <w:marRight w:val="0"/>
                                                                  <w:marTop w:val="0"/>
                                                                  <w:marBottom w:val="0"/>
                                                                  <w:divBdr>
                                                                    <w:top w:val="none" w:sz="0" w:space="0" w:color="auto"/>
                                                                    <w:left w:val="none" w:sz="0" w:space="0" w:color="auto"/>
                                                                    <w:bottom w:val="none" w:sz="0" w:space="0" w:color="auto"/>
                                                                    <w:right w:val="none" w:sz="0" w:space="0" w:color="auto"/>
                                                                  </w:divBdr>
                                                                  <w:divsChild>
                                                                    <w:div w:id="1309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55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1814</Words>
  <Characters>1034</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2021-11-24T11:26:00Z</dcterms:created>
  <dc:creator>Sigita</dc:creator>
  <cp:lastModifiedBy>Aušra Pipirienė</cp:lastModifiedBy>
  <dcterms:modified xsi:type="dcterms:W3CDTF">2021-11-24T11:26:00Z</dcterms:modified>
  <cp:revision>2</cp:revision>
</cp:coreProperties>
</file>