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94" w:rsidRDefault="00A13994">
      <w:pPr>
        <w:pStyle w:val="Header"/>
        <w:contextualSpacing/>
        <w:rPr>
          <w:rFonts w:ascii="Times New Roman" w:hAnsi="Times New Roman"/>
        </w:rPr>
      </w:pPr>
      <w:bookmarkStart w:id="0" w:name="_GoBack"/>
      <w:bookmarkEnd w:id="0"/>
    </w:p>
    <w:p w:rsidR="00416FA5" w:rsidRDefault="004D4DFB" w:rsidP="00416FA5">
      <w:pPr>
        <w:pStyle w:val="BodyText"/>
        <w:spacing w:after="0"/>
        <w:contextualSpacing/>
        <w:jc w:val="center"/>
        <w:rPr>
          <w:rFonts w:ascii="Times New Roman" w:hAnsi="Times New Roman" w:cs="Times New Roman"/>
          <w:b/>
          <w:bCs/>
          <w:lang w:eastAsia="lt-LT"/>
        </w:rPr>
      </w:pPr>
      <w:r>
        <w:rPr>
          <w:rFonts w:ascii="Times New Roman" w:hAnsi="Times New Roman" w:cs="Times New Roman"/>
          <w:b/>
        </w:rPr>
        <w:t xml:space="preserve">REGLAMENTO (ES) 2019/1148 </w:t>
      </w:r>
      <w:r w:rsidR="00416FA5">
        <w:rPr>
          <w:rFonts w:ascii="Times New Roman" w:hAnsi="Times New Roman" w:cs="Times New Roman"/>
          <w:b/>
        </w:rPr>
        <w:t xml:space="preserve">IR </w:t>
      </w:r>
      <w:r w:rsidR="00416FA5">
        <w:rPr>
          <w:rFonts w:ascii="Times New Roman" w:hAnsi="Times New Roman" w:cs="Times New Roman"/>
          <w:b/>
          <w:bCs/>
          <w:lang w:eastAsia="lt-LT"/>
        </w:rPr>
        <w:t xml:space="preserve">LIETUVOS RESPUBLIKOS ADMINISTRACINIŲ NUSIŽENGIMŲ KODEKSO </w:t>
      </w:r>
      <w:r w:rsidR="00416FA5">
        <w:rPr>
          <w:rFonts w:ascii="Times New Roman" w:hAnsi="Times New Roman"/>
          <w:b/>
          <w:bCs/>
          <w:lang w:eastAsia="lt-LT"/>
        </w:rPr>
        <w:t>70, 77, 132, 170, 209</w:t>
      </w:r>
      <w:r w:rsidR="00416FA5">
        <w:rPr>
          <w:rFonts w:ascii="Times New Roman" w:hAnsi="Times New Roman"/>
          <w:b/>
          <w:bCs/>
          <w:vertAlign w:val="superscript"/>
          <w:lang w:eastAsia="lt-LT"/>
        </w:rPr>
        <w:t>1</w:t>
      </w:r>
      <w:r w:rsidR="00416FA5">
        <w:rPr>
          <w:rFonts w:ascii="Times New Roman" w:hAnsi="Times New Roman"/>
          <w:b/>
          <w:bCs/>
          <w:lang w:eastAsia="lt-LT"/>
        </w:rPr>
        <w:t>, 212, 234</w:t>
      </w:r>
      <w:r w:rsidR="00416FA5">
        <w:rPr>
          <w:rFonts w:ascii="Times New Roman" w:hAnsi="Times New Roman"/>
          <w:b/>
          <w:bCs/>
          <w:vertAlign w:val="superscript"/>
          <w:lang w:eastAsia="lt-LT"/>
        </w:rPr>
        <w:t>1</w:t>
      </w:r>
      <w:r w:rsidR="00416FA5">
        <w:rPr>
          <w:rFonts w:ascii="Times New Roman" w:hAnsi="Times New Roman"/>
          <w:b/>
          <w:bCs/>
          <w:lang w:eastAsia="lt-LT"/>
        </w:rPr>
        <w:t>, 234</w:t>
      </w:r>
      <w:r w:rsidR="00416FA5">
        <w:rPr>
          <w:rFonts w:ascii="Times New Roman" w:hAnsi="Times New Roman"/>
          <w:b/>
          <w:bCs/>
          <w:vertAlign w:val="superscript"/>
          <w:lang w:eastAsia="lt-LT"/>
        </w:rPr>
        <w:t xml:space="preserve">2 </w:t>
      </w:r>
      <w:r w:rsidR="00416FA5">
        <w:rPr>
          <w:rFonts w:ascii="Times New Roman" w:hAnsi="Times New Roman" w:cs="Times New Roman"/>
          <w:b/>
          <w:bCs/>
          <w:lang w:eastAsia="lt-LT"/>
        </w:rPr>
        <w:t>STRAIPSNIŲ IR PRIEDO PAKEITIMO ĮSTATYMO PROJEKTO</w:t>
      </w:r>
    </w:p>
    <w:p w:rsidR="00A13994" w:rsidRDefault="00416FA5" w:rsidP="00416FA5">
      <w:pPr>
        <w:pStyle w:val="BodyText"/>
        <w:spacing w:after="0"/>
        <w:contextualSpacing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</w:t>
      </w:r>
      <w:r w:rsidR="004D4DFB">
        <w:rPr>
          <w:rFonts w:ascii="Times New Roman" w:hAnsi="Times New Roman" w:cs="Times New Roman"/>
          <w:b/>
        </w:rPr>
        <w:t>ATITIKTIES LENTELĖ</w:t>
      </w:r>
    </w:p>
    <w:p w:rsidR="00A13994" w:rsidRDefault="00A13994">
      <w:pPr>
        <w:pStyle w:val="BodyText"/>
        <w:spacing w:after="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4723" w:type="dxa"/>
        <w:tblInd w:w="1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80"/>
        <w:gridCol w:w="6966"/>
        <w:gridCol w:w="1577"/>
      </w:tblGrid>
      <w:tr w:rsidR="00A13994">
        <w:tc>
          <w:tcPr>
            <w:tcW w:w="6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13994" w:rsidRDefault="004D4DFB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2019 m. birželio 20 d. Europos Parlamento ir Tarybos reglamentas (ES) 2019/1148 dėl prekybos sprogstamųjų medžiagų pirmtakais ir jų naudojimo, kuriuo iš dalies keičiamas Reglamentas (EB) Nr. 1907/2006 ir panaikinamas Reglamentas (ES) Nr. 98/2013</w:t>
            </w:r>
          </w:p>
          <w:p w:rsidR="00A13994" w:rsidRDefault="004D4DFB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(Tekstas svarbus EEE)</w:t>
            </w:r>
          </w:p>
        </w:tc>
        <w:tc>
          <w:tcPr>
            <w:tcW w:w="6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13994" w:rsidRDefault="004D4DFB" w:rsidP="00264925">
            <w:pPr>
              <w:pStyle w:val="NoSpacing"/>
              <w:tabs>
                <w:tab w:val="left" w:pos="1134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lt-LT"/>
              </w:rPr>
              <w:t xml:space="preserve">Lietuvos Respublikos administracinių nusižengimų kodekso </w:t>
            </w:r>
            <w:r w:rsidR="00264925">
              <w:rPr>
                <w:rFonts w:ascii="Times New Roman" w:hAnsi="Times New Roman"/>
                <w:b/>
                <w:bCs/>
                <w:caps/>
                <w:lang w:eastAsia="lt-LT"/>
              </w:rPr>
              <w:t>70, 77, 132, 170, 209</w:t>
            </w:r>
            <w:r w:rsidR="00264925">
              <w:rPr>
                <w:rFonts w:ascii="Times New Roman" w:hAnsi="Times New Roman"/>
                <w:b/>
                <w:bCs/>
                <w:caps/>
                <w:vertAlign w:val="superscript"/>
                <w:lang w:eastAsia="lt-LT"/>
              </w:rPr>
              <w:t>1</w:t>
            </w:r>
            <w:r w:rsidR="00264925">
              <w:rPr>
                <w:rFonts w:ascii="Times New Roman" w:hAnsi="Times New Roman"/>
                <w:b/>
                <w:bCs/>
                <w:caps/>
                <w:lang w:eastAsia="lt-LT"/>
              </w:rPr>
              <w:t>, 212, 234</w:t>
            </w:r>
            <w:r w:rsidR="00264925">
              <w:rPr>
                <w:rFonts w:ascii="Times New Roman" w:hAnsi="Times New Roman"/>
                <w:b/>
                <w:bCs/>
                <w:caps/>
                <w:vertAlign w:val="superscript"/>
                <w:lang w:eastAsia="lt-LT"/>
              </w:rPr>
              <w:t>1</w:t>
            </w:r>
            <w:r w:rsidR="00264925">
              <w:rPr>
                <w:rFonts w:ascii="Times New Roman" w:hAnsi="Times New Roman"/>
                <w:b/>
                <w:bCs/>
                <w:caps/>
                <w:lang w:eastAsia="lt-LT"/>
              </w:rPr>
              <w:t>, 234</w:t>
            </w:r>
            <w:r w:rsidR="00264925">
              <w:rPr>
                <w:rFonts w:ascii="Times New Roman" w:hAnsi="Times New Roman"/>
                <w:b/>
                <w:bCs/>
                <w:caps/>
                <w:vertAlign w:val="superscript"/>
                <w:lang w:eastAsia="lt-LT"/>
              </w:rPr>
              <w:t xml:space="preserve">2 </w:t>
            </w:r>
            <w:r w:rsidR="00264925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lt-LT"/>
              </w:rPr>
              <w:t>straipsnių ir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lt-LT"/>
              </w:rPr>
              <w:t xml:space="preserve"> priedo pakeitimo įstatymo projektas</w:t>
            </w:r>
          </w:p>
        </w:tc>
        <w:tc>
          <w:tcPr>
            <w:tcW w:w="1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13994" w:rsidRDefault="004D4DFB" w:rsidP="008A074A">
            <w:pPr>
              <w:pStyle w:val="Nurodytoformatoteksta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Reglamento įgyvendinimo lygis (visiškas, dalinis)</w:t>
            </w:r>
          </w:p>
        </w:tc>
      </w:tr>
      <w:tr w:rsidR="00A13994">
        <w:tc>
          <w:tcPr>
            <w:tcW w:w="61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13994" w:rsidRDefault="004D4D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straipsnis.</w:t>
            </w:r>
          </w:p>
          <w:p w:rsidR="00A13994" w:rsidRDefault="004D4D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Sankcijos</w:t>
            </w:r>
          </w:p>
          <w:p w:rsidR="00A13994" w:rsidRDefault="004D4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Valstybės narės nustato sankcijų, taikomų pažeidus šį reglamentą, taisykles ir imasi visų būtinų priemonių užtikrinti, kad tos sankcijos būtų įgyvendinamos. Numatytos sankcijos turi būti veiksmingos, proporcingos ir atgrasomos.</w:t>
            </w:r>
          </w:p>
        </w:tc>
        <w:tc>
          <w:tcPr>
            <w:tcW w:w="6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A13994" w:rsidRDefault="00264925" w:rsidP="00264925">
            <w:pPr>
              <w:widowControl w:val="0"/>
              <w:spacing w:line="276" w:lineRule="auto"/>
              <w:ind w:firstLine="4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7</w:t>
            </w:r>
            <w:r w:rsidR="004D4DFB">
              <w:rPr>
                <w:rFonts w:ascii="Times New Roman" w:hAnsi="Times New Roman"/>
                <w:b/>
                <w:bCs/>
                <w:lang w:eastAsia="lt-LT"/>
              </w:rPr>
              <w:t xml:space="preserve"> straipsnis. 234</w:t>
            </w:r>
            <w:r w:rsidR="004D4DFB" w:rsidRPr="008A074A">
              <w:rPr>
                <w:rFonts w:ascii="Times New Roman" w:hAnsi="Times New Roman"/>
                <w:b/>
                <w:bCs/>
                <w:vertAlign w:val="superscript"/>
                <w:lang w:eastAsia="lt-LT"/>
              </w:rPr>
              <w:t>1</w:t>
            </w:r>
            <w:r w:rsidR="004D4DFB">
              <w:rPr>
                <w:rFonts w:ascii="Times New Roman" w:hAnsi="Times New Roman"/>
                <w:b/>
                <w:bCs/>
                <w:lang w:eastAsia="lt-LT"/>
              </w:rPr>
              <w:t xml:space="preserve"> straipsnio pakeitimas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Pakeisti 234</w:t>
            </w:r>
            <w:r>
              <w:rPr>
                <w:rFonts w:ascii="Times New Roman" w:hAnsi="Times New Roman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</w:rPr>
              <w:t>straipsnį ir jį išdėstyti taip:</w:t>
            </w:r>
          </w:p>
          <w:p w:rsidR="00A13994" w:rsidRDefault="004D4DFB" w:rsidP="00264925">
            <w:pPr>
              <w:pStyle w:val="Standard"/>
              <w:ind w:left="57" w:firstLine="43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  <w:b/>
                <w:bCs/>
              </w:rPr>
              <w:t>234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straipsnis. Reglamentuojamų sprogstamųjų medžiagų pirmtakų apyvartos reikalavimų pažeidimas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Patikrinimo, ar klientas turi teisę įsigyti riboto naudojimo sprogstamųjų medžiagų pirmtak</w:t>
            </w:r>
            <w:r w:rsidR="00735C5F">
              <w:rPr>
                <w:rFonts w:ascii="Times New Roman" w:hAnsi="Times New Roman"/>
              </w:rPr>
              <w:t>ų</w:t>
            </w:r>
            <w:r>
              <w:rPr>
                <w:rFonts w:ascii="Times New Roman" w:hAnsi="Times New Roman"/>
              </w:rPr>
              <w:t>, neatlikimas arba patikrinimo metu iš kliento gautos informacijos, įrodančios, kad klientas turi teisę įsigyti riboto naudojimo sprogstamųjų medžiagų pirmtak</w:t>
            </w:r>
            <w:r w:rsidR="00735C5F">
              <w:rPr>
                <w:rFonts w:ascii="Times New Roman" w:hAnsi="Times New Roman"/>
              </w:rPr>
              <w:t>ų</w:t>
            </w:r>
            <w:r>
              <w:rPr>
                <w:rFonts w:ascii="Times New Roman" w:hAnsi="Times New Roman"/>
              </w:rPr>
              <w:t>, neišsaugojimas Reglamente (ES) 2019/1148 nustatytą terminą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užtraukia baudą asmenims nuo vieno šimto iki trijų šimtų eurų ir juridinių asmenų vadovams ar kitiems atsakingiems asmenims – nuo trijų šimtų iki vieno tūkstančio eurų.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Šio straipsnio 1 dalyje numatytas administracinis nusižengimas, padarytas pakartotinai,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užtraukia baudą asmenims nuo dviejų šimtų iki keturių šimtų eurų ir juridinių asmenų vadovams ar kitiems atsakingiems asmenims – nuo penkių šimtų iki vieno tūkstančio penkių šimtų eurų.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Nepranešimas apie įtartiną sandorį dėl reglamentuojamų sprogstamųjų medžiagų pirmtakų ar nepranešimas apie reglamentuojamų sprogstamųjų medžiagų pirmtakų dingimą ar vagystę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užtraukia baudą asmenims nuo dviejų šimtų iki keturių šimtų eurų ir juridinių asmenų vadovams ar kitiems atsakingiems asmenims – nuo keturių šimtų iki vieno tūkstančio penkių šimtų eurų.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Reglamento (ES) 2019/1148 pažeidimai, išskyrus šiame kodekse nurodytuosius,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užtraukia baudą nuo vieno šimto iki dviejų šimtų eurų.</w:t>
            </w:r>
          </w:p>
          <w:p w:rsidR="00A13994" w:rsidRDefault="004D4DFB" w:rsidP="00264925">
            <w:pPr>
              <w:pStyle w:val="Standard"/>
              <w:ind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Už šio straipsnio 1, 2 dalyse numatytus administracinius nusižengimus gali būti skiriamas reglamentuojamų sprogstamųjų medžiagų pirmtakų konfiskavimas.“</w:t>
            </w:r>
          </w:p>
          <w:p w:rsidR="00A13994" w:rsidRDefault="00A13994">
            <w:pPr>
              <w:pStyle w:val="Standard"/>
              <w:ind w:firstLine="850"/>
              <w:jc w:val="both"/>
              <w:rPr>
                <w:rFonts w:ascii="Times New Roman" w:hAnsi="Times New Roman"/>
              </w:rPr>
            </w:pPr>
          </w:p>
          <w:p w:rsidR="00A13994" w:rsidRDefault="00264925" w:rsidP="0026492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8</w:t>
            </w:r>
            <w:r w:rsidR="004D4DFB">
              <w:rPr>
                <w:rFonts w:ascii="Times New Roman" w:hAnsi="Times New Roman"/>
                <w:b/>
                <w:bCs/>
                <w:lang w:eastAsia="lt-LT"/>
              </w:rPr>
              <w:t xml:space="preserve"> straipsnis. 234</w:t>
            </w:r>
            <w:r w:rsidR="004D4DFB" w:rsidRPr="008A074A">
              <w:rPr>
                <w:rFonts w:ascii="Times New Roman" w:hAnsi="Times New Roman"/>
                <w:b/>
                <w:bCs/>
                <w:vertAlign w:val="superscript"/>
                <w:lang w:eastAsia="lt-LT"/>
              </w:rPr>
              <w:t>2</w:t>
            </w:r>
            <w:r w:rsidR="004D4DFB">
              <w:rPr>
                <w:rFonts w:ascii="Times New Roman" w:hAnsi="Times New Roman"/>
                <w:b/>
                <w:bCs/>
                <w:lang w:eastAsia="lt-LT"/>
              </w:rPr>
              <w:t xml:space="preserve"> straipsnio pakeitimas</w:t>
            </w:r>
          </w:p>
          <w:p w:rsidR="00A13994" w:rsidRDefault="004D4DFB" w:rsidP="00264925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Pakeisti 234</w:t>
            </w:r>
            <w:r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>straipsnį ir jį išdėstyti taip:</w:t>
            </w:r>
          </w:p>
          <w:p w:rsidR="00A13994" w:rsidRDefault="004D4DFB" w:rsidP="00264925">
            <w:pPr>
              <w:pStyle w:val="Textbody"/>
              <w:spacing w:after="0" w:line="240" w:lineRule="auto"/>
              <w:ind w:left="57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  <w:b/>
                <w:bCs/>
              </w:rPr>
              <w:t>234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 straipsnis. Neteisėtas disponavimas riboto naudojimo sprogstamųjų medžiagų pirmtakais</w:t>
            </w:r>
          </w:p>
          <w:p w:rsidR="00A13994" w:rsidRDefault="004D4DFB" w:rsidP="0026492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Neteisėtas riboto naudojimo sprogstamųjų medžiagų pirmtakų ar mišinių, kuriuose kalio chlorato, kalio perchlorato, natrio chlorato, natrio perchlorato bendra koncent</w:t>
            </w:r>
            <w:r w:rsidR="00D40902">
              <w:rPr>
                <w:rFonts w:ascii="Times New Roman" w:hAnsi="Times New Roman"/>
              </w:rPr>
              <w:t>racija mišinyje viršija 40 procentų</w:t>
            </w:r>
            <w:r>
              <w:rPr>
                <w:rFonts w:ascii="Times New Roman" w:hAnsi="Times New Roman"/>
              </w:rPr>
              <w:t xml:space="preserve"> ribinę vertę, tiekimas, įvežimas, laikymas ir naudojimas</w:t>
            </w:r>
          </w:p>
          <w:p w:rsidR="00A13994" w:rsidRDefault="004D4DFB" w:rsidP="00264925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užtraukia baudą asmenims nuo dviejų šimtų iki penkių šimtų eurų ir juridinių asmenų vadovams ar kitiems atsakingiems asmenims – nuo penkių šimtų iki vieno tūkstančio penkių šimtų eurų.</w:t>
            </w:r>
          </w:p>
          <w:p w:rsidR="00A13994" w:rsidRDefault="004D4DFB" w:rsidP="00264925">
            <w:pPr>
              <w:pStyle w:val="Textbody"/>
              <w:spacing w:after="0" w:line="24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2. Už šio straipsnio 1 dalyje numatytą administracinį nusižengimą privaloma skirti riboto naudojimo sprogstamųjų medžiagų pirmtakų ar mišinių, kuriuose kalio chlorato, kalio perchlorato, natrio chlorato, natrio perchlorato bendra koncent</w:t>
            </w:r>
            <w:r w:rsidR="00D40902">
              <w:rPr>
                <w:rFonts w:ascii="Times New Roman" w:hAnsi="Times New Roman" w:cs="Times New Roman"/>
                <w:color w:val="000000"/>
                <w:lang w:eastAsia="lt-LT"/>
              </w:rPr>
              <w:t>racija mišinyje viršija 40 procentų</w:t>
            </w:r>
            <w:r>
              <w:rPr>
                <w:rFonts w:ascii="Times New Roman" w:hAnsi="Times New Roman" w:cs="Times New Roman"/>
                <w:color w:val="000000"/>
                <w:lang w:eastAsia="lt-LT"/>
              </w:rPr>
              <w:t xml:space="preserve"> ribinę vertę, konfiskavimą.“</w:t>
            </w:r>
          </w:p>
        </w:tc>
        <w:tc>
          <w:tcPr>
            <w:tcW w:w="15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13994" w:rsidRPr="008A074A" w:rsidRDefault="004D4DFB">
            <w:pPr>
              <w:pStyle w:val="Nurodytoformatotekstas"/>
              <w:rPr>
                <w:rFonts w:ascii="Times New Roman" w:hAnsi="Times New Roman"/>
                <w:b/>
              </w:rPr>
            </w:pPr>
            <w:r w:rsidRPr="008A074A">
              <w:rPr>
                <w:rFonts w:ascii="Times New Roman" w:hAnsi="Times New Roman"/>
                <w:b/>
              </w:rPr>
              <w:lastRenderedPageBreak/>
              <w:t>Visiškas</w:t>
            </w:r>
          </w:p>
        </w:tc>
      </w:tr>
    </w:tbl>
    <w:p w:rsidR="00A13994" w:rsidRDefault="00A13994">
      <w:pPr>
        <w:jc w:val="center"/>
        <w:rPr>
          <w:rFonts w:hint="eastAsia"/>
        </w:rPr>
      </w:pPr>
    </w:p>
    <w:p w:rsidR="00A13994" w:rsidRDefault="00A13994">
      <w:pPr>
        <w:rPr>
          <w:rFonts w:hint="eastAsia"/>
        </w:rPr>
      </w:pPr>
    </w:p>
    <w:sectPr w:rsidR="00A13994" w:rsidSect="008A074A">
      <w:headerReference w:type="default" r:id="rId6"/>
      <w:headerReference w:type="first" r:id="rId7"/>
      <w:pgSz w:w="16838" w:h="11906" w:orient="landscape"/>
      <w:pgMar w:top="1701" w:right="567" w:bottom="1134" w:left="1134" w:header="1134" w:footer="0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11" w:rsidRDefault="00CA0211">
      <w:pPr>
        <w:rPr>
          <w:rFonts w:hint="eastAsia"/>
        </w:rPr>
      </w:pPr>
      <w:r>
        <w:separator/>
      </w:r>
    </w:p>
  </w:endnote>
  <w:endnote w:type="continuationSeparator" w:id="0">
    <w:p w:rsidR="00CA0211" w:rsidRDefault="00CA02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11" w:rsidRDefault="00CA0211">
      <w:pPr>
        <w:rPr>
          <w:rFonts w:hint="eastAsia"/>
        </w:rPr>
      </w:pPr>
      <w:r>
        <w:separator/>
      </w:r>
    </w:p>
  </w:footnote>
  <w:footnote w:type="continuationSeparator" w:id="0">
    <w:p w:rsidR="00CA0211" w:rsidRDefault="00CA02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94" w:rsidRDefault="00F15F14">
    <w:pPr>
      <w:pStyle w:val="Header"/>
      <w:jc w:val="center"/>
      <w:rPr>
        <w:rFonts w:hint="eastAsia"/>
      </w:rPr>
    </w:pPr>
    <w:r>
      <w:fldChar w:fldCharType="begin"/>
    </w:r>
    <w:r w:rsidR="004D4DFB">
      <w:instrText>PAGE</w:instrText>
    </w:r>
    <w:r>
      <w:fldChar w:fldCharType="separate"/>
    </w:r>
    <w:r w:rsidR="00D40902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94" w:rsidRDefault="00A13994">
    <w:pPr>
      <w:pStyle w:val="Header"/>
      <w:jc w:val="cen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994"/>
    <w:rsid w:val="001C36A9"/>
    <w:rsid w:val="00264925"/>
    <w:rsid w:val="002A2971"/>
    <w:rsid w:val="00391930"/>
    <w:rsid w:val="00416FA5"/>
    <w:rsid w:val="004D4DFB"/>
    <w:rsid w:val="00513812"/>
    <w:rsid w:val="00574821"/>
    <w:rsid w:val="005D53C7"/>
    <w:rsid w:val="00735C5F"/>
    <w:rsid w:val="008A074A"/>
    <w:rsid w:val="008D20B9"/>
    <w:rsid w:val="00A13994"/>
    <w:rsid w:val="00CA0211"/>
    <w:rsid w:val="00CD08BB"/>
    <w:rsid w:val="00D40902"/>
    <w:rsid w:val="00E06C80"/>
    <w:rsid w:val="00F1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B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besliotekstasDiagrama">
    <w:name w:val="Debesėlio tekstas Diagrama"/>
    <w:basedOn w:val="DefaultParagraphFont"/>
    <w:qFormat/>
    <w:rsid w:val="00CD08BB"/>
    <w:rPr>
      <w:rFonts w:ascii="Segoe UI" w:hAnsi="Segoe UI" w:cs="Mangal"/>
      <w:sz w:val="18"/>
      <w:szCs w:val="16"/>
    </w:rPr>
  </w:style>
  <w:style w:type="character" w:customStyle="1" w:styleId="tablecellcolumn">
    <w:name w:val="tablecellcolumn"/>
    <w:basedOn w:val="DefaultParagraphFont"/>
    <w:qFormat/>
    <w:rsid w:val="00CD08BB"/>
  </w:style>
  <w:style w:type="paragraph" w:customStyle="1" w:styleId="Heading">
    <w:name w:val="Heading"/>
    <w:basedOn w:val="Normal"/>
    <w:next w:val="BodyText"/>
    <w:qFormat/>
    <w:rsid w:val="00CD08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CD08BB"/>
    <w:pPr>
      <w:spacing w:after="140" w:line="276" w:lineRule="auto"/>
    </w:pPr>
  </w:style>
  <w:style w:type="paragraph" w:styleId="List">
    <w:name w:val="List"/>
    <w:basedOn w:val="BodyText"/>
    <w:qFormat/>
    <w:rsid w:val="00CD08BB"/>
  </w:style>
  <w:style w:type="paragraph" w:styleId="Caption">
    <w:name w:val="caption"/>
    <w:basedOn w:val="Normal"/>
    <w:qFormat/>
    <w:rsid w:val="00CD08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D08BB"/>
    <w:pPr>
      <w:suppressLineNumbers/>
    </w:pPr>
  </w:style>
  <w:style w:type="paragraph" w:customStyle="1" w:styleId="Lentelsturinys">
    <w:name w:val="Lentelės turinys"/>
    <w:basedOn w:val="Normal"/>
    <w:qFormat/>
    <w:rsid w:val="00CD08BB"/>
    <w:pPr>
      <w:suppressLineNumbers/>
    </w:pPr>
  </w:style>
  <w:style w:type="paragraph" w:customStyle="1" w:styleId="Nurodytoformatotekstas">
    <w:name w:val="Nurodyto formato tekstas"/>
    <w:basedOn w:val="Normal"/>
    <w:qFormat/>
    <w:rsid w:val="00CD08BB"/>
  </w:style>
  <w:style w:type="paragraph" w:customStyle="1" w:styleId="TableContents">
    <w:name w:val="Table Contents"/>
    <w:basedOn w:val="Normal"/>
    <w:qFormat/>
    <w:rsid w:val="00CD08BB"/>
    <w:pPr>
      <w:suppressLineNumbers/>
    </w:pPr>
  </w:style>
  <w:style w:type="paragraph" w:customStyle="1" w:styleId="Default">
    <w:name w:val="Default"/>
    <w:qFormat/>
    <w:rsid w:val="00CD08BB"/>
    <w:pPr>
      <w:suppressAutoHyphens/>
    </w:pPr>
    <w:rPr>
      <w:rFonts w:ascii="EUAlbertina" w:eastAsia="EUAlbertina" w:hAnsi="EUAlbertina" w:cs="EUAlbertina"/>
      <w:color w:val="000000"/>
    </w:rPr>
  </w:style>
  <w:style w:type="paragraph" w:styleId="Header">
    <w:name w:val="header"/>
    <w:basedOn w:val="Normal"/>
    <w:rsid w:val="00CD08BB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qFormat/>
    <w:rsid w:val="00CD08BB"/>
    <w:rPr>
      <w:rFonts w:ascii="Segoe UI" w:hAnsi="Segoe UI" w:cs="Mangal"/>
      <w:sz w:val="18"/>
      <w:szCs w:val="16"/>
    </w:rPr>
  </w:style>
  <w:style w:type="paragraph" w:customStyle="1" w:styleId="HeaderandFooter">
    <w:name w:val="Header and Footer"/>
    <w:basedOn w:val="Normal"/>
    <w:qFormat/>
    <w:rsid w:val="00CD08BB"/>
    <w:pPr>
      <w:suppressLineNumbers/>
      <w:tabs>
        <w:tab w:val="center" w:pos="4819"/>
        <w:tab w:val="right" w:pos="9638"/>
      </w:tabs>
    </w:pPr>
  </w:style>
  <w:style w:type="paragraph" w:styleId="NoSpacing">
    <w:name w:val="No Spacing"/>
    <w:qFormat/>
    <w:rsid w:val="00CD08BB"/>
    <w:pPr>
      <w:suppressAutoHyphens/>
    </w:pPr>
    <w:rPr>
      <w:color w:val="00000A"/>
      <w:szCs w:val="22"/>
    </w:rPr>
  </w:style>
  <w:style w:type="paragraph" w:customStyle="1" w:styleId="Standard">
    <w:name w:val="Standard"/>
    <w:qFormat/>
    <w:rsid w:val="00CD08BB"/>
    <w:pPr>
      <w:suppressAutoHyphens/>
    </w:pPr>
  </w:style>
  <w:style w:type="paragraph" w:customStyle="1" w:styleId="Textbody">
    <w:name w:val="Text body"/>
    <w:basedOn w:val="Standard"/>
    <w:qFormat/>
    <w:rsid w:val="00CD08BB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08BB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qFormat/>
    <w:rsid w:val="00CD08BB"/>
    <w:rPr>
      <w:rFonts w:ascii="Segoe UI" w:hAnsi="Segoe UI" w:cs="Mangal"/>
      <w:sz w:val="18"/>
      <w:szCs w:val="16"/>
    </w:rPr>
  </w:style>
  <w:style w:type="character" w:customStyle="1" w:styleId="tablecellcolumn">
    <w:name w:val="tablecellcolumn"/>
    <w:basedOn w:val="Numatytasispastraiposriftas"/>
    <w:qFormat/>
    <w:rsid w:val="00CD08BB"/>
  </w:style>
  <w:style w:type="paragraph" w:customStyle="1" w:styleId="Heading">
    <w:name w:val="Heading"/>
    <w:basedOn w:val="prastasis"/>
    <w:next w:val="Pagrindinistekstas"/>
    <w:qFormat/>
    <w:rsid w:val="00CD08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rsid w:val="00CD08BB"/>
    <w:pPr>
      <w:spacing w:after="140" w:line="276" w:lineRule="auto"/>
    </w:pPr>
  </w:style>
  <w:style w:type="paragraph" w:styleId="Sraas">
    <w:name w:val="List"/>
    <w:basedOn w:val="Pagrindinistekstas"/>
    <w:qFormat/>
    <w:rsid w:val="00CD08BB"/>
  </w:style>
  <w:style w:type="paragraph" w:styleId="Antrat">
    <w:name w:val="caption"/>
    <w:basedOn w:val="prastasis"/>
    <w:qFormat/>
    <w:rsid w:val="00CD08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rsid w:val="00CD08BB"/>
    <w:pPr>
      <w:suppressLineNumbers/>
    </w:pPr>
  </w:style>
  <w:style w:type="paragraph" w:customStyle="1" w:styleId="Lentelsturinys">
    <w:name w:val="Lentelės turinys"/>
    <w:basedOn w:val="prastasis"/>
    <w:qFormat/>
    <w:rsid w:val="00CD08BB"/>
    <w:pPr>
      <w:suppressLineNumbers/>
    </w:pPr>
  </w:style>
  <w:style w:type="paragraph" w:customStyle="1" w:styleId="Nurodytoformatotekstas">
    <w:name w:val="Nurodyto formato tekstas"/>
    <w:basedOn w:val="prastasis"/>
    <w:qFormat/>
    <w:rsid w:val="00CD08BB"/>
  </w:style>
  <w:style w:type="paragraph" w:customStyle="1" w:styleId="TableContents">
    <w:name w:val="Table Contents"/>
    <w:basedOn w:val="prastasis"/>
    <w:qFormat/>
    <w:rsid w:val="00CD08BB"/>
    <w:pPr>
      <w:suppressLineNumbers/>
    </w:pPr>
  </w:style>
  <w:style w:type="paragraph" w:customStyle="1" w:styleId="Default">
    <w:name w:val="Default"/>
    <w:qFormat/>
    <w:rsid w:val="00CD08BB"/>
    <w:pPr>
      <w:suppressAutoHyphens/>
    </w:pPr>
    <w:rPr>
      <w:rFonts w:ascii="EUAlbertina" w:eastAsia="EUAlbertina" w:hAnsi="EUAlbertina" w:cs="EUAlbertina"/>
      <w:color w:val="000000"/>
    </w:rPr>
  </w:style>
  <w:style w:type="paragraph" w:styleId="Antrats">
    <w:name w:val="header"/>
    <w:basedOn w:val="prastasis"/>
    <w:rsid w:val="00CD08BB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sid w:val="00CD08BB"/>
    <w:rPr>
      <w:rFonts w:ascii="Segoe UI" w:hAnsi="Segoe UI" w:cs="Mangal"/>
      <w:sz w:val="18"/>
      <w:szCs w:val="16"/>
    </w:rPr>
  </w:style>
  <w:style w:type="paragraph" w:customStyle="1" w:styleId="HeaderandFooter">
    <w:name w:val="Header and Footer"/>
    <w:basedOn w:val="prastasis"/>
    <w:qFormat/>
    <w:rsid w:val="00CD08BB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qFormat/>
    <w:rsid w:val="00CD08BB"/>
    <w:pPr>
      <w:suppressAutoHyphens/>
    </w:pPr>
    <w:rPr>
      <w:color w:val="00000A"/>
      <w:szCs w:val="22"/>
    </w:rPr>
  </w:style>
  <w:style w:type="paragraph" w:customStyle="1" w:styleId="Standard">
    <w:name w:val="Standard"/>
    <w:qFormat/>
    <w:rsid w:val="00CD08BB"/>
    <w:pPr>
      <w:suppressAutoHyphens/>
    </w:pPr>
  </w:style>
  <w:style w:type="paragraph" w:customStyle="1" w:styleId="Textbody">
    <w:name w:val="Text body"/>
    <w:basedOn w:val="Standard"/>
    <w:qFormat/>
    <w:rsid w:val="00CD08BB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stylesWithEffects.xml"
                 Type="http://schemas.microsoft.com/office/2007/relationships/stylesWithEffect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KOMISIJOS  ĮGYVENDINIMO  DIREKTYVA  (ES)  2019/  68  -  2019 m.  sausio 16 d.  -  kuria  pagal  Tarybos  direktyvą  91/  477/  EEB  dėl  ginklų  įsigijimo  ir  laikymo  kontrolės  nustatomos  techninės  šaunamųjų  ginklų  ir  jų  pagrindinių  dalių  žymėj</vt:lpstr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2021-03-16T10:12:00Z</dcterms:created>
  <dc:creator>Publications Office</dc:creator>
  <dc:language>lt-LT</dc:language>
  <cp:lastModifiedBy>Jurgita Laskevičiūtė</cp:lastModifiedBy>
  <dcterms:modified xsi:type="dcterms:W3CDTF">2021-03-17T09:14:00Z</dcterms:modified>
  <cp:revision>3</cp:revision>
  <dc:title>KOMISIJOS  ĮGYVENDINIMO  DIREKTYVA  (ES)  2019/  68  -  2019 m.  sausio 16 d.  -  kuria  pagal  Tarybos  direktyvą  91/  477/  EEB  dėl  ginklų  įsigijimo  ir  laikymo  kontrolės  nustatomos  techninės  šaunamųjų  ginklų  ir  jų  pagrindinių  dalių  žymėjimo  specifikacijos</dc:title>
</cp:coreProperties>
</file>