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9784" w14:textId="79C45523" w:rsidR="00774769" w:rsidRPr="00C52E01" w:rsidRDefault="00C52E01" w:rsidP="00C52E01">
      <w:pPr>
        <w:jc w:val="center"/>
        <w:rPr>
          <w:b/>
          <w:bCs/>
          <w:color w:val="000000"/>
          <w:lang w:eastAsia="lt-LT"/>
        </w:rPr>
      </w:pPr>
      <w:r w:rsidRPr="00C52E01">
        <w:rPr>
          <w:b/>
          <w:bCs/>
          <w:caps/>
          <w:color w:val="000000"/>
          <w:lang w:eastAsia="lt-LT"/>
        </w:rPr>
        <w:t>LIETUVOS RESPUBLIKOS</w:t>
      </w:r>
      <w:r w:rsidRPr="00C52E01">
        <w:rPr>
          <w:b/>
          <w:bCs/>
          <w:color w:val="000000"/>
          <w:lang w:eastAsia="lt-LT"/>
        </w:rPr>
        <w:t xml:space="preserve"> </w:t>
      </w:r>
      <w:r w:rsidRPr="00C52E01">
        <w:rPr>
          <w:b/>
          <w:bCs/>
          <w:caps/>
          <w:color w:val="000000"/>
          <w:lang w:eastAsia="lt-LT"/>
        </w:rPr>
        <w:t>vALSTYBĖS INFORMACINIŲ IŠTEKLIŲ VALDYMO ĮSTATYMO NR. xI-1807 29 STRAIPSNIO PAKEITIMO</w:t>
      </w:r>
      <w:r w:rsidR="00D96E2D" w:rsidRPr="00C52E01">
        <w:rPr>
          <w:b/>
          <w:bCs/>
        </w:rPr>
        <w:t xml:space="preserve"> ĮSTATYMO PROJEKT</w:t>
      </w:r>
      <w:r w:rsidRPr="00C52E01">
        <w:rPr>
          <w:b/>
          <w:bCs/>
        </w:rPr>
        <w:t xml:space="preserve">O </w:t>
      </w:r>
      <w:r w:rsidR="00774769" w:rsidRPr="00C52E01">
        <w:rPr>
          <w:b/>
          <w:bCs/>
        </w:rPr>
        <w:t>DERINIM</w:t>
      </w:r>
      <w:r w:rsidR="00477410" w:rsidRPr="00C52E01">
        <w:rPr>
          <w:b/>
          <w:bCs/>
        </w:rPr>
        <w:t>O PA</w:t>
      </w:r>
      <w:r w:rsidR="00477410" w:rsidRPr="00C52E01">
        <w:rPr>
          <w:rFonts w:hint="eastAsia"/>
          <w:b/>
          <w:bCs/>
        </w:rPr>
        <w:t>Ž</w:t>
      </w:r>
      <w:r w:rsidR="00477410" w:rsidRPr="00C52E01">
        <w:rPr>
          <w:b/>
          <w:bCs/>
        </w:rPr>
        <w:t>YMA</w:t>
      </w:r>
    </w:p>
    <w:p w14:paraId="1CE78BB5" w14:textId="77777777" w:rsidR="003D19A3" w:rsidRPr="00894F48" w:rsidRDefault="003D19A3">
      <w:pPr>
        <w:rPr>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4962"/>
      </w:tblGrid>
      <w:tr w:rsidR="00774769" w:rsidRPr="00C52E01" w14:paraId="2FD49BEB" w14:textId="77777777" w:rsidTr="00D2651A">
        <w:trPr>
          <w:cantSplit/>
          <w:tblHeader/>
        </w:trPr>
        <w:tc>
          <w:tcPr>
            <w:tcW w:w="5098" w:type="dxa"/>
            <w:vAlign w:val="center"/>
          </w:tcPr>
          <w:p w14:paraId="79E74FAE" w14:textId="77777777" w:rsidR="00774769" w:rsidRPr="00C52E01" w:rsidRDefault="00FC5A6D" w:rsidP="00672474">
            <w:pPr>
              <w:jc w:val="center"/>
              <w:rPr>
                <w:b/>
                <w:sz w:val="22"/>
                <w:szCs w:val="22"/>
              </w:rPr>
            </w:pPr>
            <w:r w:rsidRPr="00C52E01">
              <w:rPr>
                <w:b/>
                <w:sz w:val="22"/>
                <w:szCs w:val="22"/>
              </w:rPr>
              <w:t>Pastabos ir pasiūlymai</w:t>
            </w:r>
          </w:p>
        </w:tc>
        <w:tc>
          <w:tcPr>
            <w:tcW w:w="4962" w:type="dxa"/>
            <w:vAlign w:val="center"/>
          </w:tcPr>
          <w:p w14:paraId="39E8B781" w14:textId="71BED22C" w:rsidR="00774769" w:rsidRPr="00C52E01" w:rsidRDefault="00942FCA" w:rsidP="004326A6">
            <w:pPr>
              <w:spacing w:before="60" w:after="60"/>
              <w:ind w:right="74"/>
              <w:jc w:val="center"/>
              <w:rPr>
                <w:b/>
                <w:color w:val="000000"/>
                <w:sz w:val="22"/>
                <w:szCs w:val="22"/>
              </w:rPr>
            </w:pPr>
            <w:r w:rsidRPr="00C52E01">
              <w:rPr>
                <w:b/>
                <w:caps/>
                <w:color w:val="000000"/>
                <w:sz w:val="22"/>
                <w:szCs w:val="22"/>
              </w:rPr>
              <w:t>A</w:t>
            </w:r>
            <w:r w:rsidRPr="00C52E01">
              <w:rPr>
                <w:b/>
                <w:color w:val="000000"/>
                <w:sz w:val="22"/>
                <w:szCs w:val="22"/>
              </w:rPr>
              <w:t>rgumentai, kodėl neatsižvelgta arba atsižvelgta iš dalies į suinteresuotos institucijos pastabas ir pasiūlymus</w:t>
            </w:r>
          </w:p>
        </w:tc>
      </w:tr>
      <w:tr w:rsidR="0090329B" w:rsidRPr="00C52E01" w14:paraId="43C79352" w14:textId="77777777" w:rsidTr="00D2651A">
        <w:tc>
          <w:tcPr>
            <w:tcW w:w="10060" w:type="dxa"/>
            <w:gridSpan w:val="2"/>
            <w:vAlign w:val="center"/>
          </w:tcPr>
          <w:p w14:paraId="0A6E47DD" w14:textId="31ADFBEF" w:rsidR="0090329B" w:rsidRPr="00C52E01" w:rsidRDefault="004F4748" w:rsidP="00A93701">
            <w:pPr>
              <w:spacing w:before="60" w:after="60"/>
              <w:jc w:val="center"/>
              <w:rPr>
                <w:sz w:val="22"/>
                <w:szCs w:val="22"/>
              </w:rPr>
            </w:pPr>
            <w:r w:rsidRPr="00C52E01">
              <w:rPr>
                <w:sz w:val="22"/>
                <w:szCs w:val="22"/>
              </w:rPr>
              <w:t>Lietuvos Respub</w:t>
            </w:r>
            <w:r w:rsidR="00A975BA" w:rsidRPr="00C52E01">
              <w:rPr>
                <w:sz w:val="22"/>
                <w:szCs w:val="22"/>
              </w:rPr>
              <w:t xml:space="preserve">likos </w:t>
            </w:r>
            <w:r w:rsidR="00C52E01" w:rsidRPr="00C52E01">
              <w:rPr>
                <w:sz w:val="22"/>
                <w:szCs w:val="22"/>
              </w:rPr>
              <w:t>ekonomikos ir inovacijų ministerijos</w:t>
            </w:r>
            <w:r w:rsidR="0090329B" w:rsidRPr="00C52E01">
              <w:rPr>
                <w:sz w:val="22"/>
                <w:szCs w:val="22"/>
              </w:rPr>
              <w:t xml:space="preserve"> 20</w:t>
            </w:r>
            <w:r w:rsidR="00C52E01" w:rsidRPr="00C52E01">
              <w:rPr>
                <w:sz w:val="22"/>
                <w:szCs w:val="22"/>
              </w:rPr>
              <w:t>21</w:t>
            </w:r>
            <w:r w:rsidR="0090329B" w:rsidRPr="00C52E01">
              <w:rPr>
                <w:sz w:val="22"/>
                <w:szCs w:val="22"/>
              </w:rPr>
              <w:t xml:space="preserve"> m. </w:t>
            </w:r>
            <w:r w:rsidR="00B030A1" w:rsidRPr="00C52E01">
              <w:rPr>
                <w:sz w:val="22"/>
                <w:szCs w:val="22"/>
              </w:rPr>
              <w:t xml:space="preserve">liepos </w:t>
            </w:r>
            <w:r w:rsidR="00C52E01" w:rsidRPr="00C52E01">
              <w:rPr>
                <w:sz w:val="22"/>
                <w:szCs w:val="22"/>
              </w:rPr>
              <w:t>5</w:t>
            </w:r>
            <w:r w:rsidR="0090329B" w:rsidRPr="00C52E01">
              <w:rPr>
                <w:sz w:val="22"/>
                <w:szCs w:val="22"/>
              </w:rPr>
              <w:t xml:space="preserve"> d. raštas Nr. </w:t>
            </w:r>
            <w:r w:rsidR="00C52E01" w:rsidRPr="00C52E01">
              <w:rPr>
                <w:sz w:val="22"/>
                <w:szCs w:val="22"/>
              </w:rPr>
              <w:t>(4.6-82Mr)-3-3173</w:t>
            </w:r>
          </w:p>
        </w:tc>
      </w:tr>
      <w:tr w:rsidR="0090329B" w:rsidRPr="00C52E01" w14:paraId="6F71D071" w14:textId="77777777" w:rsidTr="00727BF6">
        <w:tc>
          <w:tcPr>
            <w:tcW w:w="5098" w:type="dxa"/>
          </w:tcPr>
          <w:p w14:paraId="5C50E157" w14:textId="23944857" w:rsidR="00C52E01" w:rsidRPr="00C52E01" w:rsidRDefault="00C52E01" w:rsidP="00C52E01">
            <w:pPr>
              <w:pStyle w:val="Adresas"/>
              <w:ind w:right="33"/>
              <w:jc w:val="both"/>
              <w:rPr>
                <w:sz w:val="22"/>
                <w:szCs w:val="22"/>
              </w:rPr>
            </w:pPr>
            <w:r w:rsidRPr="00C52E01">
              <w:rPr>
                <w:sz w:val="22"/>
                <w:szCs w:val="22"/>
              </w:rPr>
              <w:t xml:space="preserve">Ekonomikos ir inovacijų ministerija iš esmės neprieštarauja, kad </w:t>
            </w:r>
            <w:r>
              <w:rPr>
                <w:sz w:val="22"/>
                <w:szCs w:val="22"/>
              </w:rPr>
              <w:t xml:space="preserve">VĮ Ignalinos atominei elektrinei (toliau – </w:t>
            </w:r>
            <w:r w:rsidRPr="00C52E01">
              <w:rPr>
                <w:sz w:val="22"/>
                <w:szCs w:val="22"/>
              </w:rPr>
              <w:t>Įmon</w:t>
            </w:r>
            <w:r>
              <w:rPr>
                <w:sz w:val="22"/>
                <w:szCs w:val="22"/>
              </w:rPr>
              <w:t>ė)</w:t>
            </w:r>
            <w:r w:rsidRPr="00C52E01">
              <w:rPr>
                <w:sz w:val="22"/>
                <w:szCs w:val="22"/>
              </w:rPr>
              <w:t xml:space="preserve"> registro duomenys būtų teikiami neatlygintinai, tačiau šios nuostatos neturėtų būti įtvirtinamos Lietuvos Respublikos valstybės informacinių išteklių valdymo įstatyme, kuriame reglamentuotini bendrieji valstybės informacinių išteklių valdymo, tvarkymo ir naudojimo principai.</w:t>
            </w:r>
          </w:p>
          <w:p w14:paraId="25E1A923" w14:textId="77777777" w:rsidR="00C52E01" w:rsidRPr="00C52E01" w:rsidRDefault="00C52E01" w:rsidP="00C52E01">
            <w:pPr>
              <w:pStyle w:val="Adresas"/>
              <w:ind w:right="33"/>
              <w:jc w:val="both"/>
              <w:rPr>
                <w:sz w:val="22"/>
                <w:szCs w:val="22"/>
              </w:rPr>
            </w:pPr>
            <w:r w:rsidRPr="00C52E01">
              <w:rPr>
                <w:sz w:val="22"/>
                <w:szCs w:val="22"/>
              </w:rPr>
              <w:t>Valstybės informacinių išteklių valdymo įstatymo 29 straipsnio 1 dalyje nustatyta, kad registro duomenys teikiami už atlyginimą, išskyrus šio ir kitų Lietuvos Respublikos įstatymų nustatytas išimtis. Minėto įstatymo 29 straipsnio 3 dalyje įvardytos grupės subjektų, kuriems registrų duomenys teikiami neatlygintinai, tačiau konkretūs subjektai, kuriems norima suteikti tokią teisę, nurodytini ne Valstybės informacinių išteklių valdymo įstatyme, o kituose įstatymuose (kaip pvz., žurnalistų teisė neatlygintinai gauti duomenis ir informaciją iš registro ar valstybės informacinės sistemos tvarkytojo nustatyta Lietuvos Respublikos visuomenės informavimo įstatyme).</w:t>
            </w:r>
          </w:p>
          <w:p w14:paraId="54B529DC" w14:textId="5D227815" w:rsidR="004C2097" w:rsidRPr="00C52E01" w:rsidRDefault="00C52E01" w:rsidP="00C52E01">
            <w:pPr>
              <w:pStyle w:val="Adresas"/>
              <w:ind w:right="33"/>
              <w:jc w:val="both"/>
              <w:rPr>
                <w:sz w:val="22"/>
                <w:szCs w:val="22"/>
                <w:lang w:val="en-US"/>
              </w:rPr>
            </w:pPr>
            <w:r w:rsidRPr="00C52E01">
              <w:rPr>
                <w:sz w:val="22"/>
                <w:szCs w:val="22"/>
              </w:rPr>
              <w:t>Atsižvelgdami į tai, kas išdėstyta, siūlome nuostatas dėl neatlygintino registro duomenų teikimo Įmonei įtvirtinti specialiuose įstatymuose, kuriuose nustatomos Įmonės funkcijos, teisės ir pareigos.</w:t>
            </w:r>
          </w:p>
        </w:tc>
        <w:tc>
          <w:tcPr>
            <w:tcW w:w="4962" w:type="dxa"/>
          </w:tcPr>
          <w:p w14:paraId="4513BE67" w14:textId="69905259" w:rsidR="00F334D4" w:rsidRPr="00C52E01" w:rsidRDefault="00ED79F7" w:rsidP="0090329B">
            <w:pPr>
              <w:rPr>
                <w:b/>
                <w:sz w:val="22"/>
                <w:szCs w:val="22"/>
              </w:rPr>
            </w:pPr>
            <w:r w:rsidRPr="00C52E01">
              <w:rPr>
                <w:b/>
                <w:sz w:val="22"/>
                <w:szCs w:val="22"/>
              </w:rPr>
              <w:t>Neatsižvelgta.</w:t>
            </w:r>
          </w:p>
          <w:p w14:paraId="1769116F" w14:textId="1450A6B9" w:rsidR="00673968" w:rsidRDefault="001F0B16" w:rsidP="00BB5F95">
            <w:pPr>
              <w:pStyle w:val="Adresas"/>
              <w:tabs>
                <w:tab w:val="left" w:pos="993"/>
              </w:tabs>
              <w:ind w:right="0"/>
              <w:jc w:val="both"/>
              <w:rPr>
                <w:color w:val="000000"/>
                <w:sz w:val="22"/>
                <w:szCs w:val="22"/>
              </w:rPr>
            </w:pPr>
            <w:r>
              <w:rPr>
                <w:sz w:val="22"/>
                <w:szCs w:val="22"/>
              </w:rPr>
              <w:t xml:space="preserve">VĮ Ignalinos atominei elektrinei (toliau – </w:t>
            </w:r>
            <w:r w:rsidR="004B3866" w:rsidRPr="00BB5F95">
              <w:rPr>
                <w:sz w:val="22"/>
                <w:szCs w:val="22"/>
              </w:rPr>
              <w:t>Įmon</w:t>
            </w:r>
            <w:r>
              <w:rPr>
                <w:sz w:val="22"/>
                <w:szCs w:val="22"/>
              </w:rPr>
              <w:t>ė)</w:t>
            </w:r>
            <w:r w:rsidR="004B3866" w:rsidRPr="00BB5F95">
              <w:rPr>
                <w:sz w:val="22"/>
                <w:szCs w:val="22"/>
              </w:rPr>
              <w:t xml:space="preserve"> jos funkcijos nustatytos teisės akt</w:t>
            </w:r>
            <w:r w:rsidR="00481B07">
              <w:rPr>
                <w:sz w:val="22"/>
                <w:szCs w:val="22"/>
              </w:rPr>
              <w:t>uose</w:t>
            </w:r>
            <w:r w:rsidR="006523C6">
              <w:rPr>
                <w:rStyle w:val="FootnoteReference"/>
                <w:sz w:val="22"/>
                <w:szCs w:val="22"/>
              </w:rPr>
              <w:footnoteReference w:id="1"/>
            </w:r>
            <w:r w:rsidR="004B3866" w:rsidRPr="00BB5F95">
              <w:rPr>
                <w:sz w:val="22"/>
                <w:szCs w:val="22"/>
              </w:rPr>
              <w:t xml:space="preserve">, kurie reglamentuoja </w:t>
            </w:r>
            <w:r w:rsidR="00BB5F95" w:rsidRPr="00BB5F95">
              <w:rPr>
                <w:sz w:val="22"/>
                <w:szCs w:val="22"/>
              </w:rPr>
              <w:t xml:space="preserve">branduolinės energetikos srities veiklos, </w:t>
            </w:r>
            <w:r w:rsidR="00BB5F95" w:rsidRPr="00BB5F95">
              <w:rPr>
                <w:color w:val="000000"/>
                <w:sz w:val="22"/>
                <w:szCs w:val="22"/>
              </w:rPr>
              <w:t xml:space="preserve">branduolinės saugos užtikrinimo, </w:t>
            </w:r>
            <w:r w:rsidR="00BB5F95" w:rsidRPr="00673968">
              <w:rPr>
                <w:color w:val="000000"/>
                <w:sz w:val="22"/>
                <w:szCs w:val="22"/>
              </w:rPr>
              <w:t>radioaktyviųjų atliekų tvarkymo, Ignalinos atominės elektrinės eksploatavimo nutraukimo teisinius pagrindus</w:t>
            </w:r>
            <w:r w:rsidR="00C01858" w:rsidRPr="00673968">
              <w:rPr>
                <w:color w:val="000000"/>
                <w:sz w:val="22"/>
                <w:szCs w:val="22"/>
              </w:rPr>
              <w:t xml:space="preserve">. </w:t>
            </w:r>
            <w:r w:rsidR="0076408F" w:rsidRPr="00673968">
              <w:rPr>
                <w:color w:val="000000"/>
                <w:sz w:val="22"/>
                <w:szCs w:val="22"/>
              </w:rPr>
              <w:t>Nurodyti teisės aktai nenustato</w:t>
            </w:r>
            <w:r w:rsidR="00673968">
              <w:rPr>
                <w:color w:val="000000"/>
                <w:sz w:val="22"/>
                <w:szCs w:val="22"/>
              </w:rPr>
              <w:t xml:space="preserve"> ir, </w:t>
            </w:r>
            <w:r w:rsidR="00360A13">
              <w:rPr>
                <w:color w:val="000000"/>
                <w:sz w:val="22"/>
                <w:szCs w:val="22"/>
              </w:rPr>
              <w:t>siekiant teisinio aiškumo</w:t>
            </w:r>
            <w:r w:rsidR="00426BAC">
              <w:rPr>
                <w:color w:val="000000"/>
                <w:sz w:val="22"/>
                <w:szCs w:val="22"/>
              </w:rPr>
              <w:t>,</w:t>
            </w:r>
            <w:r w:rsidR="00360A13">
              <w:rPr>
                <w:color w:val="000000"/>
                <w:sz w:val="22"/>
                <w:szCs w:val="22"/>
              </w:rPr>
              <w:t xml:space="preserve"> </w:t>
            </w:r>
            <w:r w:rsidR="00673968">
              <w:rPr>
                <w:color w:val="000000"/>
                <w:sz w:val="22"/>
                <w:szCs w:val="22"/>
              </w:rPr>
              <w:t>netur</w:t>
            </w:r>
            <w:r w:rsidR="00A97A3A">
              <w:rPr>
                <w:color w:val="000000"/>
                <w:sz w:val="22"/>
                <w:szCs w:val="22"/>
              </w:rPr>
              <w:t>ėtų</w:t>
            </w:r>
            <w:r w:rsidR="00673968">
              <w:rPr>
                <w:color w:val="000000"/>
                <w:sz w:val="22"/>
                <w:szCs w:val="22"/>
              </w:rPr>
              <w:t xml:space="preserve"> nustatyti</w:t>
            </w:r>
            <w:r w:rsidR="0076408F" w:rsidRPr="00673968">
              <w:rPr>
                <w:color w:val="000000"/>
                <w:sz w:val="22"/>
                <w:szCs w:val="22"/>
              </w:rPr>
              <w:t xml:space="preserve"> santykių tarp Įmonės </w:t>
            </w:r>
            <w:r w:rsidR="00673968" w:rsidRPr="00673968">
              <w:rPr>
                <w:color w:val="000000"/>
                <w:sz w:val="22"/>
                <w:szCs w:val="22"/>
              </w:rPr>
              <w:t xml:space="preserve">ir valstybės informacinių išteklių </w:t>
            </w:r>
            <w:r w:rsidR="00FA407F">
              <w:rPr>
                <w:color w:val="000000"/>
                <w:sz w:val="22"/>
                <w:szCs w:val="22"/>
              </w:rPr>
              <w:t>tvarkytojų</w:t>
            </w:r>
            <w:r w:rsidR="00D711C8">
              <w:rPr>
                <w:color w:val="000000"/>
                <w:sz w:val="22"/>
                <w:szCs w:val="22"/>
              </w:rPr>
              <w:t>, taip pat neturėtų nustatyti</w:t>
            </w:r>
            <w:r w:rsidR="00673968" w:rsidRPr="00673968">
              <w:rPr>
                <w:sz w:val="22"/>
                <w:szCs w:val="22"/>
              </w:rPr>
              <w:t xml:space="preserve"> </w:t>
            </w:r>
            <w:r w:rsidR="00673968" w:rsidRPr="00673968">
              <w:rPr>
                <w:color w:val="000000"/>
                <w:sz w:val="22"/>
                <w:szCs w:val="22"/>
              </w:rPr>
              <w:t>viešojo sektoriaus informacijos pakartotinio naudojimo</w:t>
            </w:r>
            <w:r w:rsidR="002D458E">
              <w:rPr>
                <w:color w:val="000000"/>
                <w:sz w:val="22"/>
                <w:szCs w:val="22"/>
              </w:rPr>
              <w:t xml:space="preserve"> sąlygų</w:t>
            </w:r>
            <w:r w:rsidR="00673968">
              <w:rPr>
                <w:color w:val="000000"/>
                <w:sz w:val="22"/>
                <w:szCs w:val="22"/>
              </w:rPr>
              <w:t>.</w:t>
            </w:r>
            <w:r w:rsidR="00673968" w:rsidRPr="00673968">
              <w:rPr>
                <w:color w:val="000000"/>
                <w:sz w:val="22"/>
                <w:szCs w:val="22"/>
              </w:rPr>
              <w:t xml:space="preserve"> </w:t>
            </w:r>
            <w:r w:rsidR="00673968">
              <w:rPr>
                <w:color w:val="000000"/>
                <w:sz w:val="22"/>
                <w:szCs w:val="22"/>
              </w:rPr>
              <w:t>Tokio pobūdžio nuostatos tur</w:t>
            </w:r>
            <w:r w:rsidR="00785289">
              <w:rPr>
                <w:color w:val="000000"/>
                <w:sz w:val="22"/>
                <w:szCs w:val="22"/>
              </w:rPr>
              <w:t>ėtų</w:t>
            </w:r>
            <w:r w:rsidR="00673968">
              <w:rPr>
                <w:color w:val="000000"/>
                <w:sz w:val="22"/>
                <w:szCs w:val="22"/>
              </w:rPr>
              <w:t xml:space="preserve"> būti nu</w:t>
            </w:r>
            <w:r w:rsidR="00785289">
              <w:rPr>
                <w:color w:val="000000"/>
                <w:sz w:val="22"/>
                <w:szCs w:val="22"/>
              </w:rPr>
              <w:t>matytos</w:t>
            </w:r>
            <w:r w:rsidR="00673968">
              <w:rPr>
                <w:color w:val="000000"/>
                <w:sz w:val="22"/>
                <w:szCs w:val="22"/>
              </w:rPr>
              <w:t xml:space="preserve"> </w:t>
            </w:r>
            <w:r w:rsidR="004C7D45">
              <w:rPr>
                <w:color w:val="000000"/>
                <w:sz w:val="22"/>
                <w:szCs w:val="22"/>
              </w:rPr>
              <w:t>Lietuvos Respublikos v</w:t>
            </w:r>
            <w:r w:rsidR="00673968">
              <w:rPr>
                <w:color w:val="000000"/>
                <w:sz w:val="22"/>
                <w:szCs w:val="22"/>
              </w:rPr>
              <w:t>alstybės informacinių išteklių valdymo įstatyme, kurio vienas iš tikslų yra</w:t>
            </w:r>
            <w:r w:rsidR="00673968">
              <w:t xml:space="preserve"> </w:t>
            </w:r>
            <w:r w:rsidR="00673968" w:rsidRPr="009C13DC">
              <w:rPr>
                <w:color w:val="000000"/>
                <w:sz w:val="22"/>
                <w:szCs w:val="22"/>
              </w:rPr>
              <w:t>užtikrinti tinkamą valstybės informacinių išteklių valdymą</w:t>
            </w:r>
            <w:r w:rsidR="00785289">
              <w:rPr>
                <w:color w:val="000000"/>
                <w:sz w:val="22"/>
                <w:szCs w:val="22"/>
              </w:rPr>
              <w:t xml:space="preserve"> ir</w:t>
            </w:r>
            <w:r w:rsidR="00673968" w:rsidRPr="009C13DC">
              <w:rPr>
                <w:color w:val="000000"/>
                <w:sz w:val="22"/>
                <w:szCs w:val="22"/>
              </w:rPr>
              <w:t xml:space="preserve"> naudojimą</w:t>
            </w:r>
            <w:r w:rsidR="00785289">
              <w:rPr>
                <w:color w:val="000000"/>
                <w:sz w:val="22"/>
                <w:szCs w:val="22"/>
              </w:rPr>
              <w:t xml:space="preserve"> ir kuris, be kita ko, nustato </w:t>
            </w:r>
            <w:r w:rsidR="00785289" w:rsidRPr="00785289">
              <w:rPr>
                <w:color w:val="000000"/>
                <w:sz w:val="22"/>
                <w:szCs w:val="22"/>
              </w:rPr>
              <w:t xml:space="preserve">registrų ir Lietuvos Respublikos fizinių ir juridinių asmenų, gaunančių iš </w:t>
            </w:r>
            <w:r w:rsidR="00785289">
              <w:rPr>
                <w:color w:val="000000"/>
                <w:sz w:val="22"/>
                <w:szCs w:val="22"/>
              </w:rPr>
              <w:t>registrų</w:t>
            </w:r>
            <w:r w:rsidR="00785289" w:rsidRPr="00785289">
              <w:rPr>
                <w:color w:val="000000"/>
                <w:sz w:val="22"/>
                <w:szCs w:val="22"/>
              </w:rPr>
              <w:t xml:space="preserve"> duomenis, informaciją, dokumentus ir (arba) jų kopijas, teises, pareigas ir atsakomybę</w:t>
            </w:r>
            <w:r w:rsidR="00785289">
              <w:rPr>
                <w:rStyle w:val="FootnoteReference"/>
                <w:color w:val="000000"/>
                <w:sz w:val="22"/>
                <w:szCs w:val="22"/>
              </w:rPr>
              <w:footnoteReference w:id="2"/>
            </w:r>
            <w:r w:rsidR="00673968">
              <w:rPr>
                <w:color w:val="000000"/>
                <w:sz w:val="22"/>
                <w:szCs w:val="22"/>
              </w:rPr>
              <w:t>.</w:t>
            </w:r>
          </w:p>
          <w:p w14:paraId="517E96FD" w14:textId="7D3F6DA2" w:rsidR="0098117B" w:rsidRDefault="00673968" w:rsidP="00BB5F95">
            <w:pPr>
              <w:pStyle w:val="Adresas"/>
              <w:tabs>
                <w:tab w:val="left" w:pos="993"/>
              </w:tabs>
              <w:ind w:right="0"/>
              <w:jc w:val="both"/>
              <w:rPr>
                <w:color w:val="000000"/>
                <w:sz w:val="22"/>
                <w:szCs w:val="22"/>
              </w:rPr>
            </w:pPr>
            <w:r>
              <w:rPr>
                <w:color w:val="000000"/>
                <w:sz w:val="22"/>
                <w:szCs w:val="22"/>
              </w:rPr>
              <w:t>A</w:t>
            </w:r>
            <w:r w:rsidR="00785289">
              <w:rPr>
                <w:color w:val="000000"/>
                <w:sz w:val="22"/>
                <w:szCs w:val="22"/>
              </w:rPr>
              <w:t>tkreiptinas dėmesys į tai, kad</w:t>
            </w:r>
            <w:r w:rsidR="00481B07">
              <w:rPr>
                <w:color w:val="000000"/>
                <w:sz w:val="22"/>
                <w:szCs w:val="22"/>
              </w:rPr>
              <w:t xml:space="preserve"> </w:t>
            </w:r>
            <w:r w:rsidR="00360A13">
              <w:rPr>
                <w:color w:val="000000"/>
                <w:sz w:val="22"/>
                <w:szCs w:val="22"/>
              </w:rPr>
              <w:t xml:space="preserve">Įmonės funkcijų nereglamentuojančiuose </w:t>
            </w:r>
            <w:r w:rsidR="00481B07">
              <w:rPr>
                <w:color w:val="000000"/>
                <w:sz w:val="22"/>
                <w:szCs w:val="22"/>
              </w:rPr>
              <w:t xml:space="preserve">teisės aktuose </w:t>
            </w:r>
            <w:r w:rsidR="00360A13">
              <w:rPr>
                <w:color w:val="000000"/>
                <w:sz w:val="22"/>
                <w:szCs w:val="22"/>
              </w:rPr>
              <w:t xml:space="preserve">Įmonei </w:t>
            </w:r>
            <w:r w:rsidR="00481B07">
              <w:rPr>
                <w:color w:val="000000"/>
                <w:sz w:val="22"/>
                <w:szCs w:val="22"/>
              </w:rPr>
              <w:t>jau nustatytos tam tikros išimtinės teisės</w:t>
            </w:r>
            <w:r w:rsidR="00B11141">
              <w:rPr>
                <w:color w:val="000000"/>
                <w:sz w:val="22"/>
                <w:szCs w:val="22"/>
              </w:rPr>
              <w:t>, pavyzdžiui,</w:t>
            </w:r>
            <w:r w:rsidR="00785289">
              <w:rPr>
                <w:color w:val="000000"/>
                <w:sz w:val="22"/>
                <w:szCs w:val="22"/>
              </w:rPr>
              <w:t xml:space="preserve"> </w:t>
            </w:r>
            <w:r w:rsidR="00E36ECE">
              <w:rPr>
                <w:color w:val="000000"/>
                <w:sz w:val="22"/>
                <w:szCs w:val="22"/>
              </w:rPr>
              <w:t>vadovaujantis</w:t>
            </w:r>
            <w:r w:rsidR="0098117B">
              <w:rPr>
                <w:color w:val="000000"/>
                <w:sz w:val="22"/>
                <w:szCs w:val="22"/>
              </w:rPr>
              <w:t>:</w:t>
            </w:r>
          </w:p>
          <w:p w14:paraId="0235E5C8" w14:textId="260C5B4B" w:rsidR="0098117B" w:rsidRDefault="0098117B" w:rsidP="0098117B">
            <w:pPr>
              <w:pStyle w:val="Adresas"/>
              <w:numPr>
                <w:ilvl w:val="0"/>
                <w:numId w:val="17"/>
              </w:numPr>
              <w:tabs>
                <w:tab w:val="left" w:pos="321"/>
              </w:tabs>
              <w:ind w:left="37" w:right="0" w:firstLine="0"/>
              <w:jc w:val="both"/>
              <w:rPr>
                <w:color w:val="000000"/>
                <w:sz w:val="22"/>
                <w:szCs w:val="22"/>
              </w:rPr>
            </w:pPr>
            <w:r>
              <w:rPr>
                <w:color w:val="000000"/>
                <w:sz w:val="22"/>
                <w:szCs w:val="22"/>
              </w:rPr>
              <w:t>Lietuvos Respublikos mokesčio už valstybės turto naudojimą patikėjimo teise įstatymo 3 straipsniu</w:t>
            </w:r>
            <w:r w:rsidR="007A2106">
              <w:rPr>
                <w:color w:val="000000"/>
                <w:sz w:val="22"/>
                <w:szCs w:val="22"/>
              </w:rPr>
              <w:t>,</w:t>
            </w:r>
            <w:r>
              <w:rPr>
                <w:color w:val="000000"/>
                <w:sz w:val="22"/>
                <w:szCs w:val="22"/>
              </w:rPr>
              <w:t xml:space="preserve"> Įmonė nemoka mokesčio </w:t>
            </w:r>
            <w:r w:rsidRPr="0098117B">
              <w:rPr>
                <w:color w:val="000000"/>
                <w:sz w:val="22"/>
                <w:szCs w:val="22"/>
              </w:rPr>
              <w:t>už valstybės turto naudojimą patikėjimo teise</w:t>
            </w:r>
            <w:r>
              <w:rPr>
                <w:color w:val="000000"/>
                <w:sz w:val="22"/>
                <w:szCs w:val="22"/>
              </w:rPr>
              <w:t>;</w:t>
            </w:r>
          </w:p>
          <w:p w14:paraId="63E51F63" w14:textId="43170D5C" w:rsidR="00B11141" w:rsidRDefault="00B11141" w:rsidP="0098117B">
            <w:pPr>
              <w:pStyle w:val="Adresas"/>
              <w:numPr>
                <w:ilvl w:val="0"/>
                <w:numId w:val="17"/>
              </w:numPr>
              <w:tabs>
                <w:tab w:val="left" w:pos="321"/>
              </w:tabs>
              <w:ind w:left="37" w:right="0" w:firstLine="0"/>
              <w:jc w:val="both"/>
              <w:rPr>
                <w:color w:val="000000"/>
                <w:sz w:val="22"/>
                <w:szCs w:val="22"/>
              </w:rPr>
            </w:pPr>
            <w:r>
              <w:rPr>
                <w:color w:val="000000"/>
                <w:sz w:val="22"/>
                <w:szCs w:val="22"/>
              </w:rPr>
              <w:t>Lietuvos Respublikos nacionaliniam saugumui užtikrinti svarbių objektų apsaugos įstatymo 13 straipsnio 12 dalimi</w:t>
            </w:r>
            <w:r w:rsidR="007A2106">
              <w:rPr>
                <w:color w:val="000000"/>
                <w:sz w:val="22"/>
                <w:szCs w:val="22"/>
              </w:rPr>
              <w:t>,</w:t>
            </w:r>
            <w:r>
              <w:rPr>
                <w:color w:val="000000"/>
                <w:sz w:val="22"/>
                <w:szCs w:val="22"/>
              </w:rPr>
              <w:t xml:space="preserve"> Įmonė ne</w:t>
            </w:r>
            <w:r w:rsidRPr="00B11141">
              <w:rPr>
                <w:color w:val="000000"/>
                <w:sz w:val="22"/>
                <w:szCs w:val="22"/>
              </w:rPr>
              <w:t xml:space="preserve">privalo pranešti Nacionaliniam saugumui užtikrinti svarbių objektų apsaugos koordinavimo </w:t>
            </w:r>
            <w:r>
              <w:rPr>
                <w:color w:val="000000"/>
                <w:sz w:val="22"/>
                <w:szCs w:val="22"/>
              </w:rPr>
              <w:t>k</w:t>
            </w:r>
            <w:r w:rsidRPr="00B11141">
              <w:rPr>
                <w:color w:val="000000"/>
                <w:sz w:val="22"/>
                <w:szCs w:val="22"/>
              </w:rPr>
              <w:t>omisijai apie ketinamus sudaryti sandorius ar esminius jau sudarytų sandorių pakeitimus, kai sandorio vertė viršija 10 procentų praėjusių finansinių metų metinių įmonės pajamų</w:t>
            </w:r>
            <w:r>
              <w:rPr>
                <w:color w:val="000000"/>
                <w:sz w:val="22"/>
                <w:szCs w:val="22"/>
              </w:rPr>
              <w:t>;</w:t>
            </w:r>
          </w:p>
          <w:p w14:paraId="0128A0FC" w14:textId="78539217" w:rsidR="0090329B" w:rsidRDefault="00E36ECE" w:rsidP="004B3866">
            <w:pPr>
              <w:pStyle w:val="Adresas"/>
              <w:numPr>
                <w:ilvl w:val="0"/>
                <w:numId w:val="17"/>
              </w:numPr>
              <w:tabs>
                <w:tab w:val="left" w:pos="321"/>
              </w:tabs>
              <w:ind w:left="37" w:right="0" w:firstLine="0"/>
              <w:jc w:val="both"/>
              <w:rPr>
                <w:color w:val="000000"/>
                <w:sz w:val="22"/>
                <w:szCs w:val="22"/>
              </w:rPr>
            </w:pPr>
            <w:r>
              <w:rPr>
                <w:color w:val="000000"/>
                <w:sz w:val="22"/>
                <w:szCs w:val="22"/>
              </w:rPr>
              <w:t xml:space="preserve">Lietuvos Respublikos Vyriausybės 2010 m. liepos 14 d. nutarimo Nr. 1052 „Dėl </w:t>
            </w:r>
            <w:r w:rsidR="004C7D45">
              <w:rPr>
                <w:color w:val="000000"/>
                <w:sz w:val="22"/>
                <w:szCs w:val="22"/>
              </w:rPr>
              <w:t>V</w:t>
            </w:r>
            <w:r>
              <w:rPr>
                <w:color w:val="000000"/>
                <w:sz w:val="22"/>
                <w:szCs w:val="22"/>
              </w:rPr>
              <w:t>alstybės valdomų įmonių veiklos skaidrumo užtikrinimo gairių aprašo patvirtinimo“ 2.2 papunkčiu</w:t>
            </w:r>
            <w:r w:rsidR="007A2106">
              <w:rPr>
                <w:color w:val="000000"/>
                <w:sz w:val="22"/>
                <w:szCs w:val="22"/>
              </w:rPr>
              <w:t>,</w:t>
            </w:r>
            <w:r>
              <w:rPr>
                <w:color w:val="000000"/>
                <w:sz w:val="22"/>
                <w:szCs w:val="22"/>
              </w:rPr>
              <w:t xml:space="preserve"> Įmonei leista netaikyti </w:t>
            </w:r>
            <w:r>
              <w:rPr>
                <w:color w:val="000000"/>
                <w:sz w:val="22"/>
                <w:szCs w:val="22"/>
              </w:rPr>
              <w:lastRenderedPageBreak/>
              <w:t>tarptautinių apskaitos standartų rengiant savo finansinę atskaitomybę</w:t>
            </w:r>
            <w:r w:rsidR="00B11141">
              <w:rPr>
                <w:color w:val="000000"/>
                <w:sz w:val="22"/>
                <w:szCs w:val="22"/>
              </w:rPr>
              <w:t>.</w:t>
            </w:r>
          </w:p>
          <w:p w14:paraId="3E76D262" w14:textId="0EB4984D" w:rsidR="00C718C1" w:rsidRPr="00CC049E" w:rsidRDefault="00C718C1" w:rsidP="00C718C1">
            <w:pPr>
              <w:pStyle w:val="Adresas"/>
              <w:tabs>
                <w:tab w:val="left" w:pos="321"/>
              </w:tabs>
              <w:ind w:left="37" w:right="0"/>
              <w:jc w:val="both"/>
              <w:rPr>
                <w:color w:val="000000"/>
                <w:sz w:val="22"/>
                <w:szCs w:val="22"/>
              </w:rPr>
            </w:pPr>
            <w:r>
              <w:rPr>
                <w:color w:val="000000"/>
                <w:sz w:val="22"/>
                <w:szCs w:val="22"/>
              </w:rPr>
              <w:t>Taip pat prašome susipažinti su argumentais, kodėl neatsižvelgta į kitų institucijų pastabas.</w:t>
            </w:r>
          </w:p>
        </w:tc>
      </w:tr>
      <w:tr w:rsidR="00727BF6" w:rsidRPr="00C52E01" w14:paraId="75A1F1FF" w14:textId="77777777" w:rsidTr="00257AD9">
        <w:tc>
          <w:tcPr>
            <w:tcW w:w="10060" w:type="dxa"/>
            <w:gridSpan w:val="2"/>
            <w:vAlign w:val="center"/>
          </w:tcPr>
          <w:p w14:paraId="493E49CC" w14:textId="3A23FEAF" w:rsidR="00727BF6" w:rsidRPr="00C52E01" w:rsidRDefault="00727BF6" w:rsidP="00CB2A1C">
            <w:pPr>
              <w:jc w:val="center"/>
              <w:rPr>
                <w:b/>
                <w:sz w:val="22"/>
                <w:szCs w:val="22"/>
              </w:rPr>
            </w:pPr>
            <w:r w:rsidRPr="00C52E01">
              <w:rPr>
                <w:sz w:val="22"/>
                <w:szCs w:val="22"/>
              </w:rPr>
              <w:lastRenderedPageBreak/>
              <w:t xml:space="preserve">Lietuvos Respublikos </w:t>
            </w:r>
            <w:r>
              <w:rPr>
                <w:sz w:val="22"/>
                <w:szCs w:val="22"/>
              </w:rPr>
              <w:t>finansų</w:t>
            </w:r>
            <w:r w:rsidRPr="00C52E01">
              <w:rPr>
                <w:sz w:val="22"/>
                <w:szCs w:val="22"/>
              </w:rPr>
              <w:t xml:space="preserve"> ministerijos 2021 m. liepos </w:t>
            </w:r>
            <w:r w:rsidR="00A8462E">
              <w:rPr>
                <w:sz w:val="22"/>
                <w:szCs w:val="22"/>
              </w:rPr>
              <w:t>14</w:t>
            </w:r>
            <w:r w:rsidRPr="00C52E01">
              <w:rPr>
                <w:sz w:val="22"/>
                <w:szCs w:val="22"/>
              </w:rPr>
              <w:t xml:space="preserve"> d. raštas Nr. </w:t>
            </w:r>
            <w:r w:rsidR="00A8462E" w:rsidRPr="00A8462E">
              <w:rPr>
                <w:sz w:val="22"/>
                <w:szCs w:val="22"/>
              </w:rPr>
              <w:t>((2.120Mr-03)-5K-2111504)-6K-2104308</w:t>
            </w:r>
          </w:p>
        </w:tc>
      </w:tr>
      <w:tr w:rsidR="00727BF6" w:rsidRPr="00C52E01" w14:paraId="3DDF8576" w14:textId="77777777" w:rsidTr="00727BF6">
        <w:tc>
          <w:tcPr>
            <w:tcW w:w="5098" w:type="dxa"/>
          </w:tcPr>
          <w:p w14:paraId="7E160EC3" w14:textId="184FBD80" w:rsidR="00A8462E" w:rsidRPr="00A8462E" w:rsidRDefault="00A8462E" w:rsidP="00CC049E">
            <w:pPr>
              <w:pStyle w:val="Adresas"/>
              <w:ind w:right="33"/>
              <w:jc w:val="both"/>
              <w:rPr>
                <w:sz w:val="22"/>
                <w:szCs w:val="22"/>
              </w:rPr>
            </w:pPr>
            <w:r w:rsidRPr="00A8462E">
              <w:rPr>
                <w:sz w:val="22"/>
                <w:szCs w:val="22"/>
              </w:rPr>
              <w:t xml:space="preserve">Pažymime, kad pritarus pateiktam </w:t>
            </w:r>
            <w:r w:rsidR="00CC049E" w:rsidRPr="00CC049E">
              <w:rPr>
                <w:sz w:val="22"/>
                <w:szCs w:val="22"/>
              </w:rPr>
              <w:t>Lietuvos Respublikos valstybės informacinių išteklių valdymo įstatymo Nr. XI-1807 29 straipsnio pakeitimo įstatymo projekt</w:t>
            </w:r>
            <w:r w:rsidRPr="00A8462E">
              <w:rPr>
                <w:sz w:val="22"/>
                <w:szCs w:val="22"/>
              </w:rPr>
              <w:t>ui</w:t>
            </w:r>
            <w:r w:rsidR="00CC049E">
              <w:rPr>
                <w:sz w:val="22"/>
                <w:szCs w:val="22"/>
              </w:rPr>
              <w:t xml:space="preserve"> (toliau – Projektas)</w:t>
            </w:r>
            <w:r w:rsidRPr="00A8462E">
              <w:rPr>
                <w:sz w:val="22"/>
                <w:szCs w:val="22"/>
              </w:rPr>
              <w:t>, būtų sudarytas precedentas ir kitoms valstybės įmonėms ieškoti išimčių gauti neatlygintinai reikalingus registro duomenis. Duomenų teikimas neatlygintinai valstybės įmonėms pareikalautų reikšmingų papildomų valstybės biudžeto išteklių kompensuoti VĮ Registrų centrui už neatlygintinai teikiamus duomenis, todėl Projektui pritarti negalime.</w:t>
            </w:r>
          </w:p>
          <w:p w14:paraId="12BFE66C" w14:textId="2F415B55" w:rsidR="00727BF6" w:rsidRPr="00C52E01" w:rsidRDefault="00A8462E" w:rsidP="00CC049E">
            <w:pPr>
              <w:pStyle w:val="Adresas"/>
              <w:ind w:right="33"/>
              <w:jc w:val="both"/>
              <w:rPr>
                <w:sz w:val="22"/>
                <w:szCs w:val="22"/>
              </w:rPr>
            </w:pPr>
            <w:r w:rsidRPr="00A8462E">
              <w:rPr>
                <w:sz w:val="22"/>
                <w:szCs w:val="22"/>
              </w:rPr>
              <w:t>Atsižvelgdami į tai, kad Lietuvos Respublikos Vyriausybės 2010 m. kovo 24 d. nutarimo Nr. 330 „Dėl ministrams pavedamų valdymo sričių“ 1.2 punktu energetikos ministrui pavesta, be kita ko, ir branduolinės energetikos valdymo sritis (valstybės politikos formavimas ir jos įgyvendinimo organizavimas, koordinavimas ir kontrolė, Ignalinos atominės elektrinės eksploatavimo nutraukimas, radioaktyviųjų atliekų tvarkymas, branduolinės energijos naudojimo plėtra), o šios srities politikos įgyvendinimui yra skiriami valstybės biudžeto asignavimai, mūsų nuomone, už Įmonei teisės aktuose nustatytoms funkcijoms atlikti reikalingus registro duomenis, registro informaciją, registrui pateiktus dokumentus ir (arba) jų kopijas apmokėjimas, vadovaujantis Biudžeto sandaros įstatymo 5 straipsnio 1 dalies nuostatomis, turėtų būti numatytas iš Energetikos ministerijai patvirtintų bendrųjų asignavimų.</w:t>
            </w:r>
          </w:p>
        </w:tc>
        <w:tc>
          <w:tcPr>
            <w:tcW w:w="4962" w:type="dxa"/>
          </w:tcPr>
          <w:p w14:paraId="7220431E" w14:textId="5ABBC3F8" w:rsidR="00444C9A" w:rsidRPr="00444C9A" w:rsidRDefault="00444C9A" w:rsidP="00CC049E">
            <w:pPr>
              <w:pStyle w:val="Adresas"/>
              <w:tabs>
                <w:tab w:val="left" w:pos="993"/>
              </w:tabs>
              <w:ind w:right="0"/>
              <w:jc w:val="both"/>
              <w:rPr>
                <w:b/>
                <w:bCs/>
                <w:color w:val="000000"/>
                <w:sz w:val="22"/>
                <w:szCs w:val="22"/>
              </w:rPr>
            </w:pPr>
            <w:r w:rsidRPr="00444C9A">
              <w:rPr>
                <w:b/>
                <w:bCs/>
                <w:color w:val="000000"/>
                <w:sz w:val="22"/>
                <w:szCs w:val="22"/>
              </w:rPr>
              <w:t>Neatsižvelgta.</w:t>
            </w:r>
          </w:p>
          <w:p w14:paraId="77A84B07" w14:textId="3089E4CF" w:rsidR="003F2070" w:rsidRDefault="003F2070" w:rsidP="003F2070">
            <w:pPr>
              <w:pStyle w:val="Adresas"/>
              <w:tabs>
                <w:tab w:val="left" w:pos="993"/>
              </w:tabs>
              <w:ind w:right="0"/>
              <w:jc w:val="both"/>
              <w:rPr>
                <w:sz w:val="22"/>
                <w:szCs w:val="22"/>
              </w:rPr>
            </w:pPr>
            <w:r>
              <w:rPr>
                <w:color w:val="000000"/>
                <w:sz w:val="22"/>
                <w:szCs w:val="22"/>
              </w:rPr>
              <w:t xml:space="preserve">Manytina, kad informacijos </w:t>
            </w:r>
            <w:r w:rsidR="00A745D9">
              <w:rPr>
                <w:color w:val="000000"/>
                <w:sz w:val="22"/>
                <w:szCs w:val="22"/>
              </w:rPr>
              <w:t>gavimo</w:t>
            </w:r>
            <w:r>
              <w:rPr>
                <w:color w:val="000000"/>
                <w:sz w:val="22"/>
                <w:szCs w:val="22"/>
              </w:rPr>
              <w:t xml:space="preserve"> sąlyg</w:t>
            </w:r>
            <w:r w:rsidR="00827186">
              <w:rPr>
                <w:color w:val="000000"/>
                <w:sz w:val="22"/>
                <w:szCs w:val="22"/>
              </w:rPr>
              <w:t>o</w:t>
            </w:r>
            <w:r>
              <w:rPr>
                <w:color w:val="000000"/>
                <w:sz w:val="22"/>
                <w:szCs w:val="22"/>
              </w:rPr>
              <w:t xml:space="preserve">s skirtingiems subjektams turi būti </w:t>
            </w:r>
            <w:r w:rsidRPr="00444C9A">
              <w:rPr>
                <w:color w:val="000000"/>
                <w:sz w:val="22"/>
                <w:szCs w:val="22"/>
              </w:rPr>
              <w:t>nediskriminacinio pobūdžio</w:t>
            </w:r>
            <w:r>
              <w:rPr>
                <w:color w:val="000000"/>
                <w:sz w:val="22"/>
                <w:szCs w:val="22"/>
              </w:rPr>
              <w:t>, jei</w:t>
            </w:r>
            <w:r w:rsidR="00827186">
              <w:rPr>
                <w:color w:val="000000"/>
                <w:sz w:val="22"/>
                <w:szCs w:val="22"/>
              </w:rPr>
              <w:t>gu</w:t>
            </w:r>
            <w:r w:rsidRPr="00444C9A">
              <w:rPr>
                <w:color w:val="000000"/>
                <w:sz w:val="22"/>
                <w:szCs w:val="22"/>
              </w:rPr>
              <w:t xml:space="preserve"> </w:t>
            </w:r>
            <w:r w:rsidR="006F3B47">
              <w:rPr>
                <w:color w:val="000000"/>
                <w:sz w:val="22"/>
                <w:szCs w:val="22"/>
              </w:rPr>
              <w:t xml:space="preserve">subjektams reikalingos </w:t>
            </w:r>
            <w:r>
              <w:rPr>
                <w:color w:val="000000"/>
                <w:sz w:val="22"/>
                <w:szCs w:val="22"/>
              </w:rPr>
              <w:t>informacijos</w:t>
            </w:r>
            <w:r w:rsidRPr="00444C9A">
              <w:rPr>
                <w:color w:val="000000"/>
                <w:sz w:val="22"/>
                <w:szCs w:val="22"/>
              </w:rPr>
              <w:t xml:space="preserve"> naudojimo</w:t>
            </w:r>
            <w:r>
              <w:rPr>
                <w:color w:val="000000"/>
                <w:sz w:val="22"/>
                <w:szCs w:val="22"/>
              </w:rPr>
              <w:t xml:space="preserve"> tikslai yra panašūs</w:t>
            </w:r>
            <w:r w:rsidR="00F92BD4">
              <w:rPr>
                <w:color w:val="000000"/>
                <w:sz w:val="22"/>
                <w:szCs w:val="22"/>
              </w:rPr>
              <w:t xml:space="preserve"> ir subjektų veikla finansuojama iš vieno šaltinio</w:t>
            </w:r>
            <w:r w:rsidR="007D261F">
              <w:rPr>
                <w:color w:val="000000"/>
                <w:sz w:val="22"/>
                <w:szCs w:val="22"/>
              </w:rPr>
              <w:t>.</w:t>
            </w:r>
            <w:r>
              <w:rPr>
                <w:color w:val="000000"/>
                <w:sz w:val="22"/>
                <w:szCs w:val="22"/>
              </w:rPr>
              <w:t xml:space="preserve"> </w:t>
            </w:r>
            <w:r w:rsidR="00827186">
              <w:rPr>
                <w:color w:val="000000"/>
                <w:sz w:val="22"/>
                <w:szCs w:val="22"/>
              </w:rPr>
              <w:t>J</w:t>
            </w:r>
            <w:r>
              <w:rPr>
                <w:color w:val="000000"/>
                <w:sz w:val="22"/>
                <w:szCs w:val="22"/>
              </w:rPr>
              <w:t>ei</w:t>
            </w:r>
            <w:r w:rsidR="00827186">
              <w:rPr>
                <w:color w:val="000000"/>
                <w:sz w:val="22"/>
                <w:szCs w:val="22"/>
              </w:rPr>
              <w:t>gu,</w:t>
            </w:r>
            <w:r>
              <w:rPr>
                <w:color w:val="000000"/>
                <w:sz w:val="22"/>
                <w:szCs w:val="22"/>
              </w:rPr>
              <w:t xml:space="preserve"> vadovaujantis V</w:t>
            </w:r>
            <w:r w:rsidRPr="00FB0B3A">
              <w:rPr>
                <w:sz w:val="22"/>
                <w:szCs w:val="22"/>
              </w:rPr>
              <w:t>alstybės informacinių išteklių valdymo įstatymo 29 straipsnio 3 dal</w:t>
            </w:r>
            <w:r>
              <w:rPr>
                <w:sz w:val="22"/>
                <w:szCs w:val="22"/>
              </w:rPr>
              <w:t>imi</w:t>
            </w:r>
            <w:r w:rsidR="00827186">
              <w:rPr>
                <w:sz w:val="22"/>
                <w:szCs w:val="22"/>
              </w:rPr>
              <w:t>,</w:t>
            </w:r>
            <w:r w:rsidRPr="00FB0B3A">
              <w:rPr>
                <w:sz w:val="22"/>
                <w:szCs w:val="22"/>
              </w:rPr>
              <w:t xml:space="preserve"> registro duomenys, registro informacija, registrui pateikti dokumentai ir (arba) jų kopijos neatlygintinai teikiami valstybės ir savivaldybių institucijoms ir įstaigoms </w:t>
            </w:r>
            <w:r w:rsidRPr="003F2070">
              <w:rPr>
                <w:b/>
                <w:bCs/>
                <w:sz w:val="22"/>
                <w:szCs w:val="22"/>
              </w:rPr>
              <w:t>teisės aktuose nustatytoms funkcijoms atlikti</w:t>
            </w:r>
            <w:r>
              <w:rPr>
                <w:sz w:val="22"/>
                <w:szCs w:val="22"/>
              </w:rPr>
              <w:t>, tai nurodyti duomen</w:t>
            </w:r>
            <w:r w:rsidR="00827186">
              <w:rPr>
                <w:sz w:val="22"/>
                <w:szCs w:val="22"/>
              </w:rPr>
              <w:t>y</w:t>
            </w:r>
            <w:r>
              <w:rPr>
                <w:sz w:val="22"/>
                <w:szCs w:val="22"/>
              </w:rPr>
              <w:t>s turėtų būti teikiami ir Įmonei,</w:t>
            </w:r>
            <w:r w:rsidRPr="00FB0B3A">
              <w:rPr>
                <w:sz w:val="22"/>
                <w:szCs w:val="22"/>
              </w:rPr>
              <w:t xml:space="preserve"> </w:t>
            </w:r>
            <w:r>
              <w:rPr>
                <w:sz w:val="22"/>
                <w:szCs w:val="22"/>
              </w:rPr>
              <w:t xml:space="preserve">kuriai </w:t>
            </w:r>
            <w:r w:rsidRPr="003F2070">
              <w:rPr>
                <w:b/>
                <w:bCs/>
                <w:sz w:val="22"/>
                <w:szCs w:val="22"/>
              </w:rPr>
              <w:t>teisės aktais pavesta vykdyti specialiuosius įpareigojimus</w:t>
            </w:r>
            <w:r>
              <w:rPr>
                <w:sz w:val="22"/>
                <w:szCs w:val="22"/>
              </w:rPr>
              <w:t>, kurie sudaro daugia</w:t>
            </w:r>
            <w:r w:rsidR="00827186">
              <w:rPr>
                <w:sz w:val="22"/>
                <w:szCs w:val="22"/>
              </w:rPr>
              <w:t>u</w:t>
            </w:r>
            <w:r>
              <w:rPr>
                <w:sz w:val="22"/>
                <w:szCs w:val="22"/>
              </w:rPr>
              <w:t xml:space="preserve"> </w:t>
            </w:r>
            <w:r w:rsidR="00F92BD4">
              <w:rPr>
                <w:sz w:val="22"/>
                <w:szCs w:val="22"/>
              </w:rPr>
              <w:t>kaip</w:t>
            </w:r>
            <w:r>
              <w:rPr>
                <w:sz w:val="22"/>
                <w:szCs w:val="22"/>
              </w:rPr>
              <w:t xml:space="preserve"> 99 proc. visos veiklos, negeneruoja </w:t>
            </w:r>
            <w:r w:rsidRPr="00531F5F">
              <w:rPr>
                <w:sz w:val="22"/>
                <w:szCs w:val="22"/>
              </w:rPr>
              <w:t>teigiamų pinigų srautų ir finansuojam</w:t>
            </w:r>
            <w:r>
              <w:rPr>
                <w:sz w:val="22"/>
                <w:szCs w:val="22"/>
              </w:rPr>
              <w:t>i</w:t>
            </w:r>
            <w:r w:rsidRPr="00531F5F">
              <w:rPr>
                <w:sz w:val="22"/>
                <w:szCs w:val="22"/>
              </w:rPr>
              <w:t xml:space="preserve"> valstybės lėšomis</w:t>
            </w:r>
            <w:r>
              <w:rPr>
                <w:sz w:val="22"/>
                <w:szCs w:val="22"/>
              </w:rPr>
              <w:t>.</w:t>
            </w:r>
          </w:p>
          <w:p w14:paraId="7239B42E" w14:textId="351B9A03" w:rsidR="003F2070" w:rsidRPr="00F92BD4" w:rsidRDefault="003F2070" w:rsidP="003F2070">
            <w:pPr>
              <w:pStyle w:val="Adresas"/>
              <w:tabs>
                <w:tab w:val="left" w:pos="993"/>
              </w:tabs>
              <w:ind w:right="0"/>
              <w:jc w:val="both"/>
              <w:rPr>
                <w:color w:val="000000"/>
                <w:sz w:val="22"/>
                <w:szCs w:val="22"/>
                <w:lang w:val="en-US"/>
              </w:rPr>
            </w:pPr>
            <w:r>
              <w:rPr>
                <w:color w:val="000000"/>
                <w:sz w:val="22"/>
                <w:szCs w:val="22"/>
              </w:rPr>
              <w:t xml:space="preserve">Energetikos ministerija neturi informacijos, kad Lietuvoje yra kitų valstybės įmonių, kurios </w:t>
            </w:r>
            <w:r w:rsidR="007D261F">
              <w:rPr>
                <w:color w:val="000000"/>
                <w:sz w:val="22"/>
                <w:szCs w:val="22"/>
              </w:rPr>
              <w:t>būtų svarbios nacionaliniam saugumui</w:t>
            </w:r>
            <w:r w:rsidR="005A4052">
              <w:rPr>
                <w:color w:val="000000"/>
                <w:sz w:val="22"/>
                <w:szCs w:val="22"/>
              </w:rPr>
              <w:t xml:space="preserve"> užtikrinti</w:t>
            </w:r>
            <w:r w:rsidR="007D261F">
              <w:rPr>
                <w:color w:val="000000"/>
                <w:sz w:val="22"/>
                <w:szCs w:val="22"/>
              </w:rPr>
              <w:t xml:space="preserve">, </w:t>
            </w:r>
            <w:r>
              <w:rPr>
                <w:color w:val="000000"/>
                <w:sz w:val="22"/>
                <w:szCs w:val="22"/>
              </w:rPr>
              <w:t xml:space="preserve">vienintelės </w:t>
            </w:r>
            <w:r w:rsidR="00F92BD4">
              <w:rPr>
                <w:color w:val="000000"/>
                <w:sz w:val="22"/>
                <w:szCs w:val="22"/>
              </w:rPr>
              <w:t xml:space="preserve">Lietuvoje </w:t>
            </w:r>
            <w:r>
              <w:rPr>
                <w:color w:val="000000"/>
                <w:sz w:val="22"/>
                <w:szCs w:val="22"/>
              </w:rPr>
              <w:t xml:space="preserve">vykdytų tam tikrus </w:t>
            </w:r>
            <w:r w:rsidR="00CD628F">
              <w:rPr>
                <w:color w:val="000000"/>
                <w:sz w:val="22"/>
                <w:szCs w:val="22"/>
              </w:rPr>
              <w:t xml:space="preserve">teisės aktais nustatytus </w:t>
            </w:r>
            <w:r>
              <w:rPr>
                <w:color w:val="000000"/>
                <w:sz w:val="22"/>
                <w:szCs w:val="22"/>
              </w:rPr>
              <w:t>specialiuosius įpareigojimus</w:t>
            </w:r>
            <w:r w:rsidR="007D261F">
              <w:rPr>
                <w:color w:val="000000"/>
                <w:sz w:val="22"/>
                <w:szCs w:val="22"/>
              </w:rPr>
              <w:t xml:space="preserve">, </w:t>
            </w:r>
            <w:r w:rsidR="00B30CEC">
              <w:rPr>
                <w:color w:val="000000"/>
                <w:sz w:val="22"/>
                <w:szCs w:val="22"/>
              </w:rPr>
              <w:t xml:space="preserve">kurie sudarytų pagrindinę įmonės veiklą ir </w:t>
            </w:r>
            <w:r w:rsidR="00F92BD4">
              <w:rPr>
                <w:color w:val="000000"/>
                <w:sz w:val="22"/>
                <w:szCs w:val="22"/>
              </w:rPr>
              <w:t xml:space="preserve">kurių vykdymas </w:t>
            </w:r>
            <w:r w:rsidR="00F939F5">
              <w:rPr>
                <w:color w:val="000000"/>
                <w:sz w:val="22"/>
                <w:szCs w:val="22"/>
              </w:rPr>
              <w:t>daugiausia</w:t>
            </w:r>
            <w:r w:rsidR="00F92BD4">
              <w:rPr>
                <w:color w:val="000000"/>
                <w:sz w:val="22"/>
                <w:szCs w:val="22"/>
              </w:rPr>
              <w:t xml:space="preserve"> būtų finansuojamas valstybės biudžeto lėšomis</w:t>
            </w:r>
            <w:r w:rsidR="00F939F5">
              <w:rPr>
                <w:color w:val="000000"/>
                <w:sz w:val="22"/>
                <w:szCs w:val="22"/>
              </w:rPr>
              <w:t>,</w:t>
            </w:r>
            <w:r w:rsidR="00F92BD4">
              <w:rPr>
                <w:color w:val="000000"/>
                <w:sz w:val="22"/>
                <w:szCs w:val="22"/>
              </w:rPr>
              <w:t xml:space="preserve"> ir </w:t>
            </w:r>
            <w:r w:rsidR="007D261F">
              <w:rPr>
                <w:color w:val="000000"/>
                <w:sz w:val="22"/>
                <w:szCs w:val="22"/>
              </w:rPr>
              <w:t xml:space="preserve">negeneruotų teigiamų pinigų srautų. Todėl </w:t>
            </w:r>
            <w:r w:rsidR="00F92BD4">
              <w:rPr>
                <w:color w:val="000000"/>
                <w:sz w:val="22"/>
                <w:szCs w:val="22"/>
              </w:rPr>
              <w:t>abejotina,</w:t>
            </w:r>
            <w:r w:rsidR="00CD628F">
              <w:rPr>
                <w:color w:val="000000"/>
                <w:sz w:val="22"/>
                <w:szCs w:val="22"/>
              </w:rPr>
              <w:t xml:space="preserve"> kad kitos valstybės įmonės</w:t>
            </w:r>
            <w:r w:rsidR="006F3B47">
              <w:rPr>
                <w:color w:val="000000"/>
                <w:sz w:val="22"/>
                <w:szCs w:val="22"/>
              </w:rPr>
              <w:t xml:space="preserve"> galėtų pagrįsti</w:t>
            </w:r>
            <w:r w:rsidR="00B30CEC">
              <w:rPr>
                <w:color w:val="000000"/>
                <w:sz w:val="22"/>
                <w:szCs w:val="22"/>
              </w:rPr>
              <w:t xml:space="preserve"> prašymą jų veiklai reikalingus registro duomenis</w:t>
            </w:r>
            <w:r w:rsidR="00DA6602">
              <w:rPr>
                <w:color w:val="000000"/>
                <w:sz w:val="22"/>
                <w:szCs w:val="22"/>
              </w:rPr>
              <w:t xml:space="preserve"> gauti neatlygintinai</w:t>
            </w:r>
            <w:r w:rsidR="00B30CEC">
              <w:rPr>
                <w:color w:val="000000"/>
                <w:sz w:val="22"/>
                <w:szCs w:val="22"/>
              </w:rPr>
              <w:t>.</w:t>
            </w:r>
          </w:p>
          <w:p w14:paraId="66F7720F" w14:textId="204DE1E1" w:rsidR="00727BF6" w:rsidRPr="00DB6558" w:rsidRDefault="003F11A4" w:rsidP="00DB6558">
            <w:pPr>
              <w:pStyle w:val="Adresas"/>
              <w:tabs>
                <w:tab w:val="left" w:pos="993"/>
              </w:tabs>
              <w:ind w:right="0"/>
              <w:jc w:val="both"/>
              <w:rPr>
                <w:sz w:val="22"/>
                <w:szCs w:val="22"/>
              </w:rPr>
            </w:pPr>
            <w:r>
              <w:rPr>
                <w:sz w:val="22"/>
                <w:szCs w:val="22"/>
              </w:rPr>
              <w:t>Taip pat man</w:t>
            </w:r>
            <w:r w:rsidR="00F939F5">
              <w:rPr>
                <w:sz w:val="22"/>
                <w:szCs w:val="22"/>
              </w:rPr>
              <w:t>ytina</w:t>
            </w:r>
            <w:r>
              <w:rPr>
                <w:sz w:val="22"/>
                <w:szCs w:val="22"/>
              </w:rPr>
              <w:t>, kad lėšų poreikį Įmonės veiklai reikalingiems registro duomenims gauti kiekvienais metais daryti derybų objekt</w:t>
            </w:r>
            <w:r w:rsidR="00BC0EFA">
              <w:rPr>
                <w:sz w:val="22"/>
                <w:szCs w:val="22"/>
              </w:rPr>
              <w:t>u</w:t>
            </w:r>
            <w:r>
              <w:rPr>
                <w:sz w:val="22"/>
                <w:szCs w:val="22"/>
              </w:rPr>
              <w:t xml:space="preserve"> rengiant ateinančių metų valstybės biudžeto finansinius rodiklius yra neteisinga, nes</w:t>
            </w:r>
            <w:r w:rsidR="00BC0EFA">
              <w:rPr>
                <w:sz w:val="22"/>
                <w:szCs w:val="22"/>
              </w:rPr>
              <w:t xml:space="preserve"> tai neužtikrina, kad Įmonei teisės aktais pavestos funkcijos bus įvykdytos kokybiškai ir laiku.</w:t>
            </w:r>
          </w:p>
        </w:tc>
      </w:tr>
      <w:tr w:rsidR="00CB2A1C" w:rsidRPr="00CB2A1C" w14:paraId="1EFC22A9" w14:textId="77777777" w:rsidTr="001D593B">
        <w:tc>
          <w:tcPr>
            <w:tcW w:w="10060" w:type="dxa"/>
            <w:gridSpan w:val="2"/>
          </w:tcPr>
          <w:p w14:paraId="0E279141" w14:textId="34BA4330" w:rsidR="00CB2A1C" w:rsidRPr="00CB2A1C" w:rsidRDefault="00CB2A1C" w:rsidP="00405685">
            <w:pPr>
              <w:spacing w:before="60" w:after="60"/>
              <w:jc w:val="center"/>
              <w:rPr>
                <w:bCs/>
                <w:sz w:val="22"/>
                <w:szCs w:val="22"/>
              </w:rPr>
            </w:pPr>
            <w:r w:rsidRPr="00CB2A1C">
              <w:rPr>
                <w:bCs/>
                <w:sz w:val="22"/>
                <w:szCs w:val="22"/>
              </w:rPr>
              <w:t>Lietuvos Respublikos vidaus reikalų ministerijos 2021 m. liepos 19 d. raštas Nr. 1D-4166</w:t>
            </w:r>
          </w:p>
        </w:tc>
      </w:tr>
      <w:tr w:rsidR="00CB2A1C" w:rsidRPr="00C52E01" w14:paraId="5D78A2CD" w14:textId="77777777" w:rsidTr="00727BF6">
        <w:tc>
          <w:tcPr>
            <w:tcW w:w="5098" w:type="dxa"/>
          </w:tcPr>
          <w:p w14:paraId="37A32B05" w14:textId="77777777" w:rsidR="00CB2A1C" w:rsidRPr="00CB2A1C" w:rsidRDefault="00CB2A1C" w:rsidP="00DB6558">
            <w:pPr>
              <w:pStyle w:val="Adresas"/>
              <w:ind w:right="33"/>
              <w:jc w:val="both"/>
              <w:rPr>
                <w:sz w:val="22"/>
                <w:szCs w:val="22"/>
              </w:rPr>
            </w:pPr>
            <w:r w:rsidRPr="00CB2A1C">
              <w:rPr>
                <w:sz w:val="22"/>
                <w:szCs w:val="22"/>
              </w:rPr>
              <w:t>Nors ir neprieštaraujame, kad Įmonei registro duomenys, registro informacija, registrui pateikti dokumentai ir (arba) jų kopijos būtų teikiami neatlygintinai, tačiau manome, kad Įmonė neturėtų būti tiesiogiai įvardinta Lietuvos Respublikos valstybės informacinių išteklių valdymo įstatymo 29 straipsnio 3 dalies 3 punkte ir vienai valstybės įmonei neturėtų būti sudaryta išimtis, nes objektyvių kriterijų, kurie ją išskirtų iš kitų valstybės įmonių, nėra.</w:t>
            </w:r>
          </w:p>
          <w:p w14:paraId="482A73D2" w14:textId="09B63297" w:rsidR="00CB2A1C" w:rsidRPr="00C52E01" w:rsidRDefault="00CB2A1C" w:rsidP="00CB2A1C">
            <w:pPr>
              <w:pStyle w:val="Adresas"/>
              <w:ind w:right="33"/>
              <w:jc w:val="both"/>
              <w:rPr>
                <w:sz w:val="22"/>
                <w:szCs w:val="22"/>
              </w:rPr>
            </w:pPr>
            <w:r w:rsidRPr="00CB2A1C">
              <w:rPr>
                <w:sz w:val="22"/>
                <w:szCs w:val="22"/>
              </w:rPr>
              <w:t xml:space="preserve">Siūlome įvertinti galimybę išplėsti neatlygintinai  registro duomenis, registro informaciją, registrui pateiktus dokumentus ir (arba) jų kopijas gaunančių subjektų ratą, nurodant konkrečius kriterijus, kuriuos </w:t>
            </w:r>
            <w:r w:rsidRPr="00CB2A1C">
              <w:rPr>
                <w:sz w:val="22"/>
                <w:szCs w:val="22"/>
              </w:rPr>
              <w:lastRenderedPageBreak/>
              <w:t>atitinkantiems subjektams (pvz., valstybės ar savivaldybės įmonėms, valstybės ar savivaldybės valdomoms bendrovėms, viešosioms įstaigoms, kurių savininkė ar dalininkė yra valstybė ar savivaldybė, ar kt. pagrįsti kriterijai) registro duomenys, registro informacija, registrui pateikti dokumentai ir (arba) jų kopijos būtų teikiami neatlygintinai</w:t>
            </w:r>
          </w:p>
        </w:tc>
        <w:tc>
          <w:tcPr>
            <w:tcW w:w="4962" w:type="dxa"/>
          </w:tcPr>
          <w:p w14:paraId="59C298DE" w14:textId="77777777" w:rsidR="00DB6558" w:rsidRPr="00DB6558" w:rsidRDefault="00DB6558" w:rsidP="009848DA">
            <w:pPr>
              <w:pStyle w:val="Adresas"/>
              <w:tabs>
                <w:tab w:val="left" w:pos="993"/>
              </w:tabs>
              <w:ind w:right="0"/>
              <w:jc w:val="both"/>
              <w:rPr>
                <w:b/>
                <w:bCs/>
                <w:color w:val="000000"/>
                <w:sz w:val="22"/>
                <w:szCs w:val="22"/>
              </w:rPr>
            </w:pPr>
            <w:r w:rsidRPr="00DB6558">
              <w:rPr>
                <w:b/>
                <w:bCs/>
                <w:color w:val="000000"/>
                <w:sz w:val="22"/>
                <w:szCs w:val="22"/>
              </w:rPr>
              <w:lastRenderedPageBreak/>
              <w:t>Neatsižvelgta.</w:t>
            </w:r>
          </w:p>
          <w:p w14:paraId="31879B08" w14:textId="779E7C16" w:rsidR="00405685" w:rsidRDefault="00490670" w:rsidP="009848DA">
            <w:pPr>
              <w:pStyle w:val="Adresas"/>
              <w:tabs>
                <w:tab w:val="left" w:pos="993"/>
              </w:tabs>
              <w:ind w:right="0"/>
              <w:jc w:val="both"/>
              <w:rPr>
                <w:color w:val="000000"/>
                <w:sz w:val="22"/>
                <w:szCs w:val="22"/>
              </w:rPr>
            </w:pPr>
            <w:r>
              <w:rPr>
                <w:color w:val="000000"/>
                <w:sz w:val="22"/>
                <w:szCs w:val="22"/>
              </w:rPr>
              <w:t>Pas</w:t>
            </w:r>
            <w:r w:rsidR="00CC08BA">
              <w:rPr>
                <w:color w:val="000000"/>
                <w:sz w:val="22"/>
                <w:szCs w:val="22"/>
              </w:rPr>
              <w:t xml:space="preserve">iūlymas </w:t>
            </w:r>
            <w:r w:rsidR="00CC08BA" w:rsidRPr="00CC08BA">
              <w:rPr>
                <w:color w:val="000000"/>
                <w:sz w:val="22"/>
                <w:szCs w:val="22"/>
              </w:rPr>
              <w:t xml:space="preserve">numatyti, kad registro duomenys, registro informacija, registrui pateikti dokumentai ir (arba) jų kopijos, be kita ko, neatlygintinai būtų teikiami ir Įmonei teisės aktuose nustatytoms funkcijoms atlikti </w:t>
            </w:r>
            <w:r w:rsidR="00CC08BA">
              <w:rPr>
                <w:color w:val="000000"/>
                <w:sz w:val="22"/>
                <w:szCs w:val="22"/>
              </w:rPr>
              <w:t xml:space="preserve">yra </w:t>
            </w:r>
            <w:r w:rsidR="00CC08BA" w:rsidRPr="00D16402">
              <w:rPr>
                <w:b/>
                <w:bCs/>
                <w:color w:val="000000"/>
                <w:sz w:val="22"/>
                <w:szCs w:val="22"/>
              </w:rPr>
              <w:t>grindžiamas objektyviais kriterijais (jų visuma)</w:t>
            </w:r>
            <w:r w:rsidR="00CC08BA">
              <w:rPr>
                <w:color w:val="000000"/>
                <w:sz w:val="22"/>
                <w:szCs w:val="22"/>
              </w:rPr>
              <w:t xml:space="preserve">: </w:t>
            </w:r>
          </w:p>
          <w:p w14:paraId="20BDB305" w14:textId="45438780" w:rsidR="00CC08BA" w:rsidRDefault="00CC08BA" w:rsidP="00405685">
            <w:pPr>
              <w:pStyle w:val="Adresas"/>
              <w:numPr>
                <w:ilvl w:val="0"/>
                <w:numId w:val="18"/>
              </w:numPr>
              <w:tabs>
                <w:tab w:val="left" w:pos="321"/>
              </w:tabs>
              <w:ind w:left="0" w:right="0" w:firstLine="0"/>
              <w:jc w:val="both"/>
              <w:rPr>
                <w:color w:val="000000"/>
                <w:sz w:val="22"/>
                <w:szCs w:val="22"/>
              </w:rPr>
            </w:pPr>
            <w:r>
              <w:rPr>
                <w:color w:val="000000"/>
                <w:sz w:val="22"/>
                <w:szCs w:val="22"/>
              </w:rPr>
              <w:t>Įmonė ir Įmonės valdomi branduolinės energetikos objektai Ignalinos atominės elektrinės regione yra svarbūs nacionaliniam saugumui</w:t>
            </w:r>
            <w:r w:rsidR="005A4052">
              <w:rPr>
                <w:color w:val="000000"/>
                <w:sz w:val="22"/>
                <w:szCs w:val="22"/>
              </w:rPr>
              <w:t xml:space="preserve"> užtikrinti</w:t>
            </w:r>
            <w:r>
              <w:rPr>
                <w:color w:val="000000"/>
                <w:sz w:val="22"/>
                <w:szCs w:val="22"/>
              </w:rPr>
              <w:t>;</w:t>
            </w:r>
          </w:p>
          <w:p w14:paraId="3BD32170" w14:textId="0D543239" w:rsidR="00405685" w:rsidRDefault="00CC08BA" w:rsidP="00405685">
            <w:pPr>
              <w:pStyle w:val="Adresas"/>
              <w:numPr>
                <w:ilvl w:val="0"/>
                <w:numId w:val="18"/>
              </w:numPr>
              <w:tabs>
                <w:tab w:val="left" w:pos="321"/>
              </w:tabs>
              <w:ind w:left="0" w:right="0" w:firstLine="0"/>
              <w:jc w:val="both"/>
              <w:rPr>
                <w:color w:val="000000"/>
                <w:sz w:val="22"/>
                <w:szCs w:val="22"/>
              </w:rPr>
            </w:pPr>
            <w:r w:rsidRPr="00405685">
              <w:rPr>
                <w:color w:val="000000"/>
                <w:sz w:val="22"/>
                <w:szCs w:val="22"/>
              </w:rPr>
              <w:t xml:space="preserve">Stojimo į Europos Sąjungą metu buvo priimtas nuo Įmonės veiksmų nepriklausantis politinis sprendimas galutinai sustabdyti Ignalinos atominės elektrinės </w:t>
            </w:r>
            <w:r w:rsidRPr="00405685">
              <w:rPr>
                <w:color w:val="000000"/>
                <w:sz w:val="22"/>
                <w:szCs w:val="22"/>
              </w:rPr>
              <w:lastRenderedPageBreak/>
              <w:t xml:space="preserve">pirmąjį ir antrąjį energijos blokus, t. y. Įmonei nebuvo suteikta galimybė sukaupti reikiamas lėšas </w:t>
            </w:r>
            <w:r w:rsidR="00405685">
              <w:rPr>
                <w:color w:val="000000"/>
                <w:sz w:val="22"/>
                <w:szCs w:val="22"/>
              </w:rPr>
              <w:t>elektrinės</w:t>
            </w:r>
            <w:r w:rsidRPr="00405685">
              <w:rPr>
                <w:color w:val="000000"/>
                <w:sz w:val="22"/>
                <w:szCs w:val="22"/>
              </w:rPr>
              <w:t xml:space="preserve"> eksploatavimui nutraukti</w:t>
            </w:r>
            <w:r w:rsidR="00405685">
              <w:rPr>
                <w:color w:val="000000"/>
                <w:sz w:val="22"/>
                <w:szCs w:val="22"/>
              </w:rPr>
              <w:t xml:space="preserve"> ir radioaktyviosioms atliekoms tvarkyti (šiuo metu tai pagrindinė teisės aktais Įmonei pavesta veikla, finansuojama tarptautinės paramos ir valstybės lėšomis);</w:t>
            </w:r>
          </w:p>
          <w:p w14:paraId="72F0E2EC" w14:textId="1E3E65F5" w:rsidR="00405685" w:rsidRDefault="00405685" w:rsidP="00405685">
            <w:pPr>
              <w:pStyle w:val="Adresas"/>
              <w:numPr>
                <w:ilvl w:val="0"/>
                <w:numId w:val="18"/>
              </w:numPr>
              <w:tabs>
                <w:tab w:val="left" w:pos="321"/>
              </w:tabs>
              <w:ind w:left="0" w:right="0" w:firstLine="0"/>
              <w:jc w:val="both"/>
              <w:rPr>
                <w:color w:val="000000"/>
                <w:sz w:val="22"/>
                <w:szCs w:val="22"/>
              </w:rPr>
            </w:pPr>
            <w:r>
              <w:rPr>
                <w:color w:val="000000"/>
                <w:sz w:val="22"/>
                <w:szCs w:val="22"/>
              </w:rPr>
              <w:t>Įmonė yra vienintelė branduolinės energetikos objektų eksploatavimą, eksploatavimo nutraukimą ir radioaktyviųjų atliekų tvarkymą Lietuvos teritorijoje vykdytoja, t. y. ji nekonkuruoja su kitomis įmonėmis;</w:t>
            </w:r>
          </w:p>
          <w:p w14:paraId="5453C0E7" w14:textId="77777777" w:rsidR="005A4052" w:rsidRDefault="005A4052" w:rsidP="00405685">
            <w:pPr>
              <w:pStyle w:val="Adresas"/>
              <w:numPr>
                <w:ilvl w:val="0"/>
                <w:numId w:val="18"/>
              </w:numPr>
              <w:tabs>
                <w:tab w:val="left" w:pos="321"/>
              </w:tabs>
              <w:ind w:left="0" w:right="0" w:firstLine="0"/>
              <w:jc w:val="both"/>
              <w:rPr>
                <w:color w:val="000000"/>
                <w:sz w:val="22"/>
                <w:szCs w:val="22"/>
              </w:rPr>
            </w:pPr>
            <w:r w:rsidRPr="005A4052">
              <w:rPr>
                <w:color w:val="000000"/>
                <w:sz w:val="22"/>
                <w:szCs w:val="22"/>
              </w:rPr>
              <w:t>Įmonės vykdoma pagrindinė veikla negeneruoja teigiamų pinigų srautų</w:t>
            </w:r>
            <w:r>
              <w:rPr>
                <w:color w:val="000000"/>
                <w:sz w:val="22"/>
                <w:szCs w:val="22"/>
              </w:rPr>
              <w:t>;</w:t>
            </w:r>
          </w:p>
          <w:p w14:paraId="593B81EA" w14:textId="6B0AB306" w:rsidR="005A4052" w:rsidRDefault="005A4052" w:rsidP="00405685">
            <w:pPr>
              <w:pStyle w:val="Adresas"/>
              <w:numPr>
                <w:ilvl w:val="0"/>
                <w:numId w:val="18"/>
              </w:numPr>
              <w:tabs>
                <w:tab w:val="left" w:pos="321"/>
              </w:tabs>
              <w:ind w:left="0" w:right="0" w:firstLine="0"/>
              <w:jc w:val="both"/>
              <w:rPr>
                <w:color w:val="000000"/>
                <w:sz w:val="22"/>
                <w:szCs w:val="22"/>
              </w:rPr>
            </w:pPr>
            <w:r w:rsidRPr="005A4052">
              <w:rPr>
                <w:color w:val="000000"/>
                <w:sz w:val="22"/>
                <w:szCs w:val="22"/>
              </w:rPr>
              <w:t xml:space="preserve">Įmonė negauna pajamų, kurios galėtų būti naudojamos registrų tvarkytojams </w:t>
            </w:r>
            <w:r w:rsidR="00C718C1" w:rsidRPr="005A4052">
              <w:rPr>
                <w:color w:val="000000"/>
                <w:sz w:val="22"/>
                <w:szCs w:val="22"/>
              </w:rPr>
              <w:t xml:space="preserve">atlyginti </w:t>
            </w:r>
            <w:r w:rsidRPr="005A4052">
              <w:rPr>
                <w:color w:val="000000"/>
                <w:sz w:val="22"/>
                <w:szCs w:val="22"/>
              </w:rPr>
              <w:t>už informacijos, reikalingos Įmonės pagrindinei veiklai vykdyti, gavimą</w:t>
            </w:r>
            <w:r>
              <w:rPr>
                <w:color w:val="000000"/>
                <w:sz w:val="22"/>
                <w:szCs w:val="22"/>
              </w:rPr>
              <w:t>;</w:t>
            </w:r>
          </w:p>
          <w:p w14:paraId="6FB3106E" w14:textId="48C541B9" w:rsidR="005A4052" w:rsidRDefault="005A4052" w:rsidP="00405685">
            <w:pPr>
              <w:pStyle w:val="Adresas"/>
              <w:numPr>
                <w:ilvl w:val="0"/>
                <w:numId w:val="18"/>
              </w:numPr>
              <w:tabs>
                <w:tab w:val="left" w:pos="321"/>
              </w:tabs>
              <w:ind w:left="0" w:right="0" w:firstLine="0"/>
              <w:jc w:val="both"/>
              <w:rPr>
                <w:color w:val="000000"/>
                <w:sz w:val="22"/>
                <w:szCs w:val="22"/>
              </w:rPr>
            </w:pPr>
            <w:r>
              <w:rPr>
                <w:color w:val="000000"/>
                <w:sz w:val="22"/>
                <w:szCs w:val="22"/>
              </w:rPr>
              <w:t xml:space="preserve">Energetikos ministerija </w:t>
            </w:r>
            <w:r w:rsidRPr="005A4052">
              <w:rPr>
                <w:color w:val="000000"/>
                <w:sz w:val="22"/>
                <w:szCs w:val="22"/>
              </w:rPr>
              <w:t>neplanuoja perleisti viso ar dalies Įmonės turto privačiam subjektui (tai yra reorganizuoti įmonę) arba leisti investuoti į Įmonę privačiam subjektui norint gauti pajamų, tai yra Įmonės savininkas nebus keičiamas</w:t>
            </w:r>
            <w:r>
              <w:rPr>
                <w:color w:val="000000"/>
                <w:sz w:val="22"/>
                <w:szCs w:val="22"/>
              </w:rPr>
              <w:t>.</w:t>
            </w:r>
          </w:p>
          <w:p w14:paraId="61C97596" w14:textId="243B3DCE" w:rsidR="005A4052" w:rsidRPr="00C826CC" w:rsidRDefault="005A4052" w:rsidP="005A4052">
            <w:pPr>
              <w:pStyle w:val="Adresas"/>
              <w:tabs>
                <w:tab w:val="left" w:pos="321"/>
              </w:tabs>
              <w:ind w:right="0"/>
              <w:jc w:val="both"/>
              <w:rPr>
                <w:color w:val="000000"/>
                <w:sz w:val="22"/>
                <w:szCs w:val="22"/>
              </w:rPr>
            </w:pPr>
            <w:r>
              <w:rPr>
                <w:color w:val="000000"/>
                <w:sz w:val="22"/>
                <w:szCs w:val="22"/>
              </w:rPr>
              <w:t xml:space="preserve">Manome, kad pasiūlytas galimas kriterijus, pagal kurį būtų leista neatlygintinai gauti </w:t>
            </w:r>
            <w:r w:rsidR="00D16402">
              <w:rPr>
                <w:color w:val="000000"/>
                <w:sz w:val="22"/>
                <w:szCs w:val="22"/>
              </w:rPr>
              <w:t xml:space="preserve">registro tvarkytojo </w:t>
            </w:r>
            <w:r>
              <w:rPr>
                <w:color w:val="000000"/>
                <w:sz w:val="22"/>
                <w:szCs w:val="22"/>
              </w:rPr>
              <w:t>duomenis pakartotiniam naudojimui (</w:t>
            </w:r>
            <w:r w:rsidRPr="00D16402">
              <w:rPr>
                <w:i/>
                <w:iCs/>
                <w:sz w:val="22"/>
                <w:szCs w:val="22"/>
              </w:rPr>
              <w:t xml:space="preserve">valstybės ar savivaldybės įmonėms, valstybės ar savivaldybės valdomoms </w:t>
            </w:r>
            <w:r w:rsidRPr="00C826CC">
              <w:rPr>
                <w:i/>
                <w:iCs/>
                <w:sz w:val="22"/>
                <w:szCs w:val="22"/>
              </w:rPr>
              <w:t>bendrovėms, viešosioms įstaigoms, kurių savininkė ar dalininkė yra valstybė ar savivaldybė</w:t>
            </w:r>
            <w:r w:rsidR="00D16402" w:rsidRPr="00C826CC">
              <w:rPr>
                <w:sz w:val="22"/>
                <w:szCs w:val="22"/>
              </w:rPr>
              <w:t>)</w:t>
            </w:r>
            <w:r w:rsidR="00FB57AF">
              <w:rPr>
                <w:sz w:val="22"/>
                <w:szCs w:val="22"/>
              </w:rPr>
              <w:t>,</w:t>
            </w:r>
            <w:r w:rsidR="00D16402" w:rsidRPr="00C826CC">
              <w:rPr>
                <w:sz w:val="22"/>
                <w:szCs w:val="22"/>
              </w:rPr>
              <w:t xml:space="preserve"> prieštarauja </w:t>
            </w:r>
            <w:r w:rsidR="00C826CC">
              <w:rPr>
                <w:sz w:val="22"/>
                <w:szCs w:val="22"/>
              </w:rPr>
              <w:t>Lietuvos Respublikos k</w:t>
            </w:r>
            <w:r w:rsidR="00C826CC" w:rsidRPr="00C826CC">
              <w:rPr>
                <w:sz w:val="22"/>
                <w:szCs w:val="22"/>
              </w:rPr>
              <w:t xml:space="preserve">onkurencijos </w:t>
            </w:r>
            <w:r w:rsidR="00C826CC">
              <w:rPr>
                <w:sz w:val="22"/>
                <w:szCs w:val="22"/>
              </w:rPr>
              <w:t>į</w:t>
            </w:r>
            <w:r w:rsidR="00C826CC" w:rsidRPr="00C826CC">
              <w:rPr>
                <w:sz w:val="22"/>
                <w:szCs w:val="22"/>
              </w:rPr>
              <w:t>statym</w:t>
            </w:r>
            <w:r w:rsidR="009D005F">
              <w:rPr>
                <w:sz w:val="22"/>
                <w:szCs w:val="22"/>
              </w:rPr>
              <w:t>o 4 straipsni</w:t>
            </w:r>
            <w:r w:rsidR="00C826CC" w:rsidRPr="00C826CC">
              <w:rPr>
                <w:sz w:val="22"/>
                <w:szCs w:val="22"/>
              </w:rPr>
              <w:t>ui, tai yra teik</w:t>
            </w:r>
            <w:r w:rsidR="00C826CC">
              <w:rPr>
                <w:sz w:val="22"/>
                <w:szCs w:val="22"/>
              </w:rPr>
              <w:t>s</w:t>
            </w:r>
            <w:r w:rsidR="00C826CC" w:rsidRPr="00C826CC">
              <w:rPr>
                <w:sz w:val="22"/>
                <w:szCs w:val="22"/>
              </w:rPr>
              <w:t xml:space="preserve"> privilegijas arba diskriminuo</w:t>
            </w:r>
            <w:r w:rsidR="00C826CC">
              <w:rPr>
                <w:sz w:val="22"/>
                <w:szCs w:val="22"/>
              </w:rPr>
              <w:t>s</w:t>
            </w:r>
            <w:r w:rsidR="00C826CC" w:rsidRPr="00C826CC">
              <w:rPr>
                <w:sz w:val="22"/>
                <w:szCs w:val="22"/>
              </w:rPr>
              <w:t xml:space="preserve"> atskirus ūkio subjektus ar jų grupes</w:t>
            </w:r>
            <w:r w:rsidR="00C826CC">
              <w:rPr>
                <w:sz w:val="22"/>
                <w:szCs w:val="22"/>
              </w:rPr>
              <w:t>, dėl pasiūlyto kriterijaus atsiras</w:t>
            </w:r>
            <w:r w:rsidR="00C826CC" w:rsidRPr="00C826CC">
              <w:rPr>
                <w:sz w:val="22"/>
                <w:szCs w:val="22"/>
              </w:rPr>
              <w:t xml:space="preserve"> konkurencijos sąlygų skirtum</w:t>
            </w:r>
            <w:r w:rsidR="00C826CC">
              <w:rPr>
                <w:sz w:val="22"/>
                <w:szCs w:val="22"/>
              </w:rPr>
              <w:t>ai</w:t>
            </w:r>
            <w:r w:rsidR="00C826CC" w:rsidRPr="00C826CC">
              <w:rPr>
                <w:sz w:val="22"/>
                <w:szCs w:val="22"/>
              </w:rPr>
              <w:t xml:space="preserve"> atitinkamoje rinkoje konkuruojantiems ūkio subjektams</w:t>
            </w:r>
            <w:r w:rsidR="009D005F">
              <w:rPr>
                <w:sz w:val="22"/>
                <w:szCs w:val="22"/>
              </w:rPr>
              <w:t>.</w:t>
            </w:r>
          </w:p>
          <w:p w14:paraId="10AA8855" w14:textId="495509BD" w:rsidR="00CB2A1C" w:rsidRDefault="00C718C1" w:rsidP="00D90AF0">
            <w:pPr>
              <w:pStyle w:val="Adresas"/>
              <w:tabs>
                <w:tab w:val="left" w:pos="321"/>
              </w:tabs>
              <w:ind w:right="0"/>
              <w:jc w:val="both"/>
              <w:rPr>
                <w:color w:val="000000"/>
                <w:sz w:val="22"/>
                <w:szCs w:val="22"/>
              </w:rPr>
            </w:pPr>
            <w:r>
              <w:rPr>
                <w:color w:val="000000"/>
                <w:sz w:val="22"/>
                <w:szCs w:val="22"/>
              </w:rPr>
              <w:t>Jei</w:t>
            </w:r>
            <w:r w:rsidR="00490670">
              <w:rPr>
                <w:color w:val="000000"/>
                <w:sz w:val="22"/>
                <w:szCs w:val="22"/>
              </w:rPr>
              <w:t>gu</w:t>
            </w:r>
            <w:r>
              <w:rPr>
                <w:color w:val="000000"/>
                <w:sz w:val="22"/>
                <w:szCs w:val="22"/>
              </w:rPr>
              <w:t xml:space="preserve"> Vidaus reikalų ministerija ir Ekonomikos ir inovacijų ministerija, kurių koordinavimo sričiai priklauso tam tikrų registro tvarkytojų veikla, mano, kad turi būti išplėstas</w:t>
            </w:r>
            <w:r w:rsidR="005E116B">
              <w:t xml:space="preserve"> </w:t>
            </w:r>
            <w:r w:rsidR="005E116B" w:rsidRPr="005E116B">
              <w:rPr>
                <w:color w:val="000000"/>
                <w:sz w:val="22"/>
                <w:szCs w:val="22"/>
              </w:rPr>
              <w:t>neatlygintinai registro duomenis</w:t>
            </w:r>
            <w:r w:rsidR="005E116B">
              <w:rPr>
                <w:color w:val="000000"/>
                <w:sz w:val="22"/>
                <w:szCs w:val="22"/>
              </w:rPr>
              <w:t xml:space="preserve"> ir kitą</w:t>
            </w:r>
            <w:r w:rsidR="005E116B" w:rsidRPr="005E116B">
              <w:rPr>
                <w:color w:val="000000"/>
                <w:sz w:val="22"/>
                <w:szCs w:val="22"/>
              </w:rPr>
              <w:t xml:space="preserve"> informaciją</w:t>
            </w:r>
            <w:r w:rsidR="005E116B">
              <w:rPr>
                <w:color w:val="000000"/>
                <w:sz w:val="22"/>
                <w:szCs w:val="22"/>
              </w:rPr>
              <w:t xml:space="preserve"> </w:t>
            </w:r>
            <w:r w:rsidR="005E116B" w:rsidRPr="005E116B">
              <w:rPr>
                <w:color w:val="000000"/>
                <w:sz w:val="22"/>
                <w:szCs w:val="22"/>
              </w:rPr>
              <w:t>gaunančių subjektų rat</w:t>
            </w:r>
            <w:r>
              <w:rPr>
                <w:color w:val="000000"/>
                <w:sz w:val="22"/>
                <w:szCs w:val="22"/>
              </w:rPr>
              <w:t>as, siūlome šioms institucijoms atlikti galimų kriterijų</w:t>
            </w:r>
            <w:r w:rsidR="005E116B">
              <w:rPr>
                <w:color w:val="000000"/>
                <w:sz w:val="22"/>
                <w:szCs w:val="22"/>
              </w:rPr>
              <w:t xml:space="preserve">, </w:t>
            </w:r>
            <w:r>
              <w:rPr>
                <w:color w:val="000000"/>
                <w:sz w:val="22"/>
                <w:szCs w:val="22"/>
              </w:rPr>
              <w:t xml:space="preserve">pagal kurios </w:t>
            </w:r>
            <w:r w:rsidR="0091733D">
              <w:rPr>
                <w:color w:val="000000"/>
                <w:sz w:val="22"/>
                <w:szCs w:val="22"/>
              </w:rPr>
              <w:t>registrų tvarkytojų duomenys ir kita informacija galėtų būti neatlygintinai suteikta subjektams jiems teisės aktuose ir (ar) kitoms nustatytoms funkcijoms įgyvendinti ir prireikus parengti V</w:t>
            </w:r>
            <w:r w:rsidR="0091733D" w:rsidRPr="00C52E01">
              <w:rPr>
                <w:sz w:val="22"/>
                <w:szCs w:val="22"/>
              </w:rPr>
              <w:t>alstybės informacinių išteklių valdymo įstatym</w:t>
            </w:r>
            <w:r w:rsidR="0091733D">
              <w:rPr>
                <w:sz w:val="22"/>
                <w:szCs w:val="22"/>
              </w:rPr>
              <w:t>o pakeitimo įstatymo projektą.</w:t>
            </w:r>
            <w:r w:rsidR="005E116B">
              <w:rPr>
                <w:color w:val="000000"/>
                <w:sz w:val="22"/>
                <w:szCs w:val="22"/>
              </w:rPr>
              <w:t xml:space="preserve"> </w:t>
            </w:r>
          </w:p>
          <w:p w14:paraId="1FAA25CB" w14:textId="6AC92500" w:rsidR="005818F3" w:rsidRPr="00D90AF0" w:rsidRDefault="005818F3" w:rsidP="00D90AF0">
            <w:pPr>
              <w:pStyle w:val="Adresas"/>
              <w:tabs>
                <w:tab w:val="left" w:pos="321"/>
              </w:tabs>
              <w:ind w:right="0"/>
              <w:jc w:val="both"/>
              <w:rPr>
                <w:color w:val="000000"/>
                <w:sz w:val="22"/>
                <w:szCs w:val="22"/>
              </w:rPr>
            </w:pPr>
            <w:r>
              <w:rPr>
                <w:color w:val="000000"/>
                <w:sz w:val="22"/>
                <w:szCs w:val="22"/>
              </w:rPr>
              <w:t>Taip pat prašome susipažinti su argumentais, kodėl neatsižvelgta į kitų institucijų pastabas.</w:t>
            </w:r>
          </w:p>
        </w:tc>
      </w:tr>
    </w:tbl>
    <w:p w14:paraId="0D97AB65" w14:textId="77777777" w:rsidR="00774769" w:rsidRDefault="00774769"/>
    <w:p w14:paraId="0E96F5FF" w14:textId="77777777" w:rsidR="003F6C74" w:rsidRDefault="003F6C74" w:rsidP="003F6C74">
      <w:pPr>
        <w:jc w:val="center"/>
      </w:pPr>
      <w:r>
        <w:t>_____________________________</w:t>
      </w:r>
    </w:p>
    <w:sectPr w:rsidR="003F6C74" w:rsidSect="002575D6">
      <w:headerReference w:type="default" r:id="rId11"/>
      <w:pgSz w:w="11906" w:h="16838"/>
      <w:pgMar w:top="1134" w:right="680" w:bottom="96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0B97" w14:textId="77777777" w:rsidR="006B785F" w:rsidRDefault="006B785F" w:rsidP="003F6C74">
      <w:r>
        <w:separator/>
      </w:r>
    </w:p>
  </w:endnote>
  <w:endnote w:type="continuationSeparator" w:id="0">
    <w:p w14:paraId="2DFB64BD" w14:textId="77777777" w:rsidR="006B785F" w:rsidRDefault="006B785F" w:rsidP="003F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84E7" w14:textId="77777777" w:rsidR="006B785F" w:rsidRDefault="006B785F" w:rsidP="003F6C74">
      <w:r>
        <w:separator/>
      </w:r>
    </w:p>
  </w:footnote>
  <w:footnote w:type="continuationSeparator" w:id="0">
    <w:p w14:paraId="45F628A7" w14:textId="77777777" w:rsidR="006B785F" w:rsidRDefault="006B785F" w:rsidP="003F6C74">
      <w:r>
        <w:continuationSeparator/>
      </w:r>
    </w:p>
  </w:footnote>
  <w:footnote w:id="1">
    <w:p w14:paraId="0C06FF1A" w14:textId="23FB1143" w:rsidR="00A97A3A" w:rsidRDefault="006523C6">
      <w:pPr>
        <w:pStyle w:val="FootnoteText"/>
      </w:pPr>
      <w:r>
        <w:rPr>
          <w:rStyle w:val="FootnoteReference"/>
        </w:rPr>
        <w:footnoteRef/>
      </w:r>
      <w:r>
        <w:t xml:space="preserve"> Lietuvos Respublikos branduolinės energijos įstatymas, Lietuvos Respublikos branduolinės saugos įstatymas, Lietuvos Respublikos radioaktyviųjų atliekų tvarkymo įstatymas, Lietuvos Respublikos Ignalinos atominės elektrinės eksploatavimo nutraukimo įstatymas, </w:t>
      </w:r>
      <w:r w:rsidR="00A97A3A">
        <w:t>Lietuvos Respublikos Vyriausybės 2021 m. vasario 3 d. nutarimas Nr. 76 „Dėl 2021–2030 metų branduolinės energetikos objektų eksploatavimo nutraukimo ir radioaktyviųjų atliekų tvarkymo plėtros programos patvirtinimo“.</w:t>
      </w:r>
    </w:p>
  </w:footnote>
  <w:footnote w:id="2">
    <w:p w14:paraId="43D83F18" w14:textId="0EF4845D" w:rsidR="00785289" w:rsidRDefault="00785289">
      <w:pPr>
        <w:pStyle w:val="FootnoteText"/>
      </w:pPr>
      <w:r>
        <w:rPr>
          <w:rStyle w:val="FootnoteReference"/>
        </w:rPr>
        <w:footnoteRef/>
      </w:r>
      <w:r>
        <w:t xml:space="preserve"> </w:t>
      </w:r>
      <w:r w:rsidR="00A97A3A">
        <w:t xml:space="preserve">Vadovaujantis </w:t>
      </w:r>
      <w:r w:rsidR="00A97A3A" w:rsidRPr="00A97A3A">
        <w:t>Lietuvos Respublikos valstybės informacinių išteklių valdymo įstatym</w:t>
      </w:r>
      <w:r w:rsidR="00A97A3A">
        <w:t>o 1 straipsnio 1 dalimi ir 2 dalies 4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C65A" w14:textId="77777777" w:rsidR="00BB34CA" w:rsidRDefault="00BB34CA" w:rsidP="00871BDB">
    <w:pPr>
      <w:pStyle w:val="Header"/>
      <w:jc w:val="center"/>
    </w:pPr>
    <w:r>
      <w:fldChar w:fldCharType="begin"/>
    </w:r>
    <w:r>
      <w:instrText xml:space="preserve"> PAGE   \* MERGEFORMAT </w:instrText>
    </w:r>
    <w:r>
      <w:fldChar w:fldCharType="separate"/>
    </w:r>
    <w:r w:rsidR="00A9370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3251"/>
    <w:multiLevelType w:val="hybridMultilevel"/>
    <w:tmpl w:val="8E84F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5188C"/>
    <w:multiLevelType w:val="hybridMultilevel"/>
    <w:tmpl w:val="B96CE458"/>
    <w:lvl w:ilvl="0" w:tplc="097ACD22">
      <w:start w:val="1"/>
      <w:numFmt w:val="decimal"/>
      <w:lvlText w:val="%1."/>
      <w:lvlJc w:val="left"/>
      <w:pPr>
        <w:ind w:left="502"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4F075D"/>
    <w:multiLevelType w:val="multilevel"/>
    <w:tmpl w:val="2F96DA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3A237BE"/>
    <w:multiLevelType w:val="multilevel"/>
    <w:tmpl w:val="81B6BA4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50323D8"/>
    <w:multiLevelType w:val="hybridMultilevel"/>
    <w:tmpl w:val="CED8BBE2"/>
    <w:lvl w:ilvl="0" w:tplc="A5CACD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A4123"/>
    <w:multiLevelType w:val="hybridMultilevel"/>
    <w:tmpl w:val="574EE0AE"/>
    <w:lvl w:ilvl="0" w:tplc="DA98AD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FD527CA"/>
    <w:multiLevelType w:val="hybridMultilevel"/>
    <w:tmpl w:val="88ACA29A"/>
    <w:lvl w:ilvl="0" w:tplc="03B0CB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DA354C"/>
    <w:multiLevelType w:val="hybridMultilevel"/>
    <w:tmpl w:val="D5E8DE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D60927"/>
    <w:multiLevelType w:val="hybridMultilevel"/>
    <w:tmpl w:val="49E678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7F787E"/>
    <w:multiLevelType w:val="hybridMultilevel"/>
    <w:tmpl w:val="204202CC"/>
    <w:lvl w:ilvl="0" w:tplc="A202B6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1C4304"/>
    <w:multiLevelType w:val="multilevel"/>
    <w:tmpl w:val="64C8CAD2"/>
    <w:lvl w:ilvl="0">
      <w:start w:val="1"/>
      <w:numFmt w:val="lowerLetter"/>
      <w:lvlText w:val="%1)"/>
      <w:lvlJc w:val="left"/>
      <w:pPr>
        <w:ind w:left="720" w:hanging="360"/>
      </w:pPr>
      <w:rPr>
        <w:rFonts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417D0CB1"/>
    <w:multiLevelType w:val="hybridMultilevel"/>
    <w:tmpl w:val="AE404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AB7FA1"/>
    <w:multiLevelType w:val="hybridMultilevel"/>
    <w:tmpl w:val="05887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A97F32"/>
    <w:multiLevelType w:val="hybridMultilevel"/>
    <w:tmpl w:val="8AB49B18"/>
    <w:lvl w:ilvl="0" w:tplc="0E1A3FEC">
      <w:start w:val="1"/>
      <w:numFmt w:val="decimal"/>
      <w:lvlText w:val="%1."/>
      <w:lvlJc w:val="left"/>
      <w:pPr>
        <w:ind w:left="502" w:hanging="360"/>
      </w:pPr>
      <w:rPr>
        <w:rFonts w:ascii="Times New Roman" w:hAnsi="Times New Roman" w:cs="Times New Roman" w:hint="default"/>
        <w:sz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4DF7378B"/>
    <w:multiLevelType w:val="hybridMultilevel"/>
    <w:tmpl w:val="B41C378C"/>
    <w:lvl w:ilvl="0" w:tplc="9A0898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4938B5"/>
    <w:multiLevelType w:val="multilevel"/>
    <w:tmpl w:val="6B587A66"/>
    <w:lvl w:ilvl="0">
      <w:start w:val="1"/>
      <w:numFmt w:val="decimal"/>
      <w:lvlText w:val="%1."/>
      <w:lvlJc w:val="left"/>
      <w:pPr>
        <w:ind w:left="72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C4A1F2A"/>
    <w:multiLevelType w:val="hybridMultilevel"/>
    <w:tmpl w:val="812ABB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BB4DE0"/>
    <w:multiLevelType w:val="hybridMultilevel"/>
    <w:tmpl w:val="35BA7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3"/>
  </w:num>
  <w:num w:numId="3">
    <w:abstractNumId w:val="16"/>
  </w:num>
  <w:num w:numId="4">
    <w:abstractNumId w:val="1"/>
  </w:num>
  <w:num w:numId="5">
    <w:abstractNumId w:val="9"/>
  </w:num>
  <w:num w:numId="6">
    <w:abstractNumId w:val="4"/>
  </w:num>
  <w:num w:numId="7">
    <w:abstractNumId w:val="14"/>
  </w:num>
  <w:num w:numId="8">
    <w:abstractNumId w:val="6"/>
  </w:num>
  <w:num w:numId="9">
    <w:abstractNumId w:val="15"/>
  </w:num>
  <w:num w:numId="10">
    <w:abstractNumId w:val="10"/>
  </w:num>
  <w:num w:numId="11">
    <w:abstractNumId w:val="0"/>
  </w:num>
  <w:num w:numId="12">
    <w:abstractNumId w:val="11"/>
  </w:num>
  <w:num w:numId="13">
    <w:abstractNumId w:val="2"/>
  </w:num>
  <w:num w:numId="14">
    <w:abstractNumId w:val="3"/>
  </w:num>
  <w:num w:numId="15">
    <w:abstractNumId w:val="12"/>
  </w:num>
  <w:num w:numId="16">
    <w:abstractNumId w:val="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69"/>
    <w:rsid w:val="00023850"/>
    <w:rsid w:val="000410E1"/>
    <w:rsid w:val="00042FD8"/>
    <w:rsid w:val="00044BCF"/>
    <w:rsid w:val="00045F1B"/>
    <w:rsid w:val="00047E2F"/>
    <w:rsid w:val="000504BC"/>
    <w:rsid w:val="00055142"/>
    <w:rsid w:val="000763B3"/>
    <w:rsid w:val="000931F2"/>
    <w:rsid w:val="000942D4"/>
    <w:rsid w:val="000A1C0E"/>
    <w:rsid w:val="000A463E"/>
    <w:rsid w:val="000B4E8F"/>
    <w:rsid w:val="000B5D1B"/>
    <w:rsid w:val="00100321"/>
    <w:rsid w:val="00103331"/>
    <w:rsid w:val="00110F40"/>
    <w:rsid w:val="0011646C"/>
    <w:rsid w:val="00124092"/>
    <w:rsid w:val="001331DF"/>
    <w:rsid w:val="001368D3"/>
    <w:rsid w:val="0015664C"/>
    <w:rsid w:val="00171180"/>
    <w:rsid w:val="00174793"/>
    <w:rsid w:val="00185E65"/>
    <w:rsid w:val="00196298"/>
    <w:rsid w:val="001A3E39"/>
    <w:rsid w:val="001A756F"/>
    <w:rsid w:val="001B208D"/>
    <w:rsid w:val="001B4E0B"/>
    <w:rsid w:val="001D6F16"/>
    <w:rsid w:val="001F0B16"/>
    <w:rsid w:val="001F6730"/>
    <w:rsid w:val="002004E9"/>
    <w:rsid w:val="00201D70"/>
    <w:rsid w:val="00212211"/>
    <w:rsid w:val="002154CF"/>
    <w:rsid w:val="00216726"/>
    <w:rsid w:val="00223886"/>
    <w:rsid w:val="00224348"/>
    <w:rsid w:val="0022780A"/>
    <w:rsid w:val="002354B5"/>
    <w:rsid w:val="00235F64"/>
    <w:rsid w:val="002575D6"/>
    <w:rsid w:val="002750E7"/>
    <w:rsid w:val="002776AF"/>
    <w:rsid w:val="0028421A"/>
    <w:rsid w:val="002847C8"/>
    <w:rsid w:val="00291DA1"/>
    <w:rsid w:val="00294779"/>
    <w:rsid w:val="002957CC"/>
    <w:rsid w:val="002A6C14"/>
    <w:rsid w:val="002A7F62"/>
    <w:rsid w:val="002C0AEB"/>
    <w:rsid w:val="002C71A3"/>
    <w:rsid w:val="002D0D88"/>
    <w:rsid w:val="002D458E"/>
    <w:rsid w:val="002D6CFC"/>
    <w:rsid w:val="002E0AE0"/>
    <w:rsid w:val="002E3C8E"/>
    <w:rsid w:val="002F41FC"/>
    <w:rsid w:val="003114DF"/>
    <w:rsid w:val="00313C2A"/>
    <w:rsid w:val="00321D69"/>
    <w:rsid w:val="003249EC"/>
    <w:rsid w:val="00327CF3"/>
    <w:rsid w:val="00337105"/>
    <w:rsid w:val="00350572"/>
    <w:rsid w:val="00360A13"/>
    <w:rsid w:val="00385EA9"/>
    <w:rsid w:val="00387BD4"/>
    <w:rsid w:val="00391B4C"/>
    <w:rsid w:val="003B02C8"/>
    <w:rsid w:val="003C62BD"/>
    <w:rsid w:val="003D19A3"/>
    <w:rsid w:val="003F11A4"/>
    <w:rsid w:val="003F2070"/>
    <w:rsid w:val="003F6C74"/>
    <w:rsid w:val="00400125"/>
    <w:rsid w:val="00405685"/>
    <w:rsid w:val="004067F3"/>
    <w:rsid w:val="00411332"/>
    <w:rsid w:val="00416143"/>
    <w:rsid w:val="00426BAC"/>
    <w:rsid w:val="004326A6"/>
    <w:rsid w:val="0043490D"/>
    <w:rsid w:val="00436FA0"/>
    <w:rsid w:val="00444C9A"/>
    <w:rsid w:val="004476F8"/>
    <w:rsid w:val="00453A10"/>
    <w:rsid w:val="00456F05"/>
    <w:rsid w:val="00461CC5"/>
    <w:rsid w:val="0047145B"/>
    <w:rsid w:val="00473A3B"/>
    <w:rsid w:val="00477410"/>
    <w:rsid w:val="00481B07"/>
    <w:rsid w:val="00481C79"/>
    <w:rsid w:val="0048331B"/>
    <w:rsid w:val="00490670"/>
    <w:rsid w:val="004A6BCA"/>
    <w:rsid w:val="004B10AB"/>
    <w:rsid w:val="004B286B"/>
    <w:rsid w:val="004B3866"/>
    <w:rsid w:val="004B4CD3"/>
    <w:rsid w:val="004B7E07"/>
    <w:rsid w:val="004C03B8"/>
    <w:rsid w:val="004C2097"/>
    <w:rsid w:val="004C2D18"/>
    <w:rsid w:val="004C7D45"/>
    <w:rsid w:val="004D145B"/>
    <w:rsid w:val="004D343E"/>
    <w:rsid w:val="004D62B7"/>
    <w:rsid w:val="004D7748"/>
    <w:rsid w:val="004E30FC"/>
    <w:rsid w:val="004F4748"/>
    <w:rsid w:val="00504DDC"/>
    <w:rsid w:val="005146D4"/>
    <w:rsid w:val="00516C5B"/>
    <w:rsid w:val="00522A86"/>
    <w:rsid w:val="005318A3"/>
    <w:rsid w:val="00531F5F"/>
    <w:rsid w:val="00534FDF"/>
    <w:rsid w:val="00547182"/>
    <w:rsid w:val="00550DEA"/>
    <w:rsid w:val="005609CC"/>
    <w:rsid w:val="005818F3"/>
    <w:rsid w:val="00597A1D"/>
    <w:rsid w:val="005A4052"/>
    <w:rsid w:val="005A75A9"/>
    <w:rsid w:val="005B2649"/>
    <w:rsid w:val="005C415E"/>
    <w:rsid w:val="005C6D7B"/>
    <w:rsid w:val="005D3CCF"/>
    <w:rsid w:val="005D66E8"/>
    <w:rsid w:val="005D7B21"/>
    <w:rsid w:val="005E100A"/>
    <w:rsid w:val="005E116B"/>
    <w:rsid w:val="005E47D4"/>
    <w:rsid w:val="00617BCD"/>
    <w:rsid w:val="00621C7A"/>
    <w:rsid w:val="00621D53"/>
    <w:rsid w:val="006358BF"/>
    <w:rsid w:val="006523C6"/>
    <w:rsid w:val="00665387"/>
    <w:rsid w:val="006659B1"/>
    <w:rsid w:val="00665F67"/>
    <w:rsid w:val="006672DE"/>
    <w:rsid w:val="00672474"/>
    <w:rsid w:val="00673968"/>
    <w:rsid w:val="00680716"/>
    <w:rsid w:val="0069265B"/>
    <w:rsid w:val="0069449C"/>
    <w:rsid w:val="00697A68"/>
    <w:rsid w:val="006A2E32"/>
    <w:rsid w:val="006B0ED6"/>
    <w:rsid w:val="006B2763"/>
    <w:rsid w:val="006B47B3"/>
    <w:rsid w:val="006B4B68"/>
    <w:rsid w:val="006B785F"/>
    <w:rsid w:val="006C4107"/>
    <w:rsid w:val="006D32CF"/>
    <w:rsid w:val="006D4E7A"/>
    <w:rsid w:val="006D7B34"/>
    <w:rsid w:val="006F3B47"/>
    <w:rsid w:val="0070203B"/>
    <w:rsid w:val="00702222"/>
    <w:rsid w:val="00715AF6"/>
    <w:rsid w:val="00717884"/>
    <w:rsid w:val="00717A34"/>
    <w:rsid w:val="00727BF6"/>
    <w:rsid w:val="00736A1D"/>
    <w:rsid w:val="00741AFA"/>
    <w:rsid w:val="007439E8"/>
    <w:rsid w:val="00753BD2"/>
    <w:rsid w:val="00753FDB"/>
    <w:rsid w:val="00757A99"/>
    <w:rsid w:val="0076408F"/>
    <w:rsid w:val="00770175"/>
    <w:rsid w:val="00774769"/>
    <w:rsid w:val="0078299F"/>
    <w:rsid w:val="00785289"/>
    <w:rsid w:val="007A2106"/>
    <w:rsid w:val="007A3AC0"/>
    <w:rsid w:val="007A7232"/>
    <w:rsid w:val="007B4977"/>
    <w:rsid w:val="007B68C3"/>
    <w:rsid w:val="007D261F"/>
    <w:rsid w:val="007D2822"/>
    <w:rsid w:val="007D481D"/>
    <w:rsid w:val="007E06BF"/>
    <w:rsid w:val="007E6B4B"/>
    <w:rsid w:val="00800556"/>
    <w:rsid w:val="00812C11"/>
    <w:rsid w:val="00816464"/>
    <w:rsid w:val="008205AB"/>
    <w:rsid w:val="00822E27"/>
    <w:rsid w:val="008249CD"/>
    <w:rsid w:val="00827186"/>
    <w:rsid w:val="008333A7"/>
    <w:rsid w:val="00833766"/>
    <w:rsid w:val="00845CB9"/>
    <w:rsid w:val="0086147F"/>
    <w:rsid w:val="008649D2"/>
    <w:rsid w:val="00871BDB"/>
    <w:rsid w:val="00876558"/>
    <w:rsid w:val="00884C79"/>
    <w:rsid w:val="00890562"/>
    <w:rsid w:val="00894F48"/>
    <w:rsid w:val="008A23A5"/>
    <w:rsid w:val="008B147A"/>
    <w:rsid w:val="008B4EF5"/>
    <w:rsid w:val="008C479B"/>
    <w:rsid w:val="008D0173"/>
    <w:rsid w:val="008D2386"/>
    <w:rsid w:val="008D7018"/>
    <w:rsid w:val="008E5B65"/>
    <w:rsid w:val="0090329B"/>
    <w:rsid w:val="00906E25"/>
    <w:rsid w:val="0091733D"/>
    <w:rsid w:val="00923568"/>
    <w:rsid w:val="00942FCA"/>
    <w:rsid w:val="00943731"/>
    <w:rsid w:val="009450AE"/>
    <w:rsid w:val="009509B3"/>
    <w:rsid w:val="009529BD"/>
    <w:rsid w:val="009630D4"/>
    <w:rsid w:val="0098117B"/>
    <w:rsid w:val="009848DA"/>
    <w:rsid w:val="009A0E81"/>
    <w:rsid w:val="009A4A7C"/>
    <w:rsid w:val="009A52C8"/>
    <w:rsid w:val="009B15E1"/>
    <w:rsid w:val="009B7FF0"/>
    <w:rsid w:val="009C13DC"/>
    <w:rsid w:val="009C1ED7"/>
    <w:rsid w:val="009C2619"/>
    <w:rsid w:val="009D005F"/>
    <w:rsid w:val="009D05BD"/>
    <w:rsid w:val="009F20E5"/>
    <w:rsid w:val="009F531D"/>
    <w:rsid w:val="009F6F67"/>
    <w:rsid w:val="00A16E98"/>
    <w:rsid w:val="00A2660D"/>
    <w:rsid w:val="00A37181"/>
    <w:rsid w:val="00A50F67"/>
    <w:rsid w:val="00A54934"/>
    <w:rsid w:val="00A57369"/>
    <w:rsid w:val="00A739B4"/>
    <w:rsid w:val="00A745D9"/>
    <w:rsid w:val="00A7786A"/>
    <w:rsid w:val="00A77A07"/>
    <w:rsid w:val="00A81881"/>
    <w:rsid w:val="00A8462E"/>
    <w:rsid w:val="00A906DA"/>
    <w:rsid w:val="00A935CB"/>
    <w:rsid w:val="00A93701"/>
    <w:rsid w:val="00A94C74"/>
    <w:rsid w:val="00A971D6"/>
    <w:rsid w:val="00A975BA"/>
    <w:rsid w:val="00A97A3A"/>
    <w:rsid w:val="00AA0D5C"/>
    <w:rsid w:val="00AA5435"/>
    <w:rsid w:val="00AA557D"/>
    <w:rsid w:val="00AB3992"/>
    <w:rsid w:val="00AB5769"/>
    <w:rsid w:val="00AC6713"/>
    <w:rsid w:val="00AD3E10"/>
    <w:rsid w:val="00AE5ECE"/>
    <w:rsid w:val="00B030A1"/>
    <w:rsid w:val="00B107E9"/>
    <w:rsid w:val="00B11141"/>
    <w:rsid w:val="00B20C8D"/>
    <w:rsid w:val="00B21B83"/>
    <w:rsid w:val="00B30CEC"/>
    <w:rsid w:val="00B42ED2"/>
    <w:rsid w:val="00B4483C"/>
    <w:rsid w:val="00B53A31"/>
    <w:rsid w:val="00B55D43"/>
    <w:rsid w:val="00B55E56"/>
    <w:rsid w:val="00B67497"/>
    <w:rsid w:val="00B67C9F"/>
    <w:rsid w:val="00B73E20"/>
    <w:rsid w:val="00B93076"/>
    <w:rsid w:val="00BA6F23"/>
    <w:rsid w:val="00BB34CA"/>
    <w:rsid w:val="00BB4CE3"/>
    <w:rsid w:val="00BB5F95"/>
    <w:rsid w:val="00BC0EFA"/>
    <w:rsid w:val="00BC28EF"/>
    <w:rsid w:val="00BD4957"/>
    <w:rsid w:val="00BD6401"/>
    <w:rsid w:val="00BE313D"/>
    <w:rsid w:val="00C01858"/>
    <w:rsid w:val="00C04D1C"/>
    <w:rsid w:val="00C23B9F"/>
    <w:rsid w:val="00C339A8"/>
    <w:rsid w:val="00C50B99"/>
    <w:rsid w:val="00C52E01"/>
    <w:rsid w:val="00C62082"/>
    <w:rsid w:val="00C718C1"/>
    <w:rsid w:val="00C80805"/>
    <w:rsid w:val="00C80EEC"/>
    <w:rsid w:val="00C826CC"/>
    <w:rsid w:val="00C836C8"/>
    <w:rsid w:val="00C8574F"/>
    <w:rsid w:val="00CA1382"/>
    <w:rsid w:val="00CA4A00"/>
    <w:rsid w:val="00CA655F"/>
    <w:rsid w:val="00CA691A"/>
    <w:rsid w:val="00CB2A1C"/>
    <w:rsid w:val="00CC049E"/>
    <w:rsid w:val="00CC08BA"/>
    <w:rsid w:val="00CC4CA7"/>
    <w:rsid w:val="00CC576F"/>
    <w:rsid w:val="00CD628F"/>
    <w:rsid w:val="00CF5EA4"/>
    <w:rsid w:val="00CF7B95"/>
    <w:rsid w:val="00D03755"/>
    <w:rsid w:val="00D05FD6"/>
    <w:rsid w:val="00D16402"/>
    <w:rsid w:val="00D2651A"/>
    <w:rsid w:val="00D30A0B"/>
    <w:rsid w:val="00D41B37"/>
    <w:rsid w:val="00D501F5"/>
    <w:rsid w:val="00D53F03"/>
    <w:rsid w:val="00D540DB"/>
    <w:rsid w:val="00D5442D"/>
    <w:rsid w:val="00D60193"/>
    <w:rsid w:val="00D60469"/>
    <w:rsid w:val="00D711C8"/>
    <w:rsid w:val="00D771EB"/>
    <w:rsid w:val="00D84DCC"/>
    <w:rsid w:val="00D84E55"/>
    <w:rsid w:val="00D90AF0"/>
    <w:rsid w:val="00D929D1"/>
    <w:rsid w:val="00D965BE"/>
    <w:rsid w:val="00D96E2D"/>
    <w:rsid w:val="00DA07D1"/>
    <w:rsid w:val="00DA6602"/>
    <w:rsid w:val="00DB5B66"/>
    <w:rsid w:val="00DB6558"/>
    <w:rsid w:val="00DD5EDD"/>
    <w:rsid w:val="00DD6E12"/>
    <w:rsid w:val="00DE2565"/>
    <w:rsid w:val="00DE3CE6"/>
    <w:rsid w:val="00E03C52"/>
    <w:rsid w:val="00E07D51"/>
    <w:rsid w:val="00E16061"/>
    <w:rsid w:val="00E1649E"/>
    <w:rsid w:val="00E21F19"/>
    <w:rsid w:val="00E27264"/>
    <w:rsid w:val="00E36ECE"/>
    <w:rsid w:val="00E46193"/>
    <w:rsid w:val="00E54A29"/>
    <w:rsid w:val="00E609DC"/>
    <w:rsid w:val="00E64FEB"/>
    <w:rsid w:val="00E77A35"/>
    <w:rsid w:val="00E956B1"/>
    <w:rsid w:val="00EA0D3E"/>
    <w:rsid w:val="00EA40EC"/>
    <w:rsid w:val="00EA7DF4"/>
    <w:rsid w:val="00EA7F3F"/>
    <w:rsid w:val="00EC24F6"/>
    <w:rsid w:val="00ED0A23"/>
    <w:rsid w:val="00ED6743"/>
    <w:rsid w:val="00ED79F7"/>
    <w:rsid w:val="00EF1FE0"/>
    <w:rsid w:val="00EF71F6"/>
    <w:rsid w:val="00F17FA9"/>
    <w:rsid w:val="00F2614F"/>
    <w:rsid w:val="00F334D4"/>
    <w:rsid w:val="00F36185"/>
    <w:rsid w:val="00F41B76"/>
    <w:rsid w:val="00F45413"/>
    <w:rsid w:val="00F55A9B"/>
    <w:rsid w:val="00F65D9C"/>
    <w:rsid w:val="00F661B1"/>
    <w:rsid w:val="00F66FEE"/>
    <w:rsid w:val="00F813C9"/>
    <w:rsid w:val="00F92BD4"/>
    <w:rsid w:val="00F939F5"/>
    <w:rsid w:val="00F93B96"/>
    <w:rsid w:val="00FA407F"/>
    <w:rsid w:val="00FB0B3A"/>
    <w:rsid w:val="00FB23A8"/>
    <w:rsid w:val="00FB57AF"/>
    <w:rsid w:val="00FC0BCE"/>
    <w:rsid w:val="00FC14F4"/>
    <w:rsid w:val="00FC5A6D"/>
    <w:rsid w:val="00FE1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9099"/>
  <w15:chartTrackingRefBased/>
  <w15:docId w15:val="{C22F8F92-A573-4839-9A4A-6A787297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769"/>
    <w:pPr>
      <w:jc w:val="both"/>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74769"/>
    <w:pPr>
      <w:jc w:val="center"/>
    </w:pPr>
    <w:rPr>
      <w:rFonts w:ascii="TimesLT" w:hAnsi="TimesLT"/>
      <w:b/>
      <w:caps/>
    </w:rPr>
  </w:style>
  <w:style w:type="character" w:customStyle="1" w:styleId="BodyTextChar">
    <w:name w:val="Body Text Char"/>
    <w:link w:val="BodyText"/>
    <w:semiHidden/>
    <w:rsid w:val="00774769"/>
    <w:rPr>
      <w:rFonts w:ascii="TimesLT" w:eastAsia="Times New Roman" w:hAnsi="TimesLT" w:cs="Times New Roman"/>
      <w:b/>
      <w:caps/>
      <w:szCs w:val="24"/>
    </w:rPr>
  </w:style>
  <w:style w:type="table" w:styleId="TableGrid">
    <w:name w:val="Table Grid"/>
    <w:basedOn w:val="TableNormal"/>
    <w:uiPriority w:val="59"/>
    <w:rsid w:val="007747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774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774769"/>
    <w:rPr>
      <w:rFonts w:ascii="Courier New" w:eastAsia="Times New Roman" w:hAnsi="Courier New" w:cs="Courier New"/>
      <w:sz w:val="20"/>
      <w:szCs w:val="20"/>
      <w:lang w:eastAsia="lt-LT"/>
    </w:rPr>
  </w:style>
  <w:style w:type="paragraph" w:styleId="ListParagraph">
    <w:name w:val="List Paragraph"/>
    <w:basedOn w:val="Normal"/>
    <w:uiPriority w:val="34"/>
    <w:qFormat/>
    <w:rsid w:val="006B0ED6"/>
    <w:pPr>
      <w:ind w:left="720"/>
      <w:contextualSpacing/>
    </w:pPr>
  </w:style>
  <w:style w:type="paragraph" w:styleId="Header">
    <w:name w:val="header"/>
    <w:basedOn w:val="Normal"/>
    <w:link w:val="HeaderChar"/>
    <w:uiPriority w:val="99"/>
    <w:unhideWhenUsed/>
    <w:rsid w:val="003F6C74"/>
    <w:pPr>
      <w:tabs>
        <w:tab w:val="center" w:pos="4819"/>
        <w:tab w:val="right" w:pos="9638"/>
      </w:tabs>
    </w:pPr>
  </w:style>
  <w:style w:type="character" w:customStyle="1" w:styleId="HeaderChar">
    <w:name w:val="Header Char"/>
    <w:link w:val="Header"/>
    <w:uiPriority w:val="99"/>
    <w:rsid w:val="003F6C74"/>
    <w:rPr>
      <w:rFonts w:eastAsia="Times New Roman"/>
      <w:sz w:val="24"/>
      <w:szCs w:val="24"/>
      <w:lang w:eastAsia="en-US"/>
    </w:rPr>
  </w:style>
  <w:style w:type="paragraph" w:styleId="Footer">
    <w:name w:val="footer"/>
    <w:basedOn w:val="Normal"/>
    <w:link w:val="FooterChar"/>
    <w:uiPriority w:val="99"/>
    <w:semiHidden/>
    <w:unhideWhenUsed/>
    <w:rsid w:val="003F6C74"/>
    <w:pPr>
      <w:tabs>
        <w:tab w:val="center" w:pos="4819"/>
        <w:tab w:val="right" w:pos="9638"/>
      </w:tabs>
    </w:pPr>
  </w:style>
  <w:style w:type="character" w:customStyle="1" w:styleId="FooterChar">
    <w:name w:val="Footer Char"/>
    <w:link w:val="Footer"/>
    <w:uiPriority w:val="99"/>
    <w:semiHidden/>
    <w:rsid w:val="003F6C74"/>
    <w:rPr>
      <w:rFonts w:eastAsia="Times New Roman"/>
      <w:sz w:val="24"/>
      <w:szCs w:val="24"/>
      <w:lang w:eastAsia="en-US"/>
    </w:rPr>
  </w:style>
  <w:style w:type="paragraph" w:customStyle="1" w:styleId="CharChar1CharCharChar">
    <w:name w:val="Char Char1 Char Char Char"/>
    <w:basedOn w:val="Normal"/>
    <w:rsid w:val="00C339A8"/>
    <w:pPr>
      <w:spacing w:after="160" w:line="240" w:lineRule="exact"/>
      <w:jc w:val="left"/>
    </w:pPr>
    <w:rPr>
      <w:rFonts w:ascii="Tahoma" w:hAnsi="Tahoma"/>
      <w:sz w:val="20"/>
      <w:szCs w:val="20"/>
      <w:lang w:val="en-US"/>
    </w:rPr>
  </w:style>
  <w:style w:type="paragraph" w:styleId="BalloonText">
    <w:name w:val="Balloon Text"/>
    <w:basedOn w:val="Normal"/>
    <w:link w:val="BalloonTextChar"/>
    <w:uiPriority w:val="99"/>
    <w:semiHidden/>
    <w:unhideWhenUsed/>
    <w:rsid w:val="00CA1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382"/>
    <w:rPr>
      <w:rFonts w:ascii="Segoe UI" w:eastAsia="Times New Roman" w:hAnsi="Segoe UI" w:cs="Segoe UI"/>
      <w:sz w:val="18"/>
      <w:szCs w:val="18"/>
      <w:lang w:eastAsia="en-US"/>
    </w:rPr>
  </w:style>
  <w:style w:type="character" w:styleId="CommentReference">
    <w:name w:val="annotation reference"/>
    <w:basedOn w:val="DefaultParagraphFont"/>
    <w:semiHidden/>
    <w:unhideWhenUsed/>
    <w:rsid w:val="00FC5A6D"/>
    <w:rPr>
      <w:sz w:val="16"/>
      <w:szCs w:val="16"/>
    </w:rPr>
  </w:style>
  <w:style w:type="paragraph" w:styleId="CommentText">
    <w:name w:val="annotation text"/>
    <w:basedOn w:val="Normal"/>
    <w:link w:val="CommentTextChar"/>
    <w:semiHidden/>
    <w:unhideWhenUsed/>
    <w:rsid w:val="00FC5A6D"/>
    <w:rPr>
      <w:sz w:val="20"/>
      <w:szCs w:val="20"/>
    </w:rPr>
  </w:style>
  <w:style w:type="character" w:customStyle="1" w:styleId="CommentTextChar">
    <w:name w:val="Comment Text Char"/>
    <w:basedOn w:val="DefaultParagraphFont"/>
    <w:link w:val="CommentText"/>
    <w:semiHidden/>
    <w:rsid w:val="00FC5A6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FC5A6D"/>
    <w:rPr>
      <w:b/>
      <w:bCs/>
    </w:rPr>
  </w:style>
  <w:style w:type="character" w:customStyle="1" w:styleId="CommentSubjectChar">
    <w:name w:val="Comment Subject Char"/>
    <w:basedOn w:val="CommentTextChar"/>
    <w:link w:val="CommentSubject"/>
    <w:uiPriority w:val="99"/>
    <w:semiHidden/>
    <w:rsid w:val="00FC5A6D"/>
    <w:rPr>
      <w:rFonts w:eastAsia="Times New Roman"/>
      <w:b/>
      <w:bCs/>
      <w:lang w:eastAsia="en-US"/>
    </w:rPr>
  </w:style>
  <w:style w:type="paragraph" w:customStyle="1" w:styleId="Adresas">
    <w:name w:val="Adresas"/>
    <w:basedOn w:val="Normal"/>
    <w:qFormat/>
    <w:rsid w:val="00757A99"/>
    <w:pPr>
      <w:ind w:right="318"/>
      <w:jc w:val="left"/>
    </w:pPr>
    <w:rPr>
      <w:lang w:eastAsia="lt-LT"/>
    </w:rPr>
  </w:style>
  <w:style w:type="paragraph" w:customStyle="1" w:styleId="bodytext0">
    <w:name w:val="bodytext"/>
    <w:basedOn w:val="Normal"/>
    <w:rsid w:val="00E1649E"/>
    <w:pPr>
      <w:spacing w:before="100" w:beforeAutospacing="1" w:after="100" w:afterAutospacing="1"/>
      <w:jc w:val="left"/>
    </w:pPr>
    <w:rPr>
      <w:lang w:eastAsia="lt-LT"/>
    </w:rPr>
  </w:style>
  <w:style w:type="paragraph" w:styleId="FootnoteText">
    <w:name w:val="footnote text"/>
    <w:basedOn w:val="Normal"/>
    <w:link w:val="FootnoteTextChar"/>
    <w:uiPriority w:val="99"/>
    <w:semiHidden/>
    <w:unhideWhenUsed/>
    <w:rsid w:val="006523C6"/>
    <w:rPr>
      <w:sz w:val="20"/>
      <w:szCs w:val="20"/>
    </w:rPr>
  </w:style>
  <w:style w:type="character" w:customStyle="1" w:styleId="FootnoteTextChar">
    <w:name w:val="Footnote Text Char"/>
    <w:basedOn w:val="DefaultParagraphFont"/>
    <w:link w:val="FootnoteText"/>
    <w:uiPriority w:val="99"/>
    <w:semiHidden/>
    <w:rsid w:val="006523C6"/>
    <w:rPr>
      <w:rFonts w:eastAsia="Times New Roman"/>
      <w:lang w:eastAsia="en-US"/>
    </w:rPr>
  </w:style>
  <w:style w:type="character" w:styleId="FootnoteReference">
    <w:name w:val="footnote reference"/>
    <w:basedOn w:val="DefaultParagraphFont"/>
    <w:uiPriority w:val="99"/>
    <w:semiHidden/>
    <w:unhideWhenUsed/>
    <w:rsid w:val="006523C6"/>
    <w:rPr>
      <w:vertAlign w:val="superscript"/>
    </w:rPr>
  </w:style>
  <w:style w:type="paragraph" w:styleId="Revision">
    <w:name w:val="Revision"/>
    <w:hidden/>
    <w:uiPriority w:val="99"/>
    <w:semiHidden/>
    <w:rsid w:val="00D711C8"/>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8648">
      <w:bodyDiv w:val="1"/>
      <w:marLeft w:val="0"/>
      <w:marRight w:val="0"/>
      <w:marTop w:val="0"/>
      <w:marBottom w:val="0"/>
      <w:divBdr>
        <w:top w:val="none" w:sz="0" w:space="0" w:color="auto"/>
        <w:left w:val="none" w:sz="0" w:space="0" w:color="auto"/>
        <w:bottom w:val="none" w:sz="0" w:space="0" w:color="auto"/>
        <w:right w:val="none" w:sz="0" w:space="0" w:color="auto"/>
      </w:divBdr>
    </w:div>
    <w:div w:id="356393535">
      <w:bodyDiv w:val="1"/>
      <w:marLeft w:val="0"/>
      <w:marRight w:val="0"/>
      <w:marTop w:val="0"/>
      <w:marBottom w:val="0"/>
      <w:divBdr>
        <w:top w:val="none" w:sz="0" w:space="0" w:color="auto"/>
        <w:left w:val="none" w:sz="0" w:space="0" w:color="auto"/>
        <w:bottom w:val="none" w:sz="0" w:space="0" w:color="auto"/>
        <w:right w:val="none" w:sz="0" w:space="0" w:color="auto"/>
      </w:divBdr>
    </w:div>
    <w:div w:id="425229711">
      <w:bodyDiv w:val="1"/>
      <w:marLeft w:val="225"/>
      <w:marRight w:val="225"/>
      <w:marTop w:val="0"/>
      <w:marBottom w:val="0"/>
      <w:divBdr>
        <w:top w:val="none" w:sz="0" w:space="0" w:color="auto"/>
        <w:left w:val="none" w:sz="0" w:space="0" w:color="auto"/>
        <w:bottom w:val="none" w:sz="0" w:space="0" w:color="auto"/>
        <w:right w:val="none" w:sz="0" w:space="0" w:color="auto"/>
      </w:divBdr>
      <w:divsChild>
        <w:div w:id="313409408">
          <w:marLeft w:val="0"/>
          <w:marRight w:val="0"/>
          <w:marTop w:val="0"/>
          <w:marBottom w:val="0"/>
          <w:divBdr>
            <w:top w:val="none" w:sz="0" w:space="0" w:color="auto"/>
            <w:left w:val="none" w:sz="0" w:space="0" w:color="auto"/>
            <w:bottom w:val="none" w:sz="0" w:space="0" w:color="auto"/>
            <w:right w:val="none" w:sz="0" w:space="0" w:color="auto"/>
          </w:divBdr>
        </w:div>
      </w:divsChild>
    </w:div>
    <w:div w:id="667251398">
      <w:bodyDiv w:val="1"/>
      <w:marLeft w:val="0"/>
      <w:marRight w:val="0"/>
      <w:marTop w:val="0"/>
      <w:marBottom w:val="0"/>
      <w:divBdr>
        <w:top w:val="none" w:sz="0" w:space="0" w:color="auto"/>
        <w:left w:val="none" w:sz="0" w:space="0" w:color="auto"/>
        <w:bottom w:val="none" w:sz="0" w:space="0" w:color="auto"/>
        <w:right w:val="none" w:sz="0" w:space="0" w:color="auto"/>
      </w:divBdr>
    </w:div>
    <w:div w:id="830753026">
      <w:bodyDiv w:val="1"/>
      <w:marLeft w:val="225"/>
      <w:marRight w:val="225"/>
      <w:marTop w:val="0"/>
      <w:marBottom w:val="0"/>
      <w:divBdr>
        <w:top w:val="none" w:sz="0" w:space="0" w:color="auto"/>
        <w:left w:val="none" w:sz="0" w:space="0" w:color="auto"/>
        <w:bottom w:val="none" w:sz="0" w:space="0" w:color="auto"/>
        <w:right w:val="none" w:sz="0" w:space="0" w:color="auto"/>
      </w:divBdr>
      <w:divsChild>
        <w:div w:id="1916666675">
          <w:marLeft w:val="0"/>
          <w:marRight w:val="0"/>
          <w:marTop w:val="0"/>
          <w:marBottom w:val="0"/>
          <w:divBdr>
            <w:top w:val="none" w:sz="0" w:space="0" w:color="auto"/>
            <w:left w:val="none" w:sz="0" w:space="0" w:color="auto"/>
            <w:bottom w:val="none" w:sz="0" w:space="0" w:color="auto"/>
            <w:right w:val="none" w:sz="0" w:space="0" w:color="auto"/>
          </w:divBdr>
        </w:div>
      </w:divsChild>
    </w:div>
    <w:div w:id="987973507">
      <w:bodyDiv w:val="1"/>
      <w:marLeft w:val="225"/>
      <w:marRight w:val="225"/>
      <w:marTop w:val="0"/>
      <w:marBottom w:val="0"/>
      <w:divBdr>
        <w:top w:val="none" w:sz="0" w:space="0" w:color="auto"/>
        <w:left w:val="none" w:sz="0" w:space="0" w:color="auto"/>
        <w:bottom w:val="none" w:sz="0" w:space="0" w:color="auto"/>
        <w:right w:val="none" w:sz="0" w:space="0" w:color="auto"/>
      </w:divBdr>
      <w:divsChild>
        <w:div w:id="663051822">
          <w:marLeft w:val="0"/>
          <w:marRight w:val="0"/>
          <w:marTop w:val="0"/>
          <w:marBottom w:val="0"/>
          <w:divBdr>
            <w:top w:val="none" w:sz="0" w:space="0" w:color="auto"/>
            <w:left w:val="none" w:sz="0" w:space="0" w:color="auto"/>
            <w:bottom w:val="none" w:sz="0" w:space="0" w:color="auto"/>
            <w:right w:val="none" w:sz="0" w:space="0" w:color="auto"/>
          </w:divBdr>
        </w:div>
      </w:divsChild>
    </w:div>
    <w:div w:id="1068310533">
      <w:bodyDiv w:val="1"/>
      <w:marLeft w:val="0"/>
      <w:marRight w:val="0"/>
      <w:marTop w:val="0"/>
      <w:marBottom w:val="0"/>
      <w:divBdr>
        <w:top w:val="none" w:sz="0" w:space="0" w:color="auto"/>
        <w:left w:val="none" w:sz="0" w:space="0" w:color="auto"/>
        <w:bottom w:val="none" w:sz="0" w:space="0" w:color="auto"/>
        <w:right w:val="none" w:sz="0" w:space="0" w:color="auto"/>
      </w:divBdr>
    </w:div>
    <w:div w:id="1348796950">
      <w:bodyDiv w:val="1"/>
      <w:marLeft w:val="225"/>
      <w:marRight w:val="225"/>
      <w:marTop w:val="0"/>
      <w:marBottom w:val="0"/>
      <w:divBdr>
        <w:top w:val="none" w:sz="0" w:space="0" w:color="auto"/>
        <w:left w:val="none" w:sz="0" w:space="0" w:color="auto"/>
        <w:bottom w:val="none" w:sz="0" w:space="0" w:color="auto"/>
        <w:right w:val="none" w:sz="0" w:space="0" w:color="auto"/>
      </w:divBdr>
      <w:divsChild>
        <w:div w:id="896627635">
          <w:marLeft w:val="0"/>
          <w:marRight w:val="0"/>
          <w:marTop w:val="0"/>
          <w:marBottom w:val="0"/>
          <w:divBdr>
            <w:top w:val="none" w:sz="0" w:space="0" w:color="auto"/>
            <w:left w:val="none" w:sz="0" w:space="0" w:color="auto"/>
            <w:bottom w:val="none" w:sz="0" w:space="0" w:color="auto"/>
            <w:right w:val="none" w:sz="0" w:space="0" w:color="auto"/>
          </w:divBdr>
        </w:div>
      </w:divsChild>
    </w:div>
    <w:div w:id="1502235912">
      <w:bodyDiv w:val="1"/>
      <w:marLeft w:val="0"/>
      <w:marRight w:val="0"/>
      <w:marTop w:val="0"/>
      <w:marBottom w:val="0"/>
      <w:divBdr>
        <w:top w:val="none" w:sz="0" w:space="0" w:color="auto"/>
        <w:left w:val="none" w:sz="0" w:space="0" w:color="auto"/>
        <w:bottom w:val="none" w:sz="0" w:space="0" w:color="auto"/>
        <w:right w:val="none" w:sz="0" w:space="0" w:color="auto"/>
      </w:divBdr>
    </w:div>
    <w:div w:id="1544754981">
      <w:bodyDiv w:val="1"/>
      <w:marLeft w:val="0"/>
      <w:marRight w:val="0"/>
      <w:marTop w:val="0"/>
      <w:marBottom w:val="0"/>
      <w:divBdr>
        <w:top w:val="none" w:sz="0" w:space="0" w:color="auto"/>
        <w:left w:val="none" w:sz="0" w:space="0" w:color="auto"/>
        <w:bottom w:val="none" w:sz="0" w:space="0" w:color="auto"/>
        <w:right w:val="none" w:sz="0" w:space="0" w:color="auto"/>
      </w:divBdr>
    </w:div>
    <w:div w:id="1696223620">
      <w:bodyDiv w:val="1"/>
      <w:marLeft w:val="0"/>
      <w:marRight w:val="0"/>
      <w:marTop w:val="0"/>
      <w:marBottom w:val="0"/>
      <w:divBdr>
        <w:top w:val="none" w:sz="0" w:space="0" w:color="auto"/>
        <w:left w:val="none" w:sz="0" w:space="0" w:color="auto"/>
        <w:bottom w:val="none" w:sz="0" w:space="0" w:color="auto"/>
        <w:right w:val="none" w:sz="0" w:space="0" w:color="auto"/>
      </w:divBdr>
      <w:divsChild>
        <w:div w:id="211160931">
          <w:marLeft w:val="0"/>
          <w:marRight w:val="0"/>
          <w:marTop w:val="0"/>
          <w:marBottom w:val="0"/>
          <w:divBdr>
            <w:top w:val="none" w:sz="0" w:space="0" w:color="auto"/>
            <w:left w:val="none" w:sz="0" w:space="0" w:color="auto"/>
            <w:bottom w:val="none" w:sz="0" w:space="0" w:color="auto"/>
            <w:right w:val="none" w:sz="0" w:space="0" w:color="auto"/>
          </w:divBdr>
          <w:divsChild>
            <w:div w:id="15650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9016">
      <w:bodyDiv w:val="1"/>
      <w:marLeft w:val="0"/>
      <w:marRight w:val="0"/>
      <w:marTop w:val="0"/>
      <w:marBottom w:val="0"/>
      <w:divBdr>
        <w:top w:val="none" w:sz="0" w:space="0" w:color="auto"/>
        <w:left w:val="none" w:sz="0" w:space="0" w:color="auto"/>
        <w:bottom w:val="none" w:sz="0" w:space="0" w:color="auto"/>
        <w:right w:val="none" w:sz="0" w:space="0" w:color="auto"/>
      </w:divBdr>
    </w:div>
    <w:div w:id="19362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EC09998B21144E8648D4F5A3350EFB" ma:contentTypeVersion="5" ma:contentTypeDescription="Kurkite naują dokumentą." ma:contentTypeScope="" ma:versionID="06c8d563a382205e9387d2856ad8ef8a">
  <xsd:schema xmlns:xsd="http://www.w3.org/2001/XMLSchema" xmlns:xs="http://www.w3.org/2001/XMLSchema" xmlns:p="http://schemas.microsoft.com/office/2006/metadata/properties" xmlns:ns3="7e1cde7d-1d3d-42a6-b142-3e8b75033348" xmlns:ns4="d2426d7b-0fc7-434c-bfb8-842f1e3498f8" targetNamespace="http://schemas.microsoft.com/office/2006/metadata/properties" ma:root="true" ma:fieldsID="c1bb64e6592bc4e9ddf76e6885a93345" ns3:_="" ns4:_="">
    <xsd:import namespace="7e1cde7d-1d3d-42a6-b142-3e8b75033348"/>
    <xsd:import namespace="d2426d7b-0fc7-434c-bfb8-842f1e3498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de7d-1d3d-42a6-b142-3e8b750333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26d7b-0fc7-434c-bfb8-842f1e3498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48B3-DABB-4485-AE90-5B2392547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de7d-1d3d-42a6-b142-3e8b75033348"/>
    <ds:schemaRef ds:uri="d2426d7b-0fc7-434c-bfb8-842f1e34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D83FB-C519-4048-A0FA-B0594CEA8C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F38C28-D5BD-46DF-9CE6-8A0BA99645BE}">
  <ds:schemaRefs>
    <ds:schemaRef ds:uri="http://schemas.microsoft.com/sharepoint/v3/contenttype/forms"/>
  </ds:schemaRefs>
</ds:datastoreItem>
</file>

<file path=customXml/itemProps4.xml><?xml version="1.0" encoding="utf-8"?>
<ds:datastoreItem xmlns:ds="http://schemas.openxmlformats.org/officeDocument/2006/customXml" ds:itemID="{5CA58FB1-7587-4778-AC13-31A58F78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6876</Words>
  <Characters>3920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Energetikos ministerija</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Ceiko Patricija</dc:creator>
  <cp:keywords/>
  <dc:description/>
  <cp:lastModifiedBy>Patricija Ceiko</cp:lastModifiedBy>
  <cp:revision>2</cp:revision>
  <cp:lastPrinted>2021-09-08T07:13:00Z</cp:lastPrinted>
  <dcterms:created xsi:type="dcterms:W3CDTF">2021-09-13T10:38:00Z</dcterms:created>
  <dcterms:modified xsi:type="dcterms:W3CDTF">2021-09-13T10:38:00Z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0x010100CEEC09998B21144E8648D4F5A3350EFB</vt:lpwstr>
  </property>
</Properties>
</file>