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FF" w:rsidRDefault="004F6DE3" w:rsidP="008A4869">
      <w:pPr>
        <w:tabs>
          <w:tab w:val="left" w:pos="9540"/>
        </w:tabs>
        <w:ind w:left="5103"/>
        <w:rPr>
          <w:color w:val="auto"/>
          <w:sz w:val="20"/>
          <w:szCs w:val="20"/>
        </w:rPr>
      </w:pPr>
      <w:r w:rsidRPr="001D4FFF">
        <w:rPr>
          <w:sz w:val="20"/>
          <w:szCs w:val="20"/>
        </w:rPr>
        <w:t>Forma Nr. AR patvirtinta</w:t>
      </w:r>
      <w:r w:rsidR="00822828" w:rsidRPr="001D4FFF">
        <w:rPr>
          <w:sz w:val="20"/>
          <w:szCs w:val="20"/>
        </w:rPr>
        <w:t xml:space="preserve"> </w:t>
      </w:r>
      <w:r w:rsidR="00D1435A" w:rsidRPr="001D4FFF">
        <w:rPr>
          <w:color w:val="auto"/>
          <w:sz w:val="20"/>
          <w:szCs w:val="20"/>
        </w:rPr>
        <w:t>Lietuvos Respublikos finansų</w:t>
      </w:r>
      <w:r w:rsidR="00B447EF" w:rsidRPr="001D4FFF">
        <w:rPr>
          <w:color w:val="auto"/>
          <w:sz w:val="20"/>
          <w:szCs w:val="20"/>
        </w:rPr>
        <w:t xml:space="preserve"> </w:t>
      </w:r>
      <w:r w:rsidR="008A4869">
        <w:rPr>
          <w:color w:val="auto"/>
          <w:sz w:val="20"/>
          <w:szCs w:val="20"/>
        </w:rPr>
        <w:t>ministro</w:t>
      </w:r>
      <w:r w:rsidR="001D4FFF">
        <w:rPr>
          <w:color w:val="auto"/>
          <w:sz w:val="20"/>
          <w:szCs w:val="20"/>
        </w:rPr>
        <w:t xml:space="preserve"> </w:t>
      </w:r>
      <w:r w:rsidR="00D1435A" w:rsidRPr="001D4FFF">
        <w:rPr>
          <w:color w:val="auto"/>
          <w:sz w:val="20"/>
          <w:szCs w:val="20"/>
        </w:rPr>
        <w:t>201</w:t>
      </w:r>
      <w:r w:rsidR="00AF3691" w:rsidRPr="001D4FFF">
        <w:rPr>
          <w:color w:val="auto"/>
          <w:sz w:val="20"/>
          <w:szCs w:val="20"/>
        </w:rPr>
        <w:t>0</w:t>
      </w:r>
      <w:r w:rsidR="00D1435A" w:rsidRPr="001D4FFF">
        <w:rPr>
          <w:color w:val="auto"/>
          <w:sz w:val="20"/>
          <w:szCs w:val="20"/>
        </w:rPr>
        <w:t xml:space="preserve"> m.</w:t>
      </w:r>
      <w:r w:rsidR="008223B5" w:rsidRPr="001D4FFF">
        <w:rPr>
          <w:color w:val="auto"/>
          <w:sz w:val="20"/>
          <w:szCs w:val="20"/>
        </w:rPr>
        <w:t xml:space="preserve"> </w:t>
      </w:r>
      <w:r w:rsidR="00AF3691" w:rsidRPr="001D4FFF">
        <w:rPr>
          <w:color w:val="auto"/>
          <w:sz w:val="20"/>
          <w:szCs w:val="20"/>
        </w:rPr>
        <w:t>sausio 29</w:t>
      </w:r>
      <w:r w:rsidR="00D1435A" w:rsidRPr="001D4FFF">
        <w:rPr>
          <w:color w:val="auto"/>
          <w:sz w:val="20"/>
          <w:szCs w:val="20"/>
        </w:rPr>
        <w:t xml:space="preserve"> d. įsakym</w:t>
      </w:r>
      <w:r w:rsidR="00822828" w:rsidRPr="001D4FFF">
        <w:rPr>
          <w:color w:val="auto"/>
          <w:sz w:val="20"/>
          <w:szCs w:val="20"/>
        </w:rPr>
        <w:t>u</w:t>
      </w:r>
      <w:r w:rsidR="001D4FFF">
        <w:rPr>
          <w:color w:val="auto"/>
          <w:sz w:val="20"/>
          <w:szCs w:val="20"/>
        </w:rPr>
        <w:t xml:space="preserve"> Nr. </w:t>
      </w:r>
      <w:r w:rsidR="00D1435A" w:rsidRPr="001D4FFF">
        <w:rPr>
          <w:color w:val="auto"/>
          <w:sz w:val="20"/>
          <w:szCs w:val="20"/>
        </w:rPr>
        <w:t>1K-</w:t>
      </w:r>
      <w:r w:rsidR="00AF3691" w:rsidRPr="001D4FFF">
        <w:rPr>
          <w:color w:val="auto"/>
          <w:sz w:val="20"/>
          <w:szCs w:val="20"/>
        </w:rPr>
        <w:t>022</w:t>
      </w:r>
      <w:r w:rsidR="00D1435A" w:rsidRPr="001D4FFF">
        <w:rPr>
          <w:color w:val="auto"/>
          <w:sz w:val="20"/>
          <w:szCs w:val="20"/>
        </w:rPr>
        <w:t xml:space="preserve"> </w:t>
      </w:r>
      <w:r w:rsidR="00056AB2" w:rsidRPr="001D4FFF">
        <w:rPr>
          <w:color w:val="auto"/>
          <w:sz w:val="20"/>
          <w:szCs w:val="20"/>
        </w:rPr>
        <w:t xml:space="preserve"> </w:t>
      </w:r>
    </w:p>
    <w:p w:rsidR="001D4FFF" w:rsidRDefault="00056AB2" w:rsidP="008A4869">
      <w:pPr>
        <w:tabs>
          <w:tab w:val="left" w:pos="9540"/>
        </w:tabs>
        <w:ind w:left="5103"/>
        <w:rPr>
          <w:color w:val="auto"/>
          <w:sz w:val="20"/>
          <w:szCs w:val="20"/>
        </w:rPr>
      </w:pPr>
      <w:r w:rsidRPr="001D4FFF">
        <w:rPr>
          <w:color w:val="auto"/>
          <w:sz w:val="20"/>
          <w:szCs w:val="20"/>
        </w:rPr>
        <w:t xml:space="preserve">(Lietuvos Respublikos finansų ministro </w:t>
      </w:r>
    </w:p>
    <w:p w:rsidR="00EF52AB" w:rsidRPr="001D4FFF" w:rsidRDefault="00056AB2" w:rsidP="008A4869">
      <w:pPr>
        <w:tabs>
          <w:tab w:val="left" w:pos="9540"/>
        </w:tabs>
        <w:ind w:left="5103"/>
        <w:rPr>
          <w:color w:val="auto"/>
          <w:sz w:val="20"/>
          <w:szCs w:val="20"/>
        </w:rPr>
      </w:pPr>
      <w:r w:rsidRPr="001D4FFF">
        <w:rPr>
          <w:color w:val="auto"/>
          <w:sz w:val="20"/>
          <w:szCs w:val="20"/>
        </w:rPr>
        <w:t>20</w:t>
      </w:r>
      <w:r w:rsidR="00476C24" w:rsidRPr="001D4FFF">
        <w:rPr>
          <w:color w:val="auto"/>
          <w:sz w:val="20"/>
          <w:szCs w:val="20"/>
        </w:rPr>
        <w:t>1</w:t>
      </w:r>
      <w:r w:rsidR="00D3722D">
        <w:rPr>
          <w:color w:val="auto"/>
          <w:sz w:val="20"/>
          <w:szCs w:val="20"/>
        </w:rPr>
        <w:t>9</w:t>
      </w:r>
      <w:r w:rsidRPr="001D4FFF">
        <w:rPr>
          <w:color w:val="auto"/>
          <w:sz w:val="20"/>
          <w:szCs w:val="20"/>
        </w:rPr>
        <w:t xml:space="preserve"> m.</w:t>
      </w:r>
      <w:r w:rsidR="0049745C" w:rsidRPr="001D4FFF">
        <w:rPr>
          <w:color w:val="auto"/>
          <w:sz w:val="20"/>
          <w:szCs w:val="20"/>
        </w:rPr>
        <w:t xml:space="preserve"> </w:t>
      </w:r>
      <w:r w:rsidR="00476C24" w:rsidRPr="001D4FFF">
        <w:rPr>
          <w:color w:val="auto"/>
          <w:sz w:val="20"/>
          <w:szCs w:val="20"/>
        </w:rPr>
        <w:t xml:space="preserve">sausio </w:t>
      </w:r>
      <w:r w:rsidR="00D3722D">
        <w:rPr>
          <w:color w:val="auto"/>
          <w:sz w:val="20"/>
          <w:szCs w:val="20"/>
        </w:rPr>
        <w:t>25</w:t>
      </w:r>
      <w:r w:rsidR="00284A97" w:rsidRPr="001D4FFF">
        <w:rPr>
          <w:color w:val="auto"/>
          <w:sz w:val="20"/>
          <w:szCs w:val="20"/>
        </w:rPr>
        <w:t xml:space="preserve"> </w:t>
      </w:r>
      <w:r w:rsidR="00605941" w:rsidRPr="001D4FFF">
        <w:rPr>
          <w:color w:val="auto"/>
          <w:sz w:val="20"/>
          <w:szCs w:val="20"/>
        </w:rPr>
        <w:t>d. įsakymo Nr. 1K-</w:t>
      </w:r>
      <w:r w:rsidR="00D3722D">
        <w:rPr>
          <w:color w:val="auto"/>
          <w:sz w:val="20"/>
          <w:szCs w:val="20"/>
        </w:rPr>
        <w:t>28</w:t>
      </w:r>
      <w:r w:rsidR="001D4FFF">
        <w:rPr>
          <w:color w:val="auto"/>
          <w:sz w:val="20"/>
          <w:szCs w:val="20"/>
        </w:rPr>
        <w:t xml:space="preserve"> </w:t>
      </w:r>
      <w:r w:rsidR="00B447EF" w:rsidRPr="001D4FFF">
        <w:rPr>
          <w:color w:val="auto"/>
          <w:sz w:val="20"/>
          <w:szCs w:val="20"/>
        </w:rPr>
        <w:t>redakcija)</w:t>
      </w:r>
    </w:p>
    <w:p w:rsidR="00B447EF" w:rsidRPr="00B77281" w:rsidRDefault="00B447EF" w:rsidP="00B447EF">
      <w:pPr>
        <w:tabs>
          <w:tab w:val="left" w:pos="9540"/>
        </w:tabs>
        <w:ind w:left="5954"/>
        <w:rPr>
          <w:b/>
          <w:bCs/>
          <w:color w:val="auto"/>
          <w:sz w:val="22"/>
          <w:szCs w:val="22"/>
        </w:rPr>
      </w:pPr>
    </w:p>
    <w:p w:rsidR="00D1435A" w:rsidRPr="001D4FFF" w:rsidRDefault="00D4431D" w:rsidP="00D1435A">
      <w:pPr>
        <w:jc w:val="center"/>
        <w:rPr>
          <w:b/>
          <w:bCs/>
          <w:color w:val="auto"/>
        </w:rPr>
      </w:pPr>
      <w:r>
        <w:rPr>
          <w:b/>
          <w:bCs/>
          <w:color w:val="auto"/>
        </w:rPr>
        <w:t>20</w:t>
      </w:r>
      <w:r w:rsidR="00DD35CF">
        <w:rPr>
          <w:b/>
          <w:bCs/>
          <w:color w:val="auto"/>
        </w:rPr>
        <w:t>20</w:t>
      </w:r>
      <w:r>
        <w:rPr>
          <w:b/>
          <w:bCs/>
          <w:color w:val="auto"/>
        </w:rPr>
        <w:t xml:space="preserve"> METŲ </w:t>
      </w:r>
      <w:r w:rsidR="00B43FD3" w:rsidRPr="001D4FFF">
        <w:rPr>
          <w:b/>
          <w:bCs/>
          <w:color w:val="auto"/>
        </w:rPr>
        <w:t xml:space="preserve">LIETUVOS RESPUBLIKOS </w:t>
      </w:r>
      <w:r w:rsidR="00D1435A" w:rsidRPr="001D4FFF">
        <w:rPr>
          <w:b/>
          <w:bCs/>
          <w:color w:val="auto"/>
        </w:rPr>
        <w:t>VALSTYBĖS BIUDŽETO VYKDYMO ATASKAITŲ</w:t>
      </w:r>
      <w:r>
        <w:rPr>
          <w:b/>
          <w:bCs/>
          <w:color w:val="auto"/>
        </w:rPr>
        <w:t xml:space="preserve"> </w:t>
      </w:r>
      <w:r w:rsidR="00D1435A" w:rsidRPr="001D4FFF">
        <w:rPr>
          <w:b/>
          <w:bCs/>
          <w:color w:val="auto"/>
        </w:rPr>
        <w:t>AIŠKINAMASIS RAŠTAS</w:t>
      </w:r>
    </w:p>
    <w:p w:rsidR="00D1435A" w:rsidRPr="00D4431D" w:rsidRDefault="00D4431D" w:rsidP="00D1435A">
      <w:pPr>
        <w:jc w:val="center"/>
        <w:rPr>
          <w:bCs/>
          <w:color w:val="auto"/>
        </w:rPr>
      </w:pPr>
      <w:r>
        <w:rPr>
          <w:bCs/>
          <w:color w:val="auto"/>
        </w:rPr>
        <w:t>(</w:t>
      </w:r>
      <w:r w:rsidR="001D4FFF" w:rsidRPr="00D4431D">
        <w:rPr>
          <w:bCs/>
          <w:color w:val="auto"/>
        </w:rPr>
        <w:t>metinis</w:t>
      </w:r>
      <w:r>
        <w:rPr>
          <w:bCs/>
          <w:color w:val="auto"/>
        </w:rPr>
        <w:t>)</w:t>
      </w:r>
    </w:p>
    <w:p w:rsidR="00D4431D" w:rsidRPr="009F34A3" w:rsidRDefault="00D4431D" w:rsidP="00D1435A">
      <w:pPr>
        <w:jc w:val="center"/>
        <w:rPr>
          <w:sz w:val="18"/>
          <w:szCs w:val="18"/>
        </w:rPr>
      </w:pPr>
    </w:p>
    <w:p w:rsidR="00B447EF" w:rsidRDefault="006B16D9" w:rsidP="00B447EF">
      <w:pPr>
        <w:jc w:val="center"/>
        <w:rPr>
          <w:color w:val="auto"/>
        </w:rPr>
      </w:pPr>
      <w:r>
        <w:rPr>
          <w:color w:val="auto"/>
        </w:rPr>
        <w:t>20</w:t>
      </w:r>
      <w:r w:rsidR="0087031E">
        <w:rPr>
          <w:color w:val="auto"/>
        </w:rPr>
        <w:t>2</w:t>
      </w:r>
      <w:r w:rsidR="00DD35CF">
        <w:rPr>
          <w:color w:val="auto"/>
        </w:rPr>
        <w:t>1</w:t>
      </w:r>
      <w:r>
        <w:rPr>
          <w:color w:val="auto"/>
        </w:rPr>
        <w:t>-0</w:t>
      </w:r>
      <w:r w:rsidR="00DD35CF">
        <w:rPr>
          <w:color w:val="auto"/>
        </w:rPr>
        <w:t>3</w:t>
      </w:r>
      <w:r w:rsidR="001D4FFF">
        <w:rPr>
          <w:color w:val="auto"/>
        </w:rPr>
        <w:t>-</w:t>
      </w:r>
      <w:r w:rsidR="00BC3117">
        <w:rPr>
          <w:color w:val="auto"/>
        </w:rPr>
        <w:t xml:space="preserve">  </w:t>
      </w:r>
      <w:r w:rsidR="001D4FFF">
        <w:rPr>
          <w:color w:val="auto"/>
        </w:rPr>
        <w:t xml:space="preserve"> Nr.</w:t>
      </w:r>
      <w:r w:rsidR="00D4431D">
        <w:rPr>
          <w:color w:val="auto"/>
        </w:rPr>
        <w:t xml:space="preserve"> </w:t>
      </w:r>
      <w:r w:rsidR="001D4FFF">
        <w:rPr>
          <w:color w:val="auto"/>
        </w:rPr>
        <w:t>(3.2-02)-11K-</w:t>
      </w:r>
      <w:r w:rsidR="00D1435A" w:rsidRPr="00D1435A">
        <w:rPr>
          <w:color w:val="auto"/>
        </w:rPr>
        <w:t xml:space="preserve"> </w:t>
      </w:r>
    </w:p>
    <w:p w:rsidR="00D4431D" w:rsidRDefault="00D4431D" w:rsidP="006870AF">
      <w:pPr>
        <w:pStyle w:val="Stilius1"/>
      </w:pPr>
    </w:p>
    <w:p w:rsidR="00D4431D" w:rsidRPr="00D91E6A" w:rsidRDefault="00D4431D" w:rsidP="00D91E6A">
      <w:pPr>
        <w:pStyle w:val="Antrat33"/>
        <w:spacing w:line="264" w:lineRule="auto"/>
        <w:ind w:right="-266"/>
        <w:jc w:val="center"/>
        <w:rPr>
          <w:sz w:val="28"/>
          <w:szCs w:val="20"/>
        </w:rPr>
      </w:pPr>
    </w:p>
    <w:p w:rsidR="00A922FC" w:rsidRPr="00D91E6A" w:rsidRDefault="00467551" w:rsidP="00D91E6A">
      <w:pPr>
        <w:pStyle w:val="Antrat33"/>
        <w:spacing w:line="264" w:lineRule="auto"/>
        <w:ind w:right="-266"/>
        <w:jc w:val="center"/>
        <w:rPr>
          <w:sz w:val="28"/>
          <w:szCs w:val="20"/>
        </w:rPr>
      </w:pPr>
      <w:r w:rsidRPr="00D91E6A">
        <w:rPr>
          <w:sz w:val="28"/>
          <w:szCs w:val="20"/>
        </w:rPr>
        <w:t xml:space="preserve">I </w:t>
      </w:r>
      <w:r w:rsidR="00A922FC" w:rsidRPr="00D91E6A">
        <w:rPr>
          <w:sz w:val="28"/>
          <w:szCs w:val="20"/>
        </w:rPr>
        <w:t>S</w:t>
      </w:r>
      <w:r w:rsidR="00D91E6A">
        <w:rPr>
          <w:sz w:val="28"/>
          <w:szCs w:val="20"/>
        </w:rPr>
        <w:t>kyrius</w:t>
      </w:r>
    </w:p>
    <w:p w:rsidR="00D1435A" w:rsidRPr="00385F90" w:rsidRDefault="00D1435A" w:rsidP="00D91E6A">
      <w:pPr>
        <w:pStyle w:val="Antrat33"/>
        <w:spacing w:line="264" w:lineRule="auto"/>
        <w:ind w:right="-266"/>
        <w:jc w:val="center"/>
        <w:rPr>
          <w:sz w:val="28"/>
          <w:szCs w:val="20"/>
        </w:rPr>
      </w:pPr>
      <w:r w:rsidRPr="00D91E6A">
        <w:rPr>
          <w:sz w:val="28"/>
          <w:szCs w:val="20"/>
        </w:rPr>
        <w:t>B</w:t>
      </w:r>
      <w:r w:rsidR="00D91E6A">
        <w:rPr>
          <w:sz w:val="28"/>
          <w:szCs w:val="20"/>
        </w:rPr>
        <w:t>endrosios nuostatos</w:t>
      </w:r>
    </w:p>
    <w:p w:rsidR="006A3DE8" w:rsidRDefault="006A3DE8" w:rsidP="00271C01">
      <w:pPr>
        <w:jc w:val="both"/>
        <w:rPr>
          <w:b/>
          <w:color w:val="auto"/>
          <w:sz w:val="20"/>
          <w:szCs w:val="20"/>
        </w:rPr>
      </w:pPr>
    </w:p>
    <w:p w:rsidR="006A3DE8" w:rsidRPr="004B1C4D" w:rsidRDefault="006A3DE8" w:rsidP="006A3DE8">
      <w:pPr>
        <w:pStyle w:val="Pagrindiniotekstotrauka"/>
        <w:spacing w:after="0"/>
        <w:ind w:left="0" w:firstLine="539"/>
        <w:jc w:val="both"/>
        <w:rPr>
          <w:color w:val="auto"/>
        </w:rPr>
      </w:pPr>
      <w:r w:rsidRPr="004B1C4D">
        <w:rPr>
          <w:color w:val="auto"/>
        </w:rPr>
        <w:t xml:space="preserve">Lietuvos Respublikos valstybės biudžeto sudarymo ir vykdymo teisinis pagrindas yra Lietuvos Respublikos Konstitucija, </w:t>
      </w:r>
      <w:r w:rsidR="00FA164D" w:rsidRPr="004B1C4D">
        <w:rPr>
          <w:color w:val="auto"/>
        </w:rPr>
        <w:t xml:space="preserve">Lietuvos Respublikos </w:t>
      </w:r>
      <w:r w:rsidR="00FA164D">
        <w:rPr>
          <w:color w:val="auto"/>
        </w:rPr>
        <w:t>b</w:t>
      </w:r>
      <w:r w:rsidRPr="004B1C4D">
        <w:rPr>
          <w:color w:val="auto"/>
        </w:rPr>
        <w:t>iudžeto sandaros įstatymas, Fiskalinės drausmės įstatymas, Seimo statutas ir kiti biudžeto pajamų gavimą ir programų finansavimą reglamentuojantys teisės aktai. 20</w:t>
      </w:r>
      <w:r w:rsidR="00F11865">
        <w:rPr>
          <w:color w:val="auto"/>
        </w:rPr>
        <w:t>20</w:t>
      </w:r>
      <w:r w:rsidRPr="004B1C4D">
        <w:rPr>
          <w:color w:val="auto"/>
        </w:rPr>
        <w:t xml:space="preserve"> metų valstybės biudžeto vykdymo ataskaitų rinkinys, kuriam reikalavimus nustato Viešojo sektoriaus atskaitomybės </w:t>
      </w:r>
      <w:r w:rsidRPr="007A2374">
        <w:rPr>
          <w:color w:val="auto"/>
        </w:rPr>
        <w:t>įstatymas</w:t>
      </w:r>
      <w:r w:rsidRPr="007A2374">
        <w:rPr>
          <w:rStyle w:val="Puslapioinaosnuoroda"/>
          <w:color w:val="auto"/>
        </w:rPr>
        <w:footnoteReference w:id="2"/>
      </w:r>
      <w:r w:rsidRPr="007A2374">
        <w:rPr>
          <w:color w:val="auto"/>
        </w:rPr>
        <w:t>,</w:t>
      </w:r>
      <w:r w:rsidRPr="004B1C4D">
        <w:rPr>
          <w:color w:val="auto"/>
        </w:rPr>
        <w:t xml:space="preserve"> parengtas vadovaujantis </w:t>
      </w:r>
      <w:r w:rsidR="004214AE">
        <w:rPr>
          <w:color w:val="auto"/>
        </w:rPr>
        <w:t>B</w:t>
      </w:r>
      <w:r w:rsidRPr="004B1C4D">
        <w:rPr>
          <w:color w:val="auto"/>
        </w:rPr>
        <w:t xml:space="preserve">iudžeto sandaros </w:t>
      </w:r>
      <w:r w:rsidRPr="007A2374">
        <w:rPr>
          <w:color w:val="auto"/>
        </w:rPr>
        <w:t>įstatymo</w:t>
      </w:r>
      <w:r w:rsidRPr="007A2374">
        <w:rPr>
          <w:rStyle w:val="Puslapioinaosnuoroda"/>
          <w:color w:val="auto"/>
        </w:rPr>
        <w:footnoteReference w:id="3"/>
      </w:r>
      <w:r w:rsidRPr="007A2374">
        <w:rPr>
          <w:color w:val="auto"/>
        </w:rPr>
        <w:t xml:space="preserve"> 35 straipsnio nuostata ir Lietuvos Respublikos Vyriausybės patvirtintomis Valstybės biudžeto i</w:t>
      </w:r>
      <w:r w:rsidRPr="004B1C4D">
        <w:rPr>
          <w:color w:val="auto"/>
        </w:rPr>
        <w:t xml:space="preserve">r savivaldybių biudžetų sudarymo ir vykdymo </w:t>
      </w:r>
      <w:r w:rsidRPr="007A2374">
        <w:rPr>
          <w:color w:val="auto"/>
        </w:rPr>
        <w:t>taisyklėmis</w:t>
      </w:r>
      <w:r w:rsidRPr="007A2374">
        <w:rPr>
          <w:rStyle w:val="Puslapioinaosnuoroda"/>
          <w:color w:val="auto"/>
        </w:rPr>
        <w:footnoteReference w:id="4"/>
      </w:r>
      <w:r w:rsidRPr="007A2374">
        <w:rPr>
          <w:color w:val="auto"/>
        </w:rPr>
        <w:t xml:space="preserve"> (toliau</w:t>
      </w:r>
      <w:r w:rsidRPr="004B1C4D">
        <w:rPr>
          <w:color w:val="auto"/>
        </w:rPr>
        <w:t xml:space="preserve"> – Biudžetų sudarymo ir vykdymo taisyklės), atsižvelgiant į Lietuvos </w:t>
      </w:r>
      <w:r w:rsidRPr="007A2374">
        <w:rPr>
          <w:color w:val="auto"/>
        </w:rPr>
        <w:t>Respublikos 20</w:t>
      </w:r>
      <w:r w:rsidR="00F11865">
        <w:rPr>
          <w:color w:val="auto"/>
        </w:rPr>
        <w:t>20</w:t>
      </w:r>
      <w:r w:rsidRPr="007A2374">
        <w:rPr>
          <w:color w:val="auto"/>
        </w:rPr>
        <w:t xml:space="preserve"> metų valstybės biudžeto ir savivaldybių biudžetų finansinių rodiklių patvirtinimo įstatymu</w:t>
      </w:r>
      <w:r w:rsidRPr="007A2374">
        <w:rPr>
          <w:rStyle w:val="Puslapioinaosnuoroda"/>
          <w:color w:val="auto"/>
        </w:rPr>
        <w:footnoteReference w:id="5"/>
      </w:r>
      <w:r w:rsidRPr="007A2374">
        <w:rPr>
          <w:color w:val="auto"/>
        </w:rPr>
        <w:t xml:space="preserve"> (toliau – Finansinių rodiklių patvirtinimo įstatymas</w:t>
      </w:r>
      <w:r w:rsidR="004214AE" w:rsidRPr="007A2374">
        <w:rPr>
          <w:color w:val="auto"/>
        </w:rPr>
        <w:t>) patvirtintus rodiklius</w:t>
      </w:r>
      <w:r w:rsidRPr="007A2374">
        <w:rPr>
          <w:color w:val="auto"/>
        </w:rPr>
        <w:t>. Valstybės ir savivaldybių biudžetų vykdymo, biudžetinių įstaigų ir kitų subjektų programų sąmatų vykdymo apskaitos ir ataskaitų sudarymo taisyklės ir formos patvirtintos finansų ministro įsakymu</w:t>
      </w:r>
      <w:r w:rsidRPr="007A2374">
        <w:rPr>
          <w:rStyle w:val="Puslapioinaosnuoroda"/>
          <w:color w:val="auto"/>
        </w:rPr>
        <w:footnoteReference w:id="6"/>
      </w:r>
      <w:r w:rsidRPr="007A2374">
        <w:rPr>
          <w:color w:val="auto"/>
        </w:rPr>
        <w:t>. Valstybės biudžeto vykdymo ataskaitų rinkinio sudarymo taisyklės ir ataskaitų formos patvirtintos finansų ministro įsakymu</w:t>
      </w:r>
      <w:r w:rsidRPr="007A2374">
        <w:rPr>
          <w:rStyle w:val="Puslapioinaosnuoroda"/>
          <w:color w:val="auto"/>
        </w:rPr>
        <w:footnoteReference w:id="7"/>
      </w:r>
      <w:r w:rsidRPr="007A2374">
        <w:rPr>
          <w:color w:val="auto"/>
        </w:rPr>
        <w:t>. Rengiant biudžeto vykdymo ataskaitas dalyvauja Finansų ministerijos struktūriniai padaliniai, kurie</w:t>
      </w:r>
      <w:r w:rsidRPr="004B1C4D">
        <w:rPr>
          <w:color w:val="auto"/>
        </w:rPr>
        <w:t xml:space="preserve"> pagal kompetenciją teikia reikiamą informaciją ir parengtas atskiras ataskaitas, o Finansų ministerijos Valstybės iždo departamentas (toliau – Valstybės iždo departamentas) parengia valstybės biudžeto vykdymo ataskaitų rinkinį. </w:t>
      </w:r>
    </w:p>
    <w:p w:rsidR="006A3DE8" w:rsidRPr="004B1C4D" w:rsidRDefault="004214AE" w:rsidP="006A3DE8">
      <w:pPr>
        <w:pStyle w:val="Pagrindiniotekstotrauka"/>
        <w:spacing w:after="0"/>
        <w:ind w:left="0" w:firstLine="539"/>
        <w:jc w:val="both"/>
        <w:rPr>
          <w:color w:val="auto"/>
        </w:rPr>
      </w:pPr>
      <w:r>
        <w:rPr>
          <w:color w:val="auto"/>
        </w:rPr>
        <w:t>Valstybės biudžeto vykdymo a</w:t>
      </w:r>
      <w:r w:rsidR="006A3DE8" w:rsidRPr="004B1C4D">
        <w:rPr>
          <w:color w:val="auto"/>
        </w:rPr>
        <w:t xml:space="preserve">taskaitų rinkinio rengimo tikslas – parodyti valstybės biudžeto pajamų planų pagal mokesčių </w:t>
      </w:r>
      <w:r w:rsidR="006A3DE8">
        <w:rPr>
          <w:color w:val="auto"/>
        </w:rPr>
        <w:t xml:space="preserve">ir kitų pajamų </w:t>
      </w:r>
      <w:r w:rsidR="006A3DE8" w:rsidRPr="004B1C4D">
        <w:rPr>
          <w:color w:val="auto"/>
        </w:rPr>
        <w:t>rūšis ir išlaidų pagal valstybės funkci</w:t>
      </w:r>
      <w:r w:rsidR="006A3DE8">
        <w:rPr>
          <w:color w:val="auto"/>
        </w:rPr>
        <w:t>nes ir ekonomines klasifikacijas</w:t>
      </w:r>
      <w:r w:rsidR="006A3DE8" w:rsidRPr="004B1C4D">
        <w:rPr>
          <w:color w:val="auto"/>
        </w:rPr>
        <w:t xml:space="preserve"> vykdymą, pateikti visuomenei informaciją apie vykdomas programas, programų finansavimo šaltinius, asignavimų paskirstymą ir naudojimą, nepanaudojimo priežastis.</w:t>
      </w:r>
    </w:p>
    <w:p w:rsidR="006A3DE8" w:rsidRPr="004B1C4D" w:rsidRDefault="006A3DE8" w:rsidP="006A3DE8">
      <w:pPr>
        <w:pStyle w:val="Pagrindiniotekstotrauka"/>
        <w:spacing w:after="0"/>
        <w:ind w:left="0" w:firstLine="539"/>
        <w:jc w:val="both"/>
        <w:rPr>
          <w:color w:val="auto"/>
        </w:rPr>
      </w:pPr>
      <w:r w:rsidRPr="004B1C4D">
        <w:rPr>
          <w:color w:val="auto"/>
        </w:rPr>
        <w:t>Pagal Biudžeto sandaros įstatymo 35 straipsnio nuostatas metinis valstybės biudžeto vykdymo ataskaitų rinkinys sudaromas</w:t>
      </w:r>
      <w:r w:rsidR="00D4431D">
        <w:rPr>
          <w:color w:val="auto"/>
        </w:rPr>
        <w:t xml:space="preserve"> atsižvelgiant į tam tikrų metų F</w:t>
      </w:r>
      <w:r w:rsidRPr="004B1C4D">
        <w:rPr>
          <w:color w:val="auto"/>
        </w:rPr>
        <w:t xml:space="preserve">inansinių rodiklių patvirtinimo įstatymu patvirtintus rodiklius, panaudotas Vyriausybės rezervo lėšas, perkeltas viršplanines ir </w:t>
      </w:r>
      <w:r w:rsidRPr="004B1C4D">
        <w:rPr>
          <w:color w:val="auto"/>
        </w:rPr>
        <w:lastRenderedPageBreak/>
        <w:t>nepanaudotas įmokų į valstybės biudžetą, nurodytų Biudžeto sandaros įstatymo 2 straipsnio 16 dalies 1 ir 2 punktuose, sumas</w:t>
      </w:r>
      <w:r w:rsidR="004214AE">
        <w:rPr>
          <w:color w:val="auto"/>
        </w:rPr>
        <w:t>,</w:t>
      </w:r>
      <w:r w:rsidR="004214AE" w:rsidRPr="004214AE">
        <w:rPr>
          <w:color w:val="auto"/>
        </w:rPr>
        <w:t xml:space="preserve"> </w:t>
      </w:r>
      <w:r w:rsidR="004214AE" w:rsidRPr="004B1C4D">
        <w:rPr>
          <w:color w:val="auto"/>
        </w:rPr>
        <w:t>skirtas programoms finansuoti</w:t>
      </w:r>
      <w:r w:rsidRPr="004B1C4D">
        <w:rPr>
          <w:color w:val="auto"/>
        </w:rPr>
        <w:t>.</w:t>
      </w:r>
    </w:p>
    <w:p w:rsidR="006A3DE8" w:rsidRPr="004B1C4D" w:rsidRDefault="004214AE" w:rsidP="006A3DE8">
      <w:pPr>
        <w:pStyle w:val="Pagrindiniotekstotrauka"/>
        <w:spacing w:after="0"/>
        <w:ind w:left="0" w:firstLine="539"/>
        <w:jc w:val="both"/>
        <w:rPr>
          <w:color w:val="auto"/>
        </w:rPr>
      </w:pPr>
      <w:r>
        <w:rPr>
          <w:color w:val="auto"/>
        </w:rPr>
        <w:t xml:space="preserve">Valstybės biudžeto vykdymo </w:t>
      </w:r>
      <w:r w:rsidR="00D35407">
        <w:rPr>
          <w:color w:val="auto"/>
        </w:rPr>
        <w:t>a</w:t>
      </w:r>
      <w:r w:rsidR="006A3DE8" w:rsidRPr="004B1C4D">
        <w:rPr>
          <w:color w:val="auto"/>
        </w:rPr>
        <w:t>taskaitų rinkinį rengia Finansų ministerija, remdamasi valstybės biudžeto buhalterinės apskaitos duomenimis – į valstybės biudžetą gautų pajamų ir valstybės biudžeto asignavimų valdytojų pateiktais biudžeto vykdymo ataskaitų rinkiniais. Metinis ataskaitų rinkinys skelbiamas viešai Lietuvos Respublikos finansų ministerijos interneto svetainėje adresu</w:t>
      </w:r>
      <w:r w:rsidR="006A3DE8">
        <w:rPr>
          <w:color w:val="auto"/>
        </w:rPr>
        <w:t xml:space="preserve"> </w:t>
      </w:r>
      <w:r w:rsidR="00527F7B">
        <w:rPr>
          <w:color w:val="auto"/>
        </w:rPr>
        <w:t>www.</w:t>
      </w:r>
      <w:r w:rsidR="006A3DE8">
        <w:rPr>
          <w:color w:val="auto"/>
        </w:rPr>
        <w:t>finmin.lrv.lt.</w:t>
      </w:r>
    </w:p>
    <w:p w:rsidR="006A3DE8" w:rsidRPr="004B1C4D" w:rsidRDefault="006A3DE8" w:rsidP="006A3DE8">
      <w:pPr>
        <w:pStyle w:val="Pagrindiniotekstotrauka"/>
        <w:spacing w:after="0"/>
        <w:ind w:left="0" w:firstLine="539"/>
        <w:jc w:val="both"/>
        <w:rPr>
          <w:color w:val="auto"/>
        </w:rPr>
      </w:pPr>
      <w:r w:rsidRPr="004B1C4D">
        <w:rPr>
          <w:color w:val="auto"/>
        </w:rPr>
        <w:t xml:space="preserve">Vadovaudamasi Viešojo sektoriaus atskaitomybės įstatymo 32 straipsnio </w:t>
      </w:r>
      <w:r w:rsidR="006D2F90">
        <w:rPr>
          <w:color w:val="auto"/>
        </w:rPr>
        <w:t>3</w:t>
      </w:r>
      <w:r w:rsidRPr="004B1C4D">
        <w:rPr>
          <w:color w:val="auto"/>
        </w:rPr>
        <w:t xml:space="preserve"> dalimi, metinį valstybės biudžeto vykdymo ataskaitų rinkinį Finansų ministerija teikia Vyriausybei ne vėliau kaip iki kitų metų kovo 15 dienos. </w:t>
      </w:r>
    </w:p>
    <w:p w:rsidR="006A3DE8" w:rsidRPr="007A2374" w:rsidRDefault="006A3DE8" w:rsidP="006A3DE8">
      <w:pPr>
        <w:pStyle w:val="Pagrindiniotekstotrauka"/>
        <w:spacing w:after="0"/>
        <w:ind w:left="0" w:firstLine="539"/>
        <w:jc w:val="both"/>
        <w:rPr>
          <w:color w:val="auto"/>
        </w:rPr>
      </w:pPr>
      <w:r w:rsidRPr="004B1C4D">
        <w:rPr>
          <w:color w:val="auto"/>
        </w:rPr>
        <w:t xml:space="preserve">Mokesčių ir kitų įmokų į valstybės ir </w:t>
      </w:r>
      <w:r w:rsidRPr="007A2374">
        <w:rPr>
          <w:color w:val="auto"/>
        </w:rPr>
        <w:t>savivaldybių biudžetus apskaičiavimą ir mokėjimą kontroliuoja Mokesčių administravimo įstatymu</w:t>
      </w:r>
      <w:r w:rsidRPr="007A2374">
        <w:rPr>
          <w:rStyle w:val="Puslapioinaosnuoroda"/>
          <w:color w:val="auto"/>
        </w:rPr>
        <w:footnoteReference w:id="8"/>
      </w:r>
      <w:r w:rsidRPr="007A2374">
        <w:rPr>
          <w:color w:val="auto"/>
        </w:rPr>
        <w:t xml:space="preserve"> įgaliotos institucijos. </w:t>
      </w:r>
      <w:r w:rsidR="008B1ADB">
        <w:rPr>
          <w:color w:val="auto"/>
        </w:rPr>
        <w:t>V</w:t>
      </w:r>
      <w:r w:rsidR="008B1ADB" w:rsidRPr="004B1C4D">
        <w:rPr>
          <w:color w:val="auto"/>
        </w:rPr>
        <w:t xml:space="preserve">alstybės ir </w:t>
      </w:r>
      <w:r w:rsidR="008B1ADB" w:rsidRPr="007A2374">
        <w:rPr>
          <w:color w:val="auto"/>
        </w:rPr>
        <w:t xml:space="preserve">savivaldybių </w:t>
      </w:r>
      <w:r w:rsidR="008B1ADB">
        <w:rPr>
          <w:color w:val="auto"/>
        </w:rPr>
        <w:t>b</w:t>
      </w:r>
      <w:r w:rsidRPr="007A2374">
        <w:rPr>
          <w:color w:val="auto"/>
        </w:rPr>
        <w:t>iudžetams priskirtus mokesčius, kitas įmokas ir rinkliavas mokėtojai sumoka į Valstybinės mokesčių inspekcijos prie Finansų ministerijos (toliau – Valstybinė mokesčių inspekcija arba VMI) ir Muitinės departamento prie Finansų ministerijos (toliau – Muitinės departamentas arba Muitinė) pajamų surenkamąsias sąskaitas, iš kurių šios surinktos lėšos kasdien pervedamos į valstybės iždo sąskaitą</w:t>
      </w:r>
      <w:r w:rsidRPr="007A2374">
        <w:rPr>
          <w:rStyle w:val="Puslapioinaosnuoroda"/>
          <w:color w:val="auto"/>
        </w:rPr>
        <w:footnoteReference w:id="9"/>
      </w:r>
      <w:r w:rsidRPr="007A2374">
        <w:rPr>
          <w:color w:val="auto"/>
        </w:rPr>
        <w:t>, savivaldybių sąskaitas ar į kitas sąskaitas, jeigu tai nustatyta kituose teisės aktuose. Europos Sąjungos</w:t>
      </w:r>
      <w:r w:rsidR="004214AE" w:rsidRPr="007A2374">
        <w:rPr>
          <w:color w:val="auto"/>
        </w:rPr>
        <w:t xml:space="preserve"> (toliau – ES)</w:t>
      </w:r>
      <w:r w:rsidRPr="007A2374">
        <w:rPr>
          <w:color w:val="auto"/>
        </w:rPr>
        <w:t>, kita tarptautinė finansinė parama ir kitos valstybės biudžetui priskirtos lėšos pervedamos tiesiogiai į valstybės iždo sąskaitą pagal taisykles ir įmokų kodų sąrašą, patvirtintus finansų ministro įsakymu</w:t>
      </w:r>
      <w:r w:rsidRPr="007A2374">
        <w:rPr>
          <w:rStyle w:val="Puslapioinaosnuoroda"/>
          <w:color w:val="auto"/>
        </w:rPr>
        <w:footnoteReference w:id="10"/>
      </w:r>
      <w:r w:rsidRPr="007A2374">
        <w:rPr>
          <w:color w:val="auto"/>
        </w:rPr>
        <w:t xml:space="preserve">.  </w:t>
      </w:r>
    </w:p>
    <w:p w:rsidR="006A3DE8" w:rsidRPr="007A2374" w:rsidRDefault="006A3DE8" w:rsidP="006A3DE8">
      <w:pPr>
        <w:pStyle w:val="Pagrindiniotekstotrauka"/>
        <w:spacing w:after="0"/>
        <w:ind w:left="0" w:firstLine="539"/>
        <w:jc w:val="both"/>
        <w:rPr>
          <w:color w:val="auto"/>
        </w:rPr>
      </w:pPr>
      <w:r w:rsidRPr="007A2374">
        <w:rPr>
          <w:color w:val="auto"/>
        </w:rPr>
        <w:t>Valstybinė mokesčių inspekcija ir Muitinė kas mėnesį pateikia Valstybės iždo departamentui, o kai įmokos tiesiogiai pervedamos į valstybės iždo sąskaitą, Valstybės iždo departamentas parengia pats, finansų ministro įsakymu patvirtintą Mokesčių ir kitų įmokų į biudžetus apyskaitos formą 1-VP su priedais</w:t>
      </w:r>
      <w:r w:rsidRPr="007A2374">
        <w:rPr>
          <w:rStyle w:val="Puslapioinaosnuoroda"/>
          <w:color w:val="auto"/>
        </w:rPr>
        <w:footnoteReference w:id="11"/>
      </w:r>
      <w:r w:rsidRPr="007A2374">
        <w:rPr>
          <w:color w:val="auto"/>
        </w:rPr>
        <w:t>. Susumavus šių apyskaitų duomenis kiekvieną mėnesį parengiama suvestinė apyskaita, kurioje nurodomos faktiškai į valstybės biudžetą, savivaldybių biudžetus ir fondus įmokėtos pajamos pagal įmokų rūšis.</w:t>
      </w:r>
    </w:p>
    <w:p w:rsidR="006A3DE8" w:rsidRPr="004B1C4D" w:rsidRDefault="006A3DE8" w:rsidP="006A3DE8">
      <w:pPr>
        <w:pStyle w:val="Pagrindiniotekstotrauka"/>
        <w:spacing w:after="0"/>
        <w:ind w:left="0" w:firstLine="539"/>
        <w:jc w:val="both"/>
        <w:rPr>
          <w:color w:val="auto"/>
        </w:rPr>
      </w:pPr>
      <w:r w:rsidRPr="007A2374">
        <w:rPr>
          <w:color w:val="auto"/>
        </w:rPr>
        <w:t>Valstybės biudžeto lėšos, skirtos asignavimų valdytojų, jiems pavaldžių biudžetinių įstaigų ir kitų subjektų programų sąmatoms vykdyti, iš valstybės iždo sąskaitos pervedamos vadovaujantis Valstybės biudžeto lėšų išdavimo iš valstybės iždo sąskaitos taisyklėmis</w:t>
      </w:r>
      <w:r w:rsidRPr="007A2374">
        <w:rPr>
          <w:rStyle w:val="Puslapioinaosnuoroda"/>
          <w:color w:val="auto"/>
        </w:rPr>
        <w:footnoteReference w:id="12"/>
      </w:r>
      <w:r w:rsidRPr="007A2374">
        <w:rPr>
          <w:color w:val="auto"/>
        </w:rPr>
        <w:t>.</w:t>
      </w:r>
    </w:p>
    <w:p w:rsidR="006A3DE8" w:rsidRPr="004B1C4D" w:rsidRDefault="006A3DE8" w:rsidP="006A3DE8">
      <w:pPr>
        <w:pStyle w:val="Pagrindiniotekstotrauka"/>
        <w:spacing w:after="0"/>
        <w:ind w:left="0" w:firstLine="539"/>
        <w:jc w:val="both"/>
        <w:rPr>
          <w:color w:val="auto"/>
        </w:rPr>
      </w:pPr>
      <w:r w:rsidRPr="004B1C4D">
        <w:rPr>
          <w:color w:val="auto"/>
        </w:rPr>
        <w:t xml:space="preserve">Už valstybės biudžeto programų vykdymo ir paskirtų asignavimų naudojimo teisėtumą, ekonomiškumą, efektyvumą, rezultatyvumą ir valstybės biudžeto vykdymo ataskaitų rinkinių teisingumą ir pateikimą laiku atsakingi asignavimų valdytojai ir ministrų valdymo sričių įstaigų, vykdančių atitinkamo asignavimų valdytojo programas ir turinčių pavaldžių biudžetinių įstaigų, vadovai. </w:t>
      </w:r>
    </w:p>
    <w:p w:rsidR="006A3DE8" w:rsidRPr="004B1C4D" w:rsidRDefault="006A3DE8" w:rsidP="006A3DE8">
      <w:pPr>
        <w:pStyle w:val="Pagrindiniotekstotrauka"/>
        <w:spacing w:after="0"/>
        <w:ind w:left="0" w:firstLine="539"/>
        <w:jc w:val="both"/>
        <w:rPr>
          <w:color w:val="auto"/>
        </w:rPr>
      </w:pPr>
      <w:r w:rsidRPr="00C57159">
        <w:rPr>
          <w:color w:val="auto"/>
        </w:rPr>
        <w:t>Valstybės kontrolė, vadovaudamasi Viešojo sektoriaus atskaitomybės įstatymo 30 straipsniu, ne vėliau kaip iki kitų metų spalio 1 dienos Vyriausybei ir iki kitų metų spalio 10 dienos</w:t>
      </w:r>
      <w:r>
        <w:rPr>
          <w:color w:val="auto"/>
        </w:rPr>
        <w:t xml:space="preserve"> Seimui </w:t>
      </w:r>
      <w:r w:rsidRPr="004B1C4D">
        <w:rPr>
          <w:color w:val="auto"/>
        </w:rPr>
        <w:t>pateikia valstybinio audito išvadas ir audito ataskaitas dėl valstybės konsoliduotųjų ataskaitų rinkinio, kurio sudėtinė dalis yra valstybės biudžeto vykdymo ataskaitų rinkinys.</w:t>
      </w:r>
    </w:p>
    <w:p w:rsidR="006A3DE8" w:rsidRDefault="006A3DE8" w:rsidP="006A3DE8">
      <w:pPr>
        <w:pStyle w:val="Pavadinimas"/>
        <w:rPr>
          <w:color w:val="auto"/>
        </w:rPr>
      </w:pPr>
    </w:p>
    <w:p w:rsidR="000337CC" w:rsidRDefault="000337CC" w:rsidP="006A3DE8">
      <w:pPr>
        <w:pStyle w:val="Pavadinimas"/>
        <w:rPr>
          <w:color w:val="auto"/>
        </w:rPr>
      </w:pPr>
    </w:p>
    <w:p w:rsidR="000337CC" w:rsidRDefault="000337CC" w:rsidP="006A3DE8">
      <w:pPr>
        <w:pStyle w:val="Pavadinimas"/>
        <w:rPr>
          <w:color w:val="auto"/>
        </w:rPr>
      </w:pPr>
    </w:p>
    <w:p w:rsidR="000337CC" w:rsidRDefault="000337CC" w:rsidP="006A3DE8">
      <w:pPr>
        <w:pStyle w:val="Pavadinimas"/>
        <w:rPr>
          <w:color w:val="auto"/>
        </w:rPr>
      </w:pPr>
    </w:p>
    <w:p w:rsidR="000760CF" w:rsidRPr="00D91E6A" w:rsidRDefault="00467551" w:rsidP="00247C32">
      <w:pPr>
        <w:pStyle w:val="Antrat33"/>
        <w:spacing w:line="30" w:lineRule="atLeast"/>
        <w:ind w:right="-266"/>
        <w:jc w:val="center"/>
        <w:rPr>
          <w:sz w:val="28"/>
          <w:szCs w:val="20"/>
        </w:rPr>
      </w:pPr>
      <w:r w:rsidRPr="00D91E6A">
        <w:rPr>
          <w:sz w:val="28"/>
          <w:szCs w:val="20"/>
        </w:rPr>
        <w:t xml:space="preserve">II </w:t>
      </w:r>
      <w:r w:rsidR="000760CF" w:rsidRPr="00D91E6A">
        <w:rPr>
          <w:sz w:val="28"/>
          <w:szCs w:val="20"/>
        </w:rPr>
        <w:t>skyrius</w:t>
      </w:r>
    </w:p>
    <w:p w:rsidR="00D1435A" w:rsidRPr="00D91E6A" w:rsidRDefault="00D1435A" w:rsidP="00247C32">
      <w:pPr>
        <w:pStyle w:val="Antrat33"/>
        <w:spacing w:line="30" w:lineRule="atLeast"/>
        <w:ind w:right="-266"/>
        <w:jc w:val="center"/>
        <w:rPr>
          <w:sz w:val="28"/>
          <w:szCs w:val="20"/>
        </w:rPr>
      </w:pPr>
      <w:r w:rsidRPr="00D91E6A">
        <w:rPr>
          <w:sz w:val="28"/>
          <w:szCs w:val="20"/>
        </w:rPr>
        <w:t>Apskaitos politika</w:t>
      </w:r>
    </w:p>
    <w:p w:rsidR="00040E00" w:rsidRPr="0077127B" w:rsidRDefault="00040E00" w:rsidP="00247C32">
      <w:pPr>
        <w:pStyle w:val="Stilius1"/>
        <w:spacing w:line="24" w:lineRule="atLeast"/>
      </w:pPr>
    </w:p>
    <w:p w:rsidR="00040E00" w:rsidRPr="004B1C4D" w:rsidRDefault="00040E00" w:rsidP="00040E00">
      <w:pPr>
        <w:pStyle w:val="Pagrindiniotekstotrauka"/>
        <w:spacing w:after="0"/>
        <w:ind w:left="0" w:firstLine="539"/>
        <w:jc w:val="both"/>
        <w:rPr>
          <w:color w:val="auto"/>
        </w:rPr>
      </w:pPr>
      <w:r w:rsidRPr="004B1C4D">
        <w:rPr>
          <w:color w:val="auto"/>
        </w:rPr>
        <w:t xml:space="preserve">Sudarant metinį </w:t>
      </w:r>
      <w:r w:rsidR="004214AE">
        <w:rPr>
          <w:color w:val="auto"/>
        </w:rPr>
        <w:t xml:space="preserve">valstybės biudžeto vykdymo </w:t>
      </w:r>
      <w:r w:rsidRPr="004B1C4D">
        <w:rPr>
          <w:color w:val="auto"/>
        </w:rPr>
        <w:t>ataskaitų rinkinį buvo vadovautasi šiais bendraisiais apskaitos principais:</w:t>
      </w:r>
    </w:p>
    <w:p w:rsidR="00040E00" w:rsidRPr="004B1C4D" w:rsidRDefault="00040E00" w:rsidP="00040E00">
      <w:pPr>
        <w:pStyle w:val="Pagrindiniotekstotrauka"/>
        <w:spacing w:after="0"/>
        <w:ind w:left="0" w:firstLine="539"/>
        <w:jc w:val="both"/>
        <w:rPr>
          <w:color w:val="auto"/>
        </w:rPr>
      </w:pPr>
      <w:r w:rsidRPr="004B1C4D">
        <w:rPr>
          <w:b/>
          <w:color w:val="auto"/>
        </w:rPr>
        <w:t>1. Grynųjų pinigų principu</w:t>
      </w:r>
      <w:r w:rsidRPr="004B1C4D">
        <w:rPr>
          <w:color w:val="auto"/>
        </w:rPr>
        <w:t xml:space="preserve"> – ataskaitose pajamos pripažįstamos, kai pinigai gaunami į sąskaitas, o išlaidos pripažįstamos, kai jos apmokamos.</w:t>
      </w:r>
    </w:p>
    <w:p w:rsidR="00040E00" w:rsidRPr="004B1C4D" w:rsidRDefault="00040E00" w:rsidP="00040E00">
      <w:pPr>
        <w:pStyle w:val="Pagrindiniotekstotrauka"/>
        <w:spacing w:after="0"/>
        <w:ind w:left="0" w:firstLine="539"/>
        <w:jc w:val="both"/>
        <w:rPr>
          <w:color w:val="auto"/>
        </w:rPr>
      </w:pPr>
      <w:r w:rsidRPr="004B1C4D">
        <w:rPr>
          <w:b/>
          <w:color w:val="auto"/>
        </w:rPr>
        <w:t>2. Subjekto principu</w:t>
      </w:r>
      <w:r w:rsidR="004214AE">
        <w:rPr>
          <w:color w:val="auto"/>
        </w:rPr>
        <w:t xml:space="preserve"> – apskaitoje registruojama ir ataskaitose rodoma</w:t>
      </w:r>
      <w:r w:rsidRPr="004B1C4D">
        <w:rPr>
          <w:color w:val="auto"/>
        </w:rPr>
        <w:t xml:space="preserve"> tik valstybės biudžeto asignavimų valdytojų, mokesčių administratorių ir Finansų ministerijos valstybės biudžeto vykdymo informa</w:t>
      </w:r>
      <w:r w:rsidR="004214AE">
        <w:rPr>
          <w:color w:val="auto"/>
        </w:rPr>
        <w:t>cija</w:t>
      </w:r>
      <w:r w:rsidR="0083502C">
        <w:rPr>
          <w:color w:val="auto"/>
        </w:rPr>
        <w:t>.</w:t>
      </w:r>
    </w:p>
    <w:p w:rsidR="00040E00" w:rsidRPr="004B1C4D" w:rsidRDefault="00040E00" w:rsidP="00040E00">
      <w:pPr>
        <w:pStyle w:val="Pagrindiniotekstotrauka"/>
        <w:spacing w:after="0"/>
        <w:ind w:left="0" w:firstLine="567"/>
        <w:jc w:val="both"/>
        <w:rPr>
          <w:color w:val="auto"/>
        </w:rPr>
      </w:pPr>
      <w:r>
        <w:rPr>
          <w:color w:val="auto"/>
        </w:rPr>
        <w:t>Lietuvos Respublikos v</w:t>
      </w:r>
      <w:r w:rsidRPr="004B1C4D">
        <w:rPr>
          <w:color w:val="auto"/>
        </w:rPr>
        <w:t xml:space="preserve">alstybės biudžeto pajamų </w:t>
      </w:r>
      <w:r w:rsidR="00B7270E">
        <w:rPr>
          <w:color w:val="auto"/>
        </w:rPr>
        <w:t>plano vykdymo ataskaita</w:t>
      </w:r>
      <w:r w:rsidRPr="004B1C4D">
        <w:rPr>
          <w:color w:val="auto"/>
        </w:rPr>
        <w:t xml:space="preserve"> (forma Nr. 1) </w:t>
      </w:r>
      <w:r w:rsidR="0083502C">
        <w:rPr>
          <w:color w:val="auto"/>
        </w:rPr>
        <w:t>parengiama</w:t>
      </w:r>
      <w:r w:rsidRPr="004B1C4D">
        <w:rPr>
          <w:color w:val="auto"/>
        </w:rPr>
        <w:t xml:space="preserve"> pagal Valstybinės mokesčių inspekcijos, Muitinės departamento pateiktas mokesčių ir kitų įmokų į biudžetus apyskaitas, taip pat valstybės i</w:t>
      </w:r>
      <w:r w:rsidR="00B7270E">
        <w:rPr>
          <w:color w:val="auto"/>
        </w:rPr>
        <w:t>ždo apskaitos duomeni</w:t>
      </w:r>
      <w:r w:rsidR="0083502C">
        <w:rPr>
          <w:color w:val="auto"/>
        </w:rPr>
        <w:t>s.</w:t>
      </w:r>
    </w:p>
    <w:p w:rsidR="008A4869" w:rsidRDefault="00040E00" w:rsidP="00040E00">
      <w:pPr>
        <w:pStyle w:val="Pagrindiniotekstotrauka"/>
        <w:spacing w:after="0"/>
        <w:ind w:left="0" w:firstLine="539"/>
        <w:jc w:val="both"/>
        <w:rPr>
          <w:color w:val="auto"/>
        </w:rPr>
      </w:pPr>
      <w:r>
        <w:rPr>
          <w:color w:val="auto"/>
        </w:rPr>
        <w:t>Lietuvos Respublikos v</w:t>
      </w:r>
      <w:r w:rsidRPr="004B1C4D">
        <w:rPr>
          <w:color w:val="auto"/>
        </w:rPr>
        <w:t xml:space="preserve">alstybės biudžeto išlaidų </w:t>
      </w:r>
      <w:r w:rsidR="0083502C">
        <w:rPr>
          <w:color w:val="auto"/>
        </w:rPr>
        <w:t>plano</w:t>
      </w:r>
      <w:r w:rsidRPr="004B1C4D">
        <w:rPr>
          <w:color w:val="auto"/>
        </w:rPr>
        <w:t xml:space="preserve"> vykdym</w:t>
      </w:r>
      <w:r w:rsidR="00205FA4">
        <w:rPr>
          <w:color w:val="auto"/>
        </w:rPr>
        <w:t>o ataskaitų form</w:t>
      </w:r>
      <w:r w:rsidR="0083502C">
        <w:rPr>
          <w:color w:val="auto"/>
        </w:rPr>
        <w:t>ų</w:t>
      </w:r>
      <w:r w:rsidR="00205FA4">
        <w:rPr>
          <w:color w:val="auto"/>
        </w:rPr>
        <w:t xml:space="preserve"> (form</w:t>
      </w:r>
      <w:r w:rsidR="0083502C">
        <w:rPr>
          <w:color w:val="auto"/>
        </w:rPr>
        <w:t>os</w:t>
      </w:r>
      <w:r w:rsidR="00FC69C9">
        <w:rPr>
          <w:color w:val="auto"/>
        </w:rPr>
        <w:t xml:space="preserve"> Nr. </w:t>
      </w:r>
      <w:r w:rsidR="00205FA4">
        <w:rPr>
          <w:color w:val="auto"/>
        </w:rPr>
        <w:t>2</w:t>
      </w:r>
      <w:r w:rsidR="004214AE" w:rsidRPr="004214AE">
        <w:rPr>
          <w:color w:val="auto"/>
        </w:rPr>
        <w:t>–</w:t>
      </w:r>
      <w:r w:rsidR="00762E9D">
        <w:rPr>
          <w:color w:val="auto"/>
        </w:rPr>
        <w:t>6</w:t>
      </w:r>
      <w:r w:rsidR="0083502C">
        <w:rPr>
          <w:color w:val="auto"/>
        </w:rPr>
        <w:t>)</w:t>
      </w:r>
      <w:r w:rsidRPr="004B1C4D">
        <w:rPr>
          <w:color w:val="auto"/>
        </w:rPr>
        <w:t xml:space="preserve"> </w:t>
      </w:r>
      <w:r w:rsidR="0083502C">
        <w:rPr>
          <w:color w:val="auto"/>
        </w:rPr>
        <w:t>stulpelyje</w:t>
      </w:r>
      <w:r w:rsidRPr="004B1C4D">
        <w:rPr>
          <w:color w:val="auto"/>
        </w:rPr>
        <w:t xml:space="preserve"> ,,Planas“ rodomi Finansinių rodiklių patvirtinimo įstatymu patvirtinti</w:t>
      </w:r>
      <w:r w:rsidR="0083502C">
        <w:rPr>
          <w:color w:val="auto"/>
        </w:rPr>
        <w:t xml:space="preserve"> asignavimų planai</w:t>
      </w:r>
      <w:r w:rsidR="00F807B2">
        <w:rPr>
          <w:color w:val="auto"/>
        </w:rPr>
        <w:t>, o</w:t>
      </w:r>
      <w:r w:rsidRPr="004B1C4D">
        <w:rPr>
          <w:color w:val="auto"/>
        </w:rPr>
        <w:t xml:space="preserve"> </w:t>
      </w:r>
      <w:r w:rsidR="00F807B2">
        <w:rPr>
          <w:color w:val="auto"/>
        </w:rPr>
        <w:t>s</w:t>
      </w:r>
      <w:r w:rsidR="0083502C">
        <w:rPr>
          <w:color w:val="auto"/>
        </w:rPr>
        <w:t xml:space="preserve">tulpelyje </w:t>
      </w:r>
      <w:r w:rsidRPr="004B1C4D">
        <w:rPr>
          <w:color w:val="auto"/>
        </w:rPr>
        <w:t>,,Plana</w:t>
      </w:r>
      <w:r w:rsidR="0083502C">
        <w:rPr>
          <w:color w:val="auto"/>
        </w:rPr>
        <w:t>s su leistinais patikslinimais“ rodomi</w:t>
      </w:r>
      <w:r w:rsidR="008A4869">
        <w:rPr>
          <w:color w:val="auto"/>
        </w:rPr>
        <w:t xml:space="preserve"> patikslinti</w:t>
      </w:r>
      <w:r w:rsidRPr="004B1C4D">
        <w:rPr>
          <w:color w:val="auto"/>
        </w:rPr>
        <w:t xml:space="preserve"> asignavimų</w:t>
      </w:r>
      <w:r w:rsidR="008A4869">
        <w:rPr>
          <w:color w:val="auto"/>
        </w:rPr>
        <w:t xml:space="preserve"> planai</w:t>
      </w:r>
      <w:r w:rsidRPr="004B1C4D">
        <w:rPr>
          <w:color w:val="auto"/>
        </w:rPr>
        <w:t xml:space="preserve">, </w:t>
      </w:r>
      <w:r w:rsidR="008A4869">
        <w:rPr>
          <w:color w:val="auto"/>
        </w:rPr>
        <w:t xml:space="preserve">atlikus </w:t>
      </w:r>
      <w:r w:rsidRPr="004B1C4D">
        <w:rPr>
          <w:color w:val="auto"/>
        </w:rPr>
        <w:t>leistin</w:t>
      </w:r>
      <w:r w:rsidR="008A4869">
        <w:rPr>
          <w:color w:val="auto"/>
        </w:rPr>
        <w:t>us patikslinimus</w:t>
      </w:r>
      <w:r w:rsidRPr="004B1C4D">
        <w:rPr>
          <w:color w:val="auto"/>
        </w:rPr>
        <w:t xml:space="preserve">, vadovaujantis Biudžeto sandaros įstatymo, Finansinių rodiklių patvirtinimo įstatymo ir </w:t>
      </w:r>
      <w:r w:rsidR="0083502C">
        <w:rPr>
          <w:color w:val="auto"/>
        </w:rPr>
        <w:t>kitų teisės aktų nuostatomis. Stulpelyje</w:t>
      </w:r>
      <w:r w:rsidR="00205FA4">
        <w:rPr>
          <w:color w:val="auto"/>
        </w:rPr>
        <w:t xml:space="preserve"> </w:t>
      </w:r>
      <w:r w:rsidRPr="004B1C4D">
        <w:rPr>
          <w:color w:val="auto"/>
        </w:rPr>
        <w:t xml:space="preserve">,,Vykdymas“ rodomi valstybės biudžeto asignavimų valdytojų </w:t>
      </w:r>
      <w:r>
        <w:rPr>
          <w:color w:val="auto"/>
        </w:rPr>
        <w:t xml:space="preserve">panaudotų </w:t>
      </w:r>
      <w:r w:rsidR="0083502C">
        <w:rPr>
          <w:color w:val="auto"/>
        </w:rPr>
        <w:t xml:space="preserve">valstybės biudžeto </w:t>
      </w:r>
      <w:r>
        <w:rPr>
          <w:color w:val="auto"/>
        </w:rPr>
        <w:t>asignavimų</w:t>
      </w:r>
      <w:r w:rsidRPr="004B1C4D">
        <w:rPr>
          <w:color w:val="auto"/>
        </w:rPr>
        <w:t xml:space="preserve"> duomenys</w:t>
      </w:r>
      <w:r w:rsidR="0083502C">
        <w:rPr>
          <w:color w:val="auto"/>
        </w:rPr>
        <w:t>. Stulpelyje</w:t>
      </w:r>
      <w:r w:rsidR="00205FA4" w:rsidRPr="00762E9D">
        <w:rPr>
          <w:color w:val="auto"/>
        </w:rPr>
        <w:t xml:space="preserve"> „Patikslinto plano vykdymas, proc.“ </w:t>
      </w:r>
      <w:r w:rsidR="008A4869">
        <w:rPr>
          <w:color w:val="auto"/>
        </w:rPr>
        <w:t>rodomas</w:t>
      </w:r>
      <w:r w:rsidR="00205FA4" w:rsidRPr="00762E9D">
        <w:rPr>
          <w:color w:val="auto"/>
        </w:rPr>
        <w:t xml:space="preserve"> valstybės </w:t>
      </w:r>
      <w:r w:rsidR="0083502C" w:rsidRPr="004B1C4D">
        <w:rPr>
          <w:color w:val="auto"/>
        </w:rPr>
        <w:t xml:space="preserve">biudžeto asignavimų valdytojų </w:t>
      </w:r>
      <w:r w:rsidR="0083502C">
        <w:rPr>
          <w:color w:val="auto"/>
        </w:rPr>
        <w:t xml:space="preserve">panaudotų valstybės biudžeto asignavimų </w:t>
      </w:r>
      <w:r w:rsidR="00205FA4" w:rsidRPr="00762E9D">
        <w:rPr>
          <w:color w:val="auto"/>
        </w:rPr>
        <w:t>duomenų palyginimas su patikslintu planu</w:t>
      </w:r>
      <w:r w:rsidR="008A4869">
        <w:rPr>
          <w:color w:val="auto"/>
        </w:rPr>
        <w:t xml:space="preserve"> procentais</w:t>
      </w:r>
      <w:r w:rsidRPr="00762E9D">
        <w:rPr>
          <w:color w:val="auto"/>
        </w:rPr>
        <w:t xml:space="preserve">. </w:t>
      </w:r>
    </w:p>
    <w:p w:rsidR="00B7270E" w:rsidRDefault="00040E00" w:rsidP="00040E00">
      <w:pPr>
        <w:pStyle w:val="Pagrindiniotekstotrauka"/>
        <w:spacing w:after="0"/>
        <w:ind w:left="0" w:firstLine="539"/>
        <w:jc w:val="both"/>
        <w:rPr>
          <w:color w:val="auto"/>
        </w:rPr>
      </w:pPr>
      <w:r w:rsidRPr="004B1C4D">
        <w:rPr>
          <w:color w:val="auto"/>
        </w:rPr>
        <w:t xml:space="preserve">Valstybės biudžeto vykdymo ataskaitose rodomas asignavimų panaudojimas išlaidoms, iš jų darbo užmokesčiui, ir turtui įsigyti pagal visus </w:t>
      </w:r>
      <w:r w:rsidR="008A4869">
        <w:rPr>
          <w:color w:val="auto"/>
        </w:rPr>
        <w:t xml:space="preserve">valstybės biudžeto </w:t>
      </w:r>
      <w:r w:rsidRPr="004B1C4D">
        <w:rPr>
          <w:color w:val="auto"/>
        </w:rPr>
        <w:t>asignavimų valdytojus</w:t>
      </w:r>
      <w:r w:rsidR="008A4869">
        <w:rPr>
          <w:color w:val="auto"/>
        </w:rPr>
        <w:t xml:space="preserve"> ataskaitų formose Nr. 2 ir Nr. 3</w:t>
      </w:r>
      <w:r w:rsidR="00B7270E">
        <w:rPr>
          <w:color w:val="auto"/>
        </w:rPr>
        <w:t>.</w:t>
      </w:r>
      <w:r w:rsidRPr="004B1C4D">
        <w:rPr>
          <w:color w:val="auto"/>
        </w:rPr>
        <w:t xml:space="preserve"> </w:t>
      </w:r>
    </w:p>
    <w:p w:rsidR="00040E00" w:rsidRPr="004B1C4D" w:rsidRDefault="00040E00" w:rsidP="00040E00">
      <w:pPr>
        <w:pStyle w:val="Pagrindiniotekstotrauka"/>
        <w:spacing w:after="0"/>
        <w:ind w:left="0" w:firstLine="539"/>
        <w:jc w:val="both"/>
        <w:rPr>
          <w:color w:val="auto"/>
        </w:rPr>
      </w:pPr>
      <w:r w:rsidRPr="004B1C4D">
        <w:rPr>
          <w:color w:val="auto"/>
        </w:rPr>
        <w:t xml:space="preserve">Suminė valstybės biudžeto išlaidų </w:t>
      </w:r>
      <w:r w:rsidR="008C7262">
        <w:rPr>
          <w:color w:val="auto"/>
        </w:rPr>
        <w:t>plano</w:t>
      </w:r>
      <w:r w:rsidRPr="004B1C4D">
        <w:rPr>
          <w:color w:val="auto"/>
        </w:rPr>
        <w:t xml:space="preserve"> vykdymo informacija pagal valstybės fu</w:t>
      </w:r>
      <w:r w:rsidR="00527F7B">
        <w:rPr>
          <w:color w:val="auto"/>
        </w:rPr>
        <w:t>nkcijas pateikiama</w:t>
      </w:r>
      <w:r w:rsidR="008A4869">
        <w:rPr>
          <w:color w:val="auto"/>
        </w:rPr>
        <w:t xml:space="preserve"> ataskaitos</w:t>
      </w:r>
      <w:r w:rsidR="00527F7B">
        <w:rPr>
          <w:color w:val="auto"/>
        </w:rPr>
        <w:t xml:space="preserve"> formoje Nr. 4</w:t>
      </w:r>
      <w:r w:rsidRPr="004B1C4D">
        <w:rPr>
          <w:color w:val="auto"/>
        </w:rPr>
        <w:t>, o pagal ekonomin</w:t>
      </w:r>
      <w:r w:rsidR="00527F7B">
        <w:rPr>
          <w:color w:val="auto"/>
        </w:rPr>
        <w:t xml:space="preserve">ę klasifikaciją – </w:t>
      </w:r>
      <w:r w:rsidR="008A4869">
        <w:rPr>
          <w:color w:val="auto"/>
        </w:rPr>
        <w:t>ataskaitos</w:t>
      </w:r>
      <w:r w:rsidR="00527F7B">
        <w:rPr>
          <w:color w:val="auto"/>
        </w:rPr>
        <w:t xml:space="preserve"> formoje Nr. 5</w:t>
      </w:r>
      <w:r w:rsidRPr="004B1C4D">
        <w:rPr>
          <w:color w:val="auto"/>
        </w:rPr>
        <w:t>.</w:t>
      </w:r>
    </w:p>
    <w:p w:rsidR="00040E00" w:rsidRPr="008A4869" w:rsidRDefault="00040E00" w:rsidP="00040E00">
      <w:pPr>
        <w:pStyle w:val="Pagrindiniotekstotrauka"/>
        <w:spacing w:after="0"/>
        <w:ind w:left="0" w:firstLine="567"/>
        <w:jc w:val="both"/>
        <w:rPr>
          <w:color w:val="auto"/>
        </w:rPr>
      </w:pPr>
      <w:r w:rsidRPr="004B1C4D">
        <w:rPr>
          <w:color w:val="auto"/>
        </w:rPr>
        <w:t>Lietuvos Respublikos Vyriausybės rezervo pana</w:t>
      </w:r>
      <w:r w:rsidR="00527F7B">
        <w:rPr>
          <w:color w:val="auto"/>
        </w:rPr>
        <w:t>udojimo ataskaitoje (forma Nr. 6</w:t>
      </w:r>
      <w:r w:rsidRPr="004B1C4D">
        <w:rPr>
          <w:color w:val="auto"/>
        </w:rPr>
        <w:t xml:space="preserve">) </w:t>
      </w:r>
      <w:r w:rsidR="00FB2BAB">
        <w:rPr>
          <w:color w:val="auto"/>
        </w:rPr>
        <w:t>pateikiami</w:t>
      </w:r>
      <w:r w:rsidR="00FB2BAB" w:rsidRPr="004B1C4D">
        <w:rPr>
          <w:color w:val="auto"/>
        </w:rPr>
        <w:t xml:space="preserve"> </w:t>
      </w:r>
      <w:r w:rsidRPr="004B1C4D">
        <w:rPr>
          <w:color w:val="auto"/>
        </w:rPr>
        <w:t xml:space="preserve">duomenys apie iš Vyriausybės rezervo </w:t>
      </w:r>
      <w:r w:rsidR="000B1F12">
        <w:rPr>
          <w:color w:val="auto"/>
        </w:rPr>
        <w:t>skirtas</w:t>
      </w:r>
      <w:r w:rsidRPr="004B1C4D">
        <w:rPr>
          <w:color w:val="auto"/>
        </w:rPr>
        <w:t xml:space="preserve"> ir panaudotas lėšas. Ataskaitoje </w:t>
      </w:r>
      <w:r w:rsidR="008A4869">
        <w:rPr>
          <w:color w:val="auto"/>
        </w:rPr>
        <w:t>nurodomi</w:t>
      </w:r>
      <w:r w:rsidRPr="004B1C4D">
        <w:rPr>
          <w:color w:val="auto"/>
        </w:rPr>
        <w:t xml:space="preserve"> </w:t>
      </w:r>
      <w:r w:rsidR="00342FC1">
        <w:rPr>
          <w:color w:val="auto"/>
        </w:rPr>
        <w:t xml:space="preserve">tie </w:t>
      </w:r>
      <w:r w:rsidRPr="004B1C4D">
        <w:rPr>
          <w:color w:val="auto"/>
        </w:rPr>
        <w:t>asignavimų valdytojai</w:t>
      </w:r>
      <w:r w:rsidR="00342FC1">
        <w:rPr>
          <w:color w:val="auto"/>
        </w:rPr>
        <w:t>, kuriems pagal atskirus Lietuvos Respublikos Vyriausybės nutarimus buvo skirtos lėšos iš Vyriausybės rezervo.</w:t>
      </w:r>
      <w:r w:rsidRPr="004B1C4D">
        <w:rPr>
          <w:color w:val="auto"/>
        </w:rPr>
        <w:t xml:space="preserve"> </w:t>
      </w:r>
    </w:p>
    <w:p w:rsidR="00040E00" w:rsidRPr="008A4869" w:rsidRDefault="00040E00" w:rsidP="00040E00">
      <w:pPr>
        <w:pStyle w:val="Pagrindiniotekstotrauka"/>
        <w:spacing w:after="0"/>
        <w:ind w:left="0" w:firstLine="567"/>
        <w:jc w:val="both"/>
        <w:rPr>
          <w:color w:val="auto"/>
        </w:rPr>
      </w:pPr>
      <w:r w:rsidRPr="008A4869">
        <w:rPr>
          <w:color w:val="auto"/>
        </w:rPr>
        <w:t>Biudžetinių įstaigų pajamų įmokų į valstybės biudžetą, valstybės biudžeto pajamų iš mokesčių dalies ir kitų lėšų, įstatymais ir kitais teisės aktais skiriamų programoms finansuoti, ir perkeltų viršplaninių ir nepanaudotų įmokų į valstybės biudžetą (pagal asi</w:t>
      </w:r>
      <w:r w:rsidR="00527F7B" w:rsidRPr="008A4869">
        <w:rPr>
          <w:color w:val="auto"/>
        </w:rPr>
        <w:t xml:space="preserve">gnavimų valdytojus) </w:t>
      </w:r>
      <w:r w:rsidRPr="008A4869">
        <w:rPr>
          <w:color w:val="auto"/>
        </w:rPr>
        <w:t>ataskaita</w:t>
      </w:r>
      <w:r w:rsidR="008A4869" w:rsidRPr="008A4869">
        <w:rPr>
          <w:color w:val="auto"/>
        </w:rPr>
        <w:t xml:space="preserve"> (forma Nr. 7) </w:t>
      </w:r>
      <w:r w:rsidRPr="008A4869">
        <w:rPr>
          <w:color w:val="auto"/>
        </w:rPr>
        <w:t>reng</w:t>
      </w:r>
      <w:r w:rsidR="00D4431D" w:rsidRPr="008A4869">
        <w:rPr>
          <w:color w:val="auto"/>
        </w:rPr>
        <w:t>iama</w:t>
      </w:r>
      <w:r w:rsidR="005B66BE" w:rsidRPr="008A4869">
        <w:rPr>
          <w:color w:val="auto"/>
        </w:rPr>
        <w:t xml:space="preserve"> pagal mokėtojų </w:t>
      </w:r>
      <w:r w:rsidR="00AD3199" w:rsidRPr="008A4869">
        <w:rPr>
          <w:color w:val="auto"/>
        </w:rPr>
        <w:t xml:space="preserve">tiesiogiai į valstybės iždo banko sąskaitą </w:t>
      </w:r>
      <w:r w:rsidR="005B66BE" w:rsidRPr="008A4869">
        <w:rPr>
          <w:color w:val="auto"/>
        </w:rPr>
        <w:t>įmokėtų pajamų įmokų</w:t>
      </w:r>
      <w:r w:rsidR="008A4869" w:rsidRPr="008A4869">
        <w:rPr>
          <w:color w:val="auto"/>
        </w:rPr>
        <w:t xml:space="preserve"> ir pajamų iš mokesčių dalies ir kitų lėšų, įstatymais ir kitais teisės aktais skiriamų programoms finansuoti,</w:t>
      </w:r>
      <w:r w:rsidR="005B66BE" w:rsidRPr="008A4869">
        <w:rPr>
          <w:color w:val="auto"/>
        </w:rPr>
        <w:t xml:space="preserve"> duomenis, asignavimų valdytojų pateiktų </w:t>
      </w:r>
      <w:r w:rsidR="008A4869" w:rsidRPr="008A4869">
        <w:rPr>
          <w:color w:val="auto"/>
        </w:rPr>
        <w:t xml:space="preserve">asignavimų panaudojimo </w:t>
      </w:r>
      <w:r w:rsidR="005B66BE" w:rsidRPr="008A4869">
        <w:rPr>
          <w:color w:val="auto"/>
        </w:rPr>
        <w:t xml:space="preserve">ataskaitų duomenis ir </w:t>
      </w:r>
      <w:r w:rsidR="00D35407">
        <w:rPr>
          <w:color w:val="auto"/>
        </w:rPr>
        <w:t xml:space="preserve">pagal </w:t>
      </w:r>
      <w:r w:rsidR="005B66BE" w:rsidRPr="008A4869">
        <w:rPr>
          <w:color w:val="auto"/>
        </w:rPr>
        <w:t>VMI pateikt</w:t>
      </w:r>
      <w:r w:rsidR="00D35407">
        <w:rPr>
          <w:color w:val="auto"/>
        </w:rPr>
        <w:t>os</w:t>
      </w:r>
      <w:r w:rsidR="005B66BE" w:rsidRPr="008A4869">
        <w:rPr>
          <w:color w:val="auto"/>
        </w:rPr>
        <w:t xml:space="preserve"> apyskait</w:t>
      </w:r>
      <w:r w:rsidR="00D35407">
        <w:rPr>
          <w:color w:val="auto"/>
        </w:rPr>
        <w:t>os</w:t>
      </w:r>
      <w:r w:rsidR="00AD3199" w:rsidRPr="008A4869">
        <w:rPr>
          <w:color w:val="auto"/>
        </w:rPr>
        <w:t xml:space="preserve"> apie valstybės biudžeto pajamų iš mokesčių dalies ir kitų lėšų, įstatymais ir kitais teisės aktais skiriamų programoms finansuoti pagal asignavimų valdytojus</w:t>
      </w:r>
      <w:r w:rsidRPr="008A4869">
        <w:rPr>
          <w:color w:val="auto"/>
        </w:rPr>
        <w:t xml:space="preserve">, </w:t>
      </w:r>
      <w:r w:rsidR="008A4869" w:rsidRPr="008A4869">
        <w:rPr>
          <w:color w:val="auto"/>
        </w:rPr>
        <w:t>duomenis</w:t>
      </w:r>
      <w:r w:rsidRPr="008A4869">
        <w:rPr>
          <w:color w:val="auto"/>
        </w:rPr>
        <w:t xml:space="preserve">. </w:t>
      </w:r>
    </w:p>
    <w:p w:rsidR="00040E00" w:rsidRPr="004B1C4D" w:rsidRDefault="00040E00" w:rsidP="00040E00">
      <w:pPr>
        <w:pStyle w:val="Pagrindiniotekstotrauka"/>
        <w:spacing w:after="0"/>
        <w:ind w:left="0" w:firstLine="540"/>
        <w:jc w:val="both"/>
        <w:rPr>
          <w:color w:val="auto"/>
        </w:rPr>
      </w:pPr>
      <w:r w:rsidRPr="008A4869">
        <w:rPr>
          <w:color w:val="auto"/>
        </w:rPr>
        <w:t xml:space="preserve">Finansinių rodiklių patvirtinimo įstatymo </w:t>
      </w:r>
      <w:r w:rsidR="002D6EF5">
        <w:rPr>
          <w:color w:val="auto"/>
        </w:rPr>
        <w:t>5</w:t>
      </w:r>
      <w:r w:rsidRPr="004B1C4D">
        <w:rPr>
          <w:color w:val="auto"/>
        </w:rPr>
        <w:t xml:space="preserve"> </w:t>
      </w:r>
      <w:r>
        <w:rPr>
          <w:color w:val="auto"/>
        </w:rPr>
        <w:t xml:space="preserve">ir </w:t>
      </w:r>
      <w:r w:rsidR="002D6EF5">
        <w:rPr>
          <w:color w:val="auto"/>
        </w:rPr>
        <w:t>6</w:t>
      </w:r>
      <w:r>
        <w:rPr>
          <w:color w:val="auto"/>
        </w:rPr>
        <w:t xml:space="preserve"> </w:t>
      </w:r>
      <w:r w:rsidRPr="004B1C4D">
        <w:rPr>
          <w:color w:val="auto"/>
        </w:rPr>
        <w:t>pried</w:t>
      </w:r>
      <w:r>
        <w:rPr>
          <w:color w:val="auto"/>
        </w:rPr>
        <w:t>uose</w:t>
      </w:r>
      <w:r w:rsidRPr="004B1C4D">
        <w:rPr>
          <w:color w:val="auto"/>
        </w:rPr>
        <w:t xml:space="preserve"> nurodytos valstybės institucijos ir įstaigos paskirsto ir perveda savivaldybėms valstybės biudžeto specialias tikslines dotacijas. Valstybės institucijų ir įstaigų pateiktų duomenų pagrindu, nurodant dotacijos paskirties pavadinimą,</w:t>
      </w:r>
      <w:r>
        <w:rPr>
          <w:color w:val="auto"/>
        </w:rPr>
        <w:t xml:space="preserve"> parengta</w:t>
      </w:r>
      <w:r w:rsidR="00527F7B">
        <w:rPr>
          <w:color w:val="auto"/>
        </w:rPr>
        <w:t xml:space="preserve"> ataskaita (forma Nr. 8</w:t>
      </w:r>
      <w:r w:rsidRPr="004B1C4D">
        <w:rPr>
          <w:color w:val="auto"/>
        </w:rPr>
        <w:t>).</w:t>
      </w:r>
    </w:p>
    <w:p w:rsidR="00040E00" w:rsidRPr="004B1C4D" w:rsidRDefault="00040E00" w:rsidP="00040E00">
      <w:pPr>
        <w:pStyle w:val="Pagrindiniotekstotrauka"/>
        <w:spacing w:after="0"/>
        <w:ind w:left="0" w:firstLine="540"/>
        <w:jc w:val="both"/>
        <w:rPr>
          <w:color w:val="auto"/>
        </w:rPr>
      </w:pPr>
      <w:r w:rsidRPr="004B1C4D">
        <w:rPr>
          <w:color w:val="auto"/>
        </w:rPr>
        <w:t>Valstybės biudžeto bendrosios dotacijos kompensacijos savivaldybių biudžetams</w:t>
      </w:r>
      <w:r>
        <w:rPr>
          <w:color w:val="auto"/>
        </w:rPr>
        <w:t xml:space="preserve"> </w:t>
      </w:r>
      <w:r w:rsidRPr="004B1C4D">
        <w:rPr>
          <w:color w:val="auto"/>
        </w:rPr>
        <w:t xml:space="preserve">ataskaita (forma Nr. </w:t>
      </w:r>
      <w:r>
        <w:rPr>
          <w:color w:val="auto"/>
        </w:rPr>
        <w:t>9</w:t>
      </w:r>
      <w:r w:rsidRPr="004B1C4D">
        <w:rPr>
          <w:color w:val="auto"/>
        </w:rPr>
        <w:t xml:space="preserve">) </w:t>
      </w:r>
      <w:r w:rsidR="005E2283">
        <w:rPr>
          <w:color w:val="auto"/>
        </w:rPr>
        <w:t xml:space="preserve">panaikinta Lietuvos </w:t>
      </w:r>
      <w:r w:rsidR="00035519">
        <w:rPr>
          <w:color w:val="auto"/>
        </w:rPr>
        <w:t>R</w:t>
      </w:r>
      <w:r w:rsidR="005E2283">
        <w:rPr>
          <w:color w:val="auto"/>
        </w:rPr>
        <w:t xml:space="preserve">espublikos </w:t>
      </w:r>
      <w:r w:rsidR="00035519">
        <w:rPr>
          <w:color w:val="auto"/>
        </w:rPr>
        <w:t xml:space="preserve">finansų </w:t>
      </w:r>
      <w:r w:rsidR="005E2283">
        <w:rPr>
          <w:color w:val="auto"/>
        </w:rPr>
        <w:t>ministro 2018</w:t>
      </w:r>
      <w:r w:rsidR="00035519">
        <w:rPr>
          <w:color w:val="auto"/>
        </w:rPr>
        <w:t xml:space="preserve"> m. sausio </w:t>
      </w:r>
      <w:r w:rsidR="005E2283">
        <w:rPr>
          <w:color w:val="auto"/>
        </w:rPr>
        <w:t>17</w:t>
      </w:r>
      <w:r w:rsidR="00035519">
        <w:rPr>
          <w:color w:val="auto"/>
        </w:rPr>
        <w:t xml:space="preserve"> d. </w:t>
      </w:r>
      <w:r w:rsidR="005E2283">
        <w:rPr>
          <w:color w:val="auto"/>
        </w:rPr>
        <w:t>įsakymu Nr. 1K</w:t>
      </w:r>
      <w:r w:rsidR="00035519">
        <w:rPr>
          <w:color w:val="auto"/>
        </w:rPr>
        <w:t>-12</w:t>
      </w:r>
      <w:r w:rsidR="0083291D">
        <w:rPr>
          <w:color w:val="auto"/>
        </w:rPr>
        <w:t xml:space="preserve"> „Dėl Finansų ministro 2010 m. sausio 29 d. įsakymo Nr. 1K-022 „Dėl vykdymo ataskaitų“ pakeitimo“.</w:t>
      </w:r>
      <w:r w:rsidRPr="004B1C4D">
        <w:rPr>
          <w:color w:val="auto"/>
        </w:rPr>
        <w:t xml:space="preserve"> </w:t>
      </w:r>
    </w:p>
    <w:p w:rsidR="00040E00" w:rsidRPr="004B1C4D" w:rsidRDefault="00040E00" w:rsidP="00040E00">
      <w:pPr>
        <w:pStyle w:val="Pagrindiniotekstotrauka"/>
        <w:spacing w:after="0"/>
        <w:ind w:left="0" w:firstLine="540"/>
        <w:jc w:val="both"/>
        <w:rPr>
          <w:color w:val="auto"/>
        </w:rPr>
      </w:pPr>
      <w:r w:rsidRPr="004B1C4D">
        <w:rPr>
          <w:color w:val="auto"/>
        </w:rPr>
        <w:t>Finansinių</w:t>
      </w:r>
      <w:r w:rsidR="00527F7B">
        <w:rPr>
          <w:color w:val="auto"/>
        </w:rPr>
        <w:t xml:space="preserve"> rodiklių patvirtinimo įstatyme</w:t>
      </w:r>
      <w:r w:rsidR="00AA6780">
        <w:rPr>
          <w:color w:val="auto"/>
        </w:rPr>
        <w:t xml:space="preserve"> patvirtinta V</w:t>
      </w:r>
      <w:r w:rsidRPr="004B1C4D">
        <w:rPr>
          <w:color w:val="auto"/>
        </w:rPr>
        <w:t>alstybės investicijų 201</w:t>
      </w:r>
      <w:r w:rsidR="00D3657B">
        <w:rPr>
          <w:color w:val="auto"/>
        </w:rPr>
        <w:t>9</w:t>
      </w:r>
      <w:r w:rsidRPr="004B1C4D">
        <w:rPr>
          <w:color w:val="auto"/>
        </w:rPr>
        <w:t>–20</w:t>
      </w:r>
      <w:r w:rsidR="0072073C">
        <w:rPr>
          <w:color w:val="auto"/>
        </w:rPr>
        <w:t>2</w:t>
      </w:r>
      <w:r w:rsidR="00D3657B">
        <w:rPr>
          <w:color w:val="auto"/>
        </w:rPr>
        <w:t>1</w:t>
      </w:r>
      <w:r w:rsidRPr="004B1C4D">
        <w:rPr>
          <w:color w:val="auto"/>
        </w:rPr>
        <w:t xml:space="preserve"> metų programa. 20</w:t>
      </w:r>
      <w:r w:rsidR="003123CB">
        <w:rPr>
          <w:color w:val="auto"/>
        </w:rPr>
        <w:t>20</w:t>
      </w:r>
      <w:r w:rsidR="00AA6780">
        <w:rPr>
          <w:color w:val="auto"/>
        </w:rPr>
        <w:t xml:space="preserve"> metų</w:t>
      </w:r>
      <w:r w:rsidRPr="004B1C4D">
        <w:rPr>
          <w:color w:val="auto"/>
        </w:rPr>
        <w:t xml:space="preserve"> valstybės investicijų programos (pagal investavimo sritis) </w:t>
      </w:r>
      <w:r w:rsidR="00FB2BAB">
        <w:rPr>
          <w:color w:val="auto"/>
        </w:rPr>
        <w:t xml:space="preserve">vykdymo duomenys pateikiami </w:t>
      </w:r>
      <w:r w:rsidR="008A4869">
        <w:rPr>
          <w:color w:val="auto"/>
        </w:rPr>
        <w:t xml:space="preserve">ataskaitos </w:t>
      </w:r>
      <w:r w:rsidRPr="004B1C4D">
        <w:rPr>
          <w:color w:val="auto"/>
        </w:rPr>
        <w:t>form</w:t>
      </w:r>
      <w:r w:rsidR="00FB2BAB">
        <w:rPr>
          <w:color w:val="auto"/>
        </w:rPr>
        <w:t>oje</w:t>
      </w:r>
      <w:r w:rsidRPr="004B1C4D">
        <w:rPr>
          <w:color w:val="auto"/>
        </w:rPr>
        <w:t xml:space="preserve"> Nr. 1</w:t>
      </w:r>
      <w:r w:rsidR="00527F7B">
        <w:rPr>
          <w:color w:val="auto"/>
        </w:rPr>
        <w:t>0</w:t>
      </w:r>
      <w:r w:rsidRPr="004B1C4D">
        <w:rPr>
          <w:color w:val="auto"/>
        </w:rPr>
        <w:t>.</w:t>
      </w:r>
    </w:p>
    <w:p w:rsidR="00040E00" w:rsidRPr="004B1C4D" w:rsidRDefault="00040E00" w:rsidP="00040E00">
      <w:pPr>
        <w:pStyle w:val="Pagrindiniotekstotrauka"/>
        <w:spacing w:after="0"/>
        <w:ind w:left="0" w:firstLine="539"/>
        <w:jc w:val="both"/>
        <w:rPr>
          <w:color w:val="auto"/>
        </w:rPr>
      </w:pPr>
      <w:r w:rsidRPr="004B1C4D">
        <w:rPr>
          <w:color w:val="auto"/>
        </w:rPr>
        <w:lastRenderedPageBreak/>
        <w:t xml:space="preserve">Finansinių rodiklių patvirtinimo įstatyme nustatytas Vyriausybės grynojo skolinių įsipareigojimų pokyčio limitas, </w:t>
      </w:r>
      <w:r>
        <w:rPr>
          <w:color w:val="auto"/>
        </w:rPr>
        <w:t xml:space="preserve">valstybės garantijų ir </w:t>
      </w:r>
      <w:r w:rsidR="00FB2BAB">
        <w:rPr>
          <w:color w:val="auto"/>
        </w:rPr>
        <w:t xml:space="preserve">valstybės garantuojamų garantijų institucijų </w:t>
      </w:r>
      <w:r w:rsidRPr="004B1C4D">
        <w:rPr>
          <w:color w:val="auto"/>
        </w:rPr>
        <w:t xml:space="preserve">prisiimtų įsipareigojimų pagal garantijas limitai, valstybinių aukštųjų mokyklų </w:t>
      </w:r>
      <w:r>
        <w:rPr>
          <w:color w:val="auto"/>
        </w:rPr>
        <w:t xml:space="preserve">ir valstybinių profesinio mokymo įstaigų </w:t>
      </w:r>
      <w:r w:rsidRPr="004B1C4D">
        <w:rPr>
          <w:color w:val="auto"/>
        </w:rPr>
        <w:t>skolinimosi limitai</w:t>
      </w:r>
      <w:r w:rsidR="00FB2BAB">
        <w:rPr>
          <w:color w:val="auto"/>
        </w:rPr>
        <w:t>. Informacija apie limitų vykdymą</w:t>
      </w:r>
      <w:r w:rsidRPr="004B1C4D">
        <w:rPr>
          <w:color w:val="auto"/>
        </w:rPr>
        <w:t xml:space="preserve"> </w:t>
      </w:r>
      <w:r w:rsidR="00FB2BAB">
        <w:rPr>
          <w:color w:val="auto"/>
        </w:rPr>
        <w:t>pa</w:t>
      </w:r>
      <w:r w:rsidRPr="004B1C4D">
        <w:rPr>
          <w:color w:val="auto"/>
        </w:rPr>
        <w:t>teikiama Lietuvos Respublikos Vyriausybės skolinimosi, skolos ir garantuotos skolos limitų ataskait</w:t>
      </w:r>
      <w:r w:rsidR="00FB2BAB">
        <w:rPr>
          <w:color w:val="auto"/>
        </w:rPr>
        <w:t>oje</w:t>
      </w:r>
      <w:r w:rsidRPr="004B1C4D">
        <w:rPr>
          <w:color w:val="auto"/>
        </w:rPr>
        <w:t xml:space="preserve"> (forma Nr. 1SL). </w:t>
      </w:r>
    </w:p>
    <w:p w:rsidR="00040E00" w:rsidRPr="004B1C4D" w:rsidRDefault="00040E00" w:rsidP="00040E00">
      <w:pPr>
        <w:pStyle w:val="Pagrindiniotekstotrauka"/>
        <w:spacing w:after="0"/>
        <w:ind w:left="0" w:firstLine="540"/>
        <w:jc w:val="both"/>
        <w:rPr>
          <w:color w:val="auto"/>
        </w:rPr>
      </w:pPr>
      <w:r w:rsidRPr="004B1C4D">
        <w:rPr>
          <w:b/>
          <w:color w:val="auto"/>
        </w:rPr>
        <w:t>3. Periodiškumo principu</w:t>
      </w:r>
      <w:r w:rsidRPr="004B1C4D">
        <w:rPr>
          <w:color w:val="auto"/>
        </w:rPr>
        <w:t xml:space="preserve"> – į biudžetinių metų pajamas įskaitytos įmokos, kurios į VMI, Muitinės departamento ir Valstybės iždo departamento sąskaitas, į kurias mokėtojai įmokas perveda tiesiogiai, pateko iki </w:t>
      </w:r>
      <w:r w:rsidR="00AA6780">
        <w:rPr>
          <w:color w:val="auto"/>
        </w:rPr>
        <w:t>20</w:t>
      </w:r>
      <w:r w:rsidR="00DC7B37">
        <w:rPr>
          <w:color w:val="auto"/>
        </w:rPr>
        <w:t>20</w:t>
      </w:r>
      <w:r w:rsidR="00AA6780">
        <w:rPr>
          <w:color w:val="auto"/>
        </w:rPr>
        <w:t xml:space="preserve"> metų </w:t>
      </w:r>
      <w:r w:rsidRPr="004B1C4D">
        <w:rPr>
          <w:color w:val="auto"/>
        </w:rPr>
        <w:t>gruodžio 31 dienos įskaitytinai. Į valstybės biudžeto panaudotus asignavimus įskaitytos lėšos, kurių pervedim</w:t>
      </w:r>
      <w:r w:rsidR="00AA6780">
        <w:rPr>
          <w:color w:val="auto"/>
        </w:rPr>
        <w:t>o</w:t>
      </w:r>
      <w:r w:rsidRPr="004B1C4D">
        <w:rPr>
          <w:color w:val="auto"/>
        </w:rPr>
        <w:t xml:space="preserve"> įvykdymo pradžia nustatyta iki gruodžio 31 dienos įskaitytinai. </w:t>
      </w:r>
    </w:p>
    <w:p w:rsidR="00E345CB" w:rsidRPr="00E345CB" w:rsidRDefault="00040E00" w:rsidP="00533BAB">
      <w:pPr>
        <w:pStyle w:val="Pagrindiniotekstotrauka"/>
        <w:spacing w:after="0"/>
        <w:ind w:left="0" w:firstLine="539"/>
        <w:jc w:val="both"/>
        <w:rPr>
          <w:color w:val="auto"/>
        </w:rPr>
      </w:pPr>
      <w:r w:rsidRPr="004B1C4D">
        <w:rPr>
          <w:b/>
          <w:color w:val="auto"/>
        </w:rPr>
        <w:t>4. Pastovumo principu</w:t>
      </w:r>
      <w:r w:rsidRPr="004B1C4D">
        <w:rPr>
          <w:color w:val="auto"/>
        </w:rPr>
        <w:t xml:space="preserve"> – taikomas apskaitos metodas, analogiškas </w:t>
      </w:r>
      <w:r w:rsidR="00AA6780">
        <w:rPr>
          <w:color w:val="auto"/>
        </w:rPr>
        <w:t>kaip ir ankstesniais metai</w:t>
      </w:r>
      <w:r w:rsidRPr="004B1C4D">
        <w:rPr>
          <w:color w:val="auto"/>
        </w:rPr>
        <w:t xml:space="preserve">s. </w:t>
      </w:r>
      <w:r w:rsidRPr="007123C4">
        <w:rPr>
          <w:color w:val="auto"/>
        </w:rPr>
        <w:t>Ataskaitų rinkinio rengimo procesas ir Finansų ministerijos nustatytos kontrolės procedūros iš esmės nepakito</w:t>
      </w:r>
      <w:r w:rsidR="00533BAB">
        <w:rPr>
          <w:color w:val="auto"/>
        </w:rPr>
        <w:t>.</w:t>
      </w:r>
    </w:p>
    <w:p w:rsidR="00040E00" w:rsidRPr="004B1C4D" w:rsidRDefault="00040E00" w:rsidP="00040E00">
      <w:pPr>
        <w:ind w:firstLine="480"/>
        <w:jc w:val="both"/>
        <w:rPr>
          <w:color w:val="auto"/>
        </w:rPr>
      </w:pPr>
      <w:r w:rsidRPr="004B1C4D">
        <w:rPr>
          <w:b/>
          <w:color w:val="auto"/>
        </w:rPr>
        <w:t>5. Piniginio mato principu</w:t>
      </w:r>
      <w:r w:rsidRPr="004B1C4D">
        <w:rPr>
          <w:color w:val="auto"/>
        </w:rPr>
        <w:t xml:space="preserve"> – </w:t>
      </w:r>
      <w:r w:rsidRPr="003025F1">
        <w:rPr>
          <w:color w:val="auto"/>
        </w:rPr>
        <w:t>informacija ataskaitose ir aiškinamojo rašto prieduose išreikšta tūkstančiais eurų su vien</w:t>
      </w:r>
      <w:r w:rsidR="008B1ADB">
        <w:rPr>
          <w:color w:val="auto"/>
        </w:rPr>
        <w:t>o ženklo</w:t>
      </w:r>
      <w:r w:rsidRPr="003025F1">
        <w:rPr>
          <w:color w:val="auto"/>
        </w:rPr>
        <w:t xml:space="preserve"> po kablelio tikslumu</w:t>
      </w:r>
      <w:r w:rsidRPr="004B1C4D">
        <w:rPr>
          <w:color w:val="auto"/>
        </w:rPr>
        <w:t xml:space="preserve">. Atskirose ataskaitose dėl skaičių </w:t>
      </w:r>
      <w:r w:rsidRPr="00D835C2">
        <w:rPr>
          <w:color w:val="auto"/>
        </w:rPr>
        <w:t>apvalinimo</w:t>
      </w:r>
      <w:r w:rsidRPr="004B1C4D">
        <w:rPr>
          <w:color w:val="auto"/>
        </w:rPr>
        <w:t xml:space="preserve"> galimi nedideli </w:t>
      </w:r>
      <w:r w:rsidR="008B1ADB">
        <w:rPr>
          <w:color w:val="auto"/>
        </w:rPr>
        <w:t xml:space="preserve">skaičių </w:t>
      </w:r>
      <w:r w:rsidRPr="004B1C4D">
        <w:rPr>
          <w:color w:val="auto"/>
        </w:rPr>
        <w:t>nuokrypiai. Ataska</w:t>
      </w:r>
      <w:r w:rsidR="00D35407">
        <w:rPr>
          <w:color w:val="auto"/>
        </w:rPr>
        <w:t>itų aiškinamojo rašto aprašomojoje dalyje</w:t>
      </w:r>
      <w:r w:rsidRPr="004B1C4D">
        <w:rPr>
          <w:color w:val="auto"/>
        </w:rPr>
        <w:t xml:space="preserve"> ir </w:t>
      </w:r>
      <w:r w:rsidRPr="00E0593F">
        <w:rPr>
          <w:color w:val="auto"/>
        </w:rPr>
        <w:t>lentelės</w:t>
      </w:r>
      <w:r w:rsidR="00D35407" w:rsidRPr="00E0593F">
        <w:rPr>
          <w:color w:val="auto"/>
        </w:rPr>
        <w:t>e sumos</w:t>
      </w:r>
      <w:r w:rsidRPr="00E0593F">
        <w:rPr>
          <w:color w:val="auto"/>
        </w:rPr>
        <w:t xml:space="preserve"> pateikiamos milijonais eurų su vienu ženklu po kablelio</w:t>
      </w:r>
      <w:r w:rsidR="00E22389">
        <w:rPr>
          <w:color w:val="auto"/>
        </w:rPr>
        <w:t>.</w:t>
      </w:r>
      <w:r w:rsidRPr="004B1C4D">
        <w:rPr>
          <w:color w:val="auto"/>
        </w:rPr>
        <w:t xml:space="preserve"> </w:t>
      </w:r>
    </w:p>
    <w:p w:rsidR="00040E00" w:rsidRPr="004B1C4D" w:rsidRDefault="00040E00" w:rsidP="00040E00">
      <w:pPr>
        <w:pStyle w:val="Antrat"/>
        <w:spacing w:before="0" w:after="0"/>
        <w:ind w:firstLine="426"/>
        <w:jc w:val="both"/>
        <w:rPr>
          <w:b w:val="0"/>
          <w:color w:val="auto"/>
          <w:sz w:val="24"/>
          <w:szCs w:val="24"/>
        </w:rPr>
      </w:pPr>
      <w:r w:rsidRPr="004B1C4D">
        <w:rPr>
          <w:color w:val="auto"/>
          <w:sz w:val="24"/>
          <w:szCs w:val="24"/>
        </w:rPr>
        <w:t>6. Palyginimo principu</w:t>
      </w:r>
      <w:r w:rsidRPr="004B1C4D">
        <w:rPr>
          <w:b w:val="0"/>
          <w:color w:val="auto"/>
        </w:rPr>
        <w:t xml:space="preserve"> – </w:t>
      </w:r>
      <w:r w:rsidR="00C64FDE">
        <w:rPr>
          <w:b w:val="0"/>
          <w:color w:val="auto"/>
          <w:sz w:val="24"/>
          <w:szCs w:val="24"/>
        </w:rPr>
        <w:t xml:space="preserve">aiškinamajame rašte </w:t>
      </w:r>
      <w:r w:rsidRPr="004B1C4D">
        <w:rPr>
          <w:b w:val="0"/>
          <w:color w:val="auto"/>
          <w:sz w:val="24"/>
          <w:szCs w:val="24"/>
        </w:rPr>
        <w:t xml:space="preserve">pateikiama </w:t>
      </w:r>
      <w:r w:rsidR="00C64FDE">
        <w:rPr>
          <w:b w:val="0"/>
          <w:color w:val="auto"/>
          <w:sz w:val="24"/>
          <w:szCs w:val="24"/>
        </w:rPr>
        <w:t xml:space="preserve">ankstesnių metų </w:t>
      </w:r>
      <w:r w:rsidRPr="004B1C4D">
        <w:rPr>
          <w:b w:val="0"/>
          <w:color w:val="auto"/>
          <w:sz w:val="24"/>
          <w:szCs w:val="24"/>
        </w:rPr>
        <w:t xml:space="preserve">valstybės biudžeto pajamų ir išlaidų informacija </w:t>
      </w:r>
      <w:r w:rsidR="00C64FDE">
        <w:rPr>
          <w:b w:val="0"/>
          <w:color w:val="auto"/>
          <w:sz w:val="24"/>
          <w:szCs w:val="24"/>
        </w:rPr>
        <w:t xml:space="preserve">palyginimui. </w:t>
      </w:r>
    </w:p>
    <w:p w:rsidR="00040E00" w:rsidRPr="004B1C4D" w:rsidRDefault="00040E00" w:rsidP="00040E00">
      <w:pPr>
        <w:rPr>
          <w:color w:val="auto"/>
        </w:rPr>
      </w:pPr>
    </w:p>
    <w:p w:rsidR="00040E00" w:rsidRDefault="00040E00" w:rsidP="00040E00">
      <w:pPr>
        <w:pStyle w:val="Pavadinimas"/>
        <w:jc w:val="left"/>
        <w:rPr>
          <w:color w:val="auto"/>
        </w:rPr>
      </w:pPr>
    </w:p>
    <w:p w:rsidR="00040E00" w:rsidRDefault="00040E00" w:rsidP="00040E00">
      <w:pPr>
        <w:pStyle w:val="Pavadinimas"/>
        <w:rPr>
          <w:color w:val="auto"/>
        </w:rPr>
      </w:pPr>
    </w:p>
    <w:p w:rsidR="00040E00" w:rsidRDefault="00040E00" w:rsidP="00040E00">
      <w:pPr>
        <w:pStyle w:val="Pavadinimas"/>
        <w:rPr>
          <w:color w:val="auto"/>
        </w:rPr>
      </w:pPr>
    </w:p>
    <w:p w:rsidR="00040E00" w:rsidRDefault="00040E00" w:rsidP="00040E00">
      <w:pPr>
        <w:pStyle w:val="Pavadinimas"/>
        <w:rPr>
          <w:color w:val="auto"/>
        </w:rPr>
      </w:pPr>
    </w:p>
    <w:p w:rsidR="00040E00" w:rsidRDefault="00040E00" w:rsidP="00040E00">
      <w:pPr>
        <w:pStyle w:val="Pavadinimas"/>
        <w:rPr>
          <w:color w:val="auto"/>
        </w:rPr>
      </w:pPr>
    </w:p>
    <w:p w:rsidR="00040E00" w:rsidRDefault="00040E00"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E345CB" w:rsidRDefault="00E345CB" w:rsidP="00040E00">
      <w:pPr>
        <w:pStyle w:val="Pavadinimas"/>
        <w:rPr>
          <w:color w:val="auto"/>
        </w:rPr>
      </w:pPr>
    </w:p>
    <w:p w:rsidR="000F34B9" w:rsidRDefault="000F34B9"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F30116" w:rsidRDefault="00F30116" w:rsidP="00040E00">
      <w:pPr>
        <w:pStyle w:val="Pavadinimas"/>
        <w:rPr>
          <w:color w:val="auto"/>
        </w:rPr>
      </w:pPr>
    </w:p>
    <w:p w:rsidR="00F30116" w:rsidRDefault="00F3011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596AA6" w:rsidRDefault="00596AA6" w:rsidP="00040E00">
      <w:pPr>
        <w:pStyle w:val="Pavadinimas"/>
        <w:rPr>
          <w:color w:val="auto"/>
        </w:rPr>
      </w:pPr>
    </w:p>
    <w:p w:rsidR="000760CF" w:rsidRPr="00D91E6A" w:rsidRDefault="00467551" w:rsidP="00D91E6A">
      <w:pPr>
        <w:pStyle w:val="Antrat33"/>
        <w:spacing w:line="264" w:lineRule="auto"/>
        <w:ind w:right="-266"/>
        <w:jc w:val="center"/>
        <w:rPr>
          <w:sz w:val="28"/>
          <w:szCs w:val="20"/>
        </w:rPr>
      </w:pPr>
      <w:r w:rsidRPr="00D91E6A">
        <w:rPr>
          <w:sz w:val="28"/>
          <w:szCs w:val="20"/>
        </w:rPr>
        <w:lastRenderedPageBreak/>
        <w:t xml:space="preserve">III </w:t>
      </w:r>
      <w:r w:rsidR="000760CF" w:rsidRPr="00D91E6A">
        <w:rPr>
          <w:sz w:val="28"/>
          <w:szCs w:val="20"/>
        </w:rPr>
        <w:t>S</w:t>
      </w:r>
      <w:r w:rsidR="00D91E6A">
        <w:rPr>
          <w:sz w:val="28"/>
          <w:szCs w:val="20"/>
        </w:rPr>
        <w:t>kyrius</w:t>
      </w:r>
    </w:p>
    <w:p w:rsidR="00D1435A" w:rsidRPr="00D91E6A" w:rsidRDefault="00D1435A" w:rsidP="00D91E6A">
      <w:pPr>
        <w:pStyle w:val="Antrat33"/>
        <w:spacing w:line="264" w:lineRule="auto"/>
        <w:ind w:right="-266"/>
        <w:jc w:val="center"/>
        <w:rPr>
          <w:sz w:val="28"/>
          <w:szCs w:val="20"/>
        </w:rPr>
      </w:pPr>
      <w:r w:rsidRPr="00D91E6A">
        <w:rPr>
          <w:sz w:val="28"/>
          <w:szCs w:val="20"/>
        </w:rPr>
        <w:t>V</w:t>
      </w:r>
      <w:r w:rsidR="00D91E6A">
        <w:rPr>
          <w:sz w:val="28"/>
          <w:szCs w:val="20"/>
        </w:rPr>
        <w:t xml:space="preserve">alstybės biudžeto pajamų plano vykdymas </w:t>
      </w:r>
    </w:p>
    <w:p w:rsidR="00762E9D" w:rsidRPr="00762E9D" w:rsidRDefault="00762E9D" w:rsidP="00762E9D">
      <w:pPr>
        <w:jc w:val="center"/>
        <w:rPr>
          <w:b/>
          <w:color w:val="auto"/>
        </w:rPr>
      </w:pPr>
    </w:p>
    <w:p w:rsidR="006F5E9F" w:rsidRDefault="006F5E9F" w:rsidP="006F5E9F">
      <w:pPr>
        <w:ind w:firstLine="567"/>
        <w:jc w:val="both"/>
      </w:pPr>
      <w:r>
        <w:rPr>
          <w:color w:val="auto"/>
        </w:rPr>
        <w:t>2020 metų v</w:t>
      </w:r>
      <w:r w:rsidRPr="00060A5D">
        <w:t>alstybės biudžeto pajamų (be ES ir kitos tarptautinės finansinės paramos</w:t>
      </w:r>
      <w:r>
        <w:t xml:space="preserve"> lėšų</w:t>
      </w:r>
      <w:r w:rsidRPr="00060A5D">
        <w:t xml:space="preserve">) planas </w:t>
      </w:r>
      <w:r>
        <w:t>vykdytas 90,7</w:t>
      </w:r>
      <w:r w:rsidRPr="00060A5D">
        <w:t xml:space="preserve"> proc. – gauta </w:t>
      </w:r>
      <w:r>
        <w:t>8 664,3</w:t>
      </w:r>
      <w:r w:rsidRPr="009703D4">
        <w:t xml:space="preserve"> </w:t>
      </w:r>
      <w:r w:rsidRPr="00060A5D">
        <w:t>mln. eurų (</w:t>
      </w:r>
      <w:r>
        <w:t xml:space="preserve">883,6 </w:t>
      </w:r>
      <w:r w:rsidRPr="00060A5D">
        <w:t xml:space="preserve">mln. eurų </w:t>
      </w:r>
      <w:r>
        <w:t>mažiau</w:t>
      </w:r>
      <w:r w:rsidRPr="00060A5D">
        <w:t xml:space="preserve"> nei </w:t>
      </w:r>
      <w:r w:rsidRPr="003A6C27">
        <w:t>planuota). 20</w:t>
      </w:r>
      <w:r>
        <w:t>20</w:t>
      </w:r>
      <w:r w:rsidRPr="003A6C27">
        <w:t xml:space="preserve"> metais planuota kartu su ES ir kitos tarptautinės finansinės paramos lėšomis į valstybės biudžetą surinkti </w:t>
      </w:r>
      <w:r>
        <w:rPr>
          <w:color w:val="auto"/>
        </w:rPr>
        <w:t>11 530,3</w:t>
      </w:r>
      <w:r w:rsidRPr="009703D4">
        <w:rPr>
          <w:color w:val="auto"/>
        </w:rPr>
        <w:t xml:space="preserve"> </w:t>
      </w:r>
      <w:r w:rsidRPr="003A6C27">
        <w:rPr>
          <w:color w:val="auto"/>
        </w:rPr>
        <w:t>mln. eurų pajamų,</w:t>
      </w:r>
      <w:r w:rsidRPr="009C434C">
        <w:rPr>
          <w:color w:val="auto"/>
        </w:rPr>
        <w:t xml:space="preserve"> planas</w:t>
      </w:r>
      <w:r w:rsidRPr="009C434C">
        <w:t xml:space="preserve"> vykdytas </w:t>
      </w:r>
      <w:r>
        <w:t>95,4</w:t>
      </w:r>
      <w:r w:rsidRPr="003A6C27">
        <w:t xml:space="preserve"> proc. </w:t>
      </w:r>
      <w:r w:rsidRPr="009C434C">
        <w:t xml:space="preserve">– į valstybės biudžetą gauta </w:t>
      </w:r>
      <w:r>
        <w:rPr>
          <w:color w:val="auto"/>
        </w:rPr>
        <w:t>10 996,3</w:t>
      </w:r>
      <w:r w:rsidRPr="009703D4">
        <w:rPr>
          <w:color w:val="auto"/>
        </w:rPr>
        <w:t xml:space="preserve"> </w:t>
      </w:r>
      <w:r w:rsidRPr="003A6C27">
        <w:rPr>
          <w:color w:val="auto"/>
        </w:rPr>
        <w:t xml:space="preserve">mln. eurų </w:t>
      </w:r>
      <w:r>
        <w:t>pajamų.</w:t>
      </w:r>
    </w:p>
    <w:p w:rsidR="006F5E9F" w:rsidRDefault="006F5E9F" w:rsidP="006F5E9F">
      <w:pPr>
        <w:ind w:firstLine="567"/>
        <w:jc w:val="both"/>
      </w:pPr>
      <w:r w:rsidRPr="004B7A4E">
        <w:t xml:space="preserve">Mažesnes nei planuota valstybės biudžeto pajamas lėmė COVID-19 viruso plitimo neigiamas poveikis ekonomikai bei mokesčių mokėtojams ir </w:t>
      </w:r>
      <w:r>
        <w:t>poveikiui</w:t>
      </w:r>
      <w:r w:rsidRPr="004B7A4E">
        <w:t xml:space="preserve"> mažinti taikytos mokestinės pagalbos priemonės.</w:t>
      </w:r>
    </w:p>
    <w:p w:rsidR="006F5E9F" w:rsidRPr="007332DC" w:rsidRDefault="006F5E9F" w:rsidP="006F5E9F">
      <w:pPr>
        <w:shd w:val="clear" w:color="auto" w:fill="FFFFFF" w:themeFill="background1"/>
        <w:ind w:right="16" w:firstLine="709"/>
        <w:jc w:val="both"/>
      </w:pPr>
    </w:p>
    <w:p w:rsidR="006F5E9F" w:rsidRDefault="006F5E9F" w:rsidP="006F5E9F">
      <w:pPr>
        <w:jc w:val="both"/>
        <w:rPr>
          <w:color w:val="auto"/>
          <w:szCs w:val="20"/>
        </w:rPr>
      </w:pPr>
      <w:r>
        <w:rPr>
          <w:b/>
          <w:color w:val="auto"/>
          <w:szCs w:val="20"/>
        </w:rPr>
        <w:t xml:space="preserve">1 </w:t>
      </w:r>
      <w:r w:rsidRPr="007332DC">
        <w:rPr>
          <w:b/>
          <w:color w:val="auto"/>
          <w:szCs w:val="20"/>
        </w:rPr>
        <w:t>lentelė</w:t>
      </w:r>
      <w:r>
        <w:rPr>
          <w:color w:val="auto"/>
          <w:szCs w:val="20"/>
        </w:rPr>
        <w:t>. 2020 metų</w:t>
      </w:r>
      <w:r w:rsidRPr="007332DC">
        <w:rPr>
          <w:color w:val="auto"/>
          <w:szCs w:val="20"/>
        </w:rPr>
        <w:t xml:space="preserve"> valstybės biudžeto pajamų plano vykdymas, mln. eurų.</w:t>
      </w:r>
    </w:p>
    <w:tbl>
      <w:tblPr>
        <w:tblW w:w="9716" w:type="dxa"/>
        <w:tblInd w:w="93" w:type="dxa"/>
        <w:tblLook w:val="04A0" w:firstRow="1" w:lastRow="0" w:firstColumn="1" w:lastColumn="0" w:noHBand="0" w:noVBand="1"/>
      </w:tblPr>
      <w:tblGrid>
        <w:gridCol w:w="2651"/>
        <w:gridCol w:w="1134"/>
        <w:gridCol w:w="1134"/>
        <w:gridCol w:w="1134"/>
        <w:gridCol w:w="837"/>
        <w:gridCol w:w="925"/>
        <w:gridCol w:w="977"/>
        <w:gridCol w:w="924"/>
      </w:tblGrid>
      <w:tr w:rsidR="006F5E9F" w:rsidRPr="00CF3E04" w:rsidTr="0027702E">
        <w:trPr>
          <w:trHeight w:val="443"/>
        </w:trPr>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20</w:t>
            </w:r>
            <w:r>
              <w:rPr>
                <w:color w:val="auto"/>
                <w:sz w:val="20"/>
                <w:szCs w:val="20"/>
              </w:rPr>
              <w:t>19</w:t>
            </w:r>
            <w:r w:rsidRPr="00CF3E04">
              <w:rPr>
                <w:color w:val="auto"/>
                <w:sz w:val="20"/>
                <w:szCs w:val="20"/>
              </w:rPr>
              <w:t xml:space="preserve"> m. pajamos faktas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20</w:t>
            </w:r>
            <w:r>
              <w:rPr>
                <w:color w:val="auto"/>
                <w:sz w:val="20"/>
                <w:szCs w:val="20"/>
              </w:rPr>
              <w:t>20</w:t>
            </w:r>
            <w:r w:rsidRPr="00CF3E04">
              <w:rPr>
                <w:color w:val="auto"/>
                <w:sz w:val="20"/>
                <w:szCs w:val="20"/>
              </w:rPr>
              <w:t xml:space="preserve"> m. </w:t>
            </w:r>
            <w:r w:rsidRPr="00CF3E04">
              <w:rPr>
                <w:color w:val="auto"/>
                <w:sz w:val="20"/>
                <w:szCs w:val="20"/>
              </w:rPr>
              <w:br/>
              <w:t>pajamų planas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20</w:t>
            </w:r>
            <w:r>
              <w:rPr>
                <w:color w:val="auto"/>
                <w:sz w:val="20"/>
                <w:szCs w:val="20"/>
              </w:rPr>
              <w:t>20</w:t>
            </w:r>
            <w:r w:rsidRPr="00CF3E04">
              <w:rPr>
                <w:color w:val="auto"/>
                <w:sz w:val="20"/>
                <w:szCs w:val="20"/>
              </w:rPr>
              <w:t xml:space="preserve"> m. pajamos faktas</w:t>
            </w: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20</w:t>
            </w:r>
            <w:r>
              <w:rPr>
                <w:color w:val="auto"/>
                <w:sz w:val="20"/>
                <w:szCs w:val="20"/>
              </w:rPr>
              <w:t>20</w:t>
            </w:r>
            <w:r w:rsidRPr="00CF3E04">
              <w:rPr>
                <w:color w:val="auto"/>
                <w:sz w:val="20"/>
                <w:szCs w:val="20"/>
              </w:rPr>
              <w:t xml:space="preserve"> m. pajamų plano įvykdymas </w:t>
            </w:r>
          </w:p>
        </w:tc>
        <w:tc>
          <w:tcPr>
            <w:tcW w:w="1901" w:type="dxa"/>
            <w:gridSpan w:val="2"/>
            <w:tcBorders>
              <w:top w:val="single" w:sz="4" w:space="0" w:color="auto"/>
              <w:left w:val="nil"/>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20</w:t>
            </w:r>
            <w:r>
              <w:rPr>
                <w:color w:val="auto"/>
                <w:sz w:val="20"/>
                <w:szCs w:val="20"/>
              </w:rPr>
              <w:t>20</w:t>
            </w:r>
            <w:r w:rsidRPr="00CF3E04">
              <w:rPr>
                <w:color w:val="auto"/>
                <w:sz w:val="20"/>
                <w:szCs w:val="20"/>
              </w:rPr>
              <w:t xml:space="preserve"> m. palyginimas su 201</w:t>
            </w:r>
            <w:r>
              <w:rPr>
                <w:color w:val="auto"/>
                <w:sz w:val="20"/>
                <w:szCs w:val="20"/>
              </w:rPr>
              <w:t>9</w:t>
            </w:r>
            <w:r w:rsidRPr="00CF3E04">
              <w:rPr>
                <w:color w:val="auto"/>
                <w:sz w:val="20"/>
                <w:szCs w:val="20"/>
              </w:rPr>
              <w:t xml:space="preserve"> m.</w:t>
            </w:r>
          </w:p>
        </w:tc>
      </w:tr>
      <w:tr w:rsidR="006F5E9F" w:rsidRPr="00CF3E04" w:rsidTr="0027702E">
        <w:trPr>
          <w:trHeight w:val="261"/>
        </w:trPr>
        <w:tc>
          <w:tcPr>
            <w:tcW w:w="2651" w:type="dxa"/>
            <w:vMerge/>
            <w:tcBorders>
              <w:top w:val="single" w:sz="4" w:space="0" w:color="auto"/>
              <w:left w:val="single" w:sz="4" w:space="0" w:color="auto"/>
              <w:bottom w:val="single" w:sz="4" w:space="0" w:color="auto"/>
              <w:right w:val="single" w:sz="4" w:space="0" w:color="auto"/>
            </w:tcBorders>
            <w:vAlign w:val="center"/>
            <w:hideMark/>
          </w:tcPr>
          <w:p w:rsidR="006F5E9F" w:rsidRPr="00CF3E04" w:rsidRDefault="006F5E9F" w:rsidP="0027702E">
            <w:pPr>
              <w:rPr>
                <w:color w:val="auto"/>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5E9F" w:rsidRPr="00CF3E04" w:rsidRDefault="006F5E9F" w:rsidP="0027702E">
            <w:pPr>
              <w:rPr>
                <w:color w:val="auto"/>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5E9F" w:rsidRPr="00CF3E04" w:rsidRDefault="006F5E9F" w:rsidP="0027702E">
            <w:pPr>
              <w:rPr>
                <w:color w:val="auto"/>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F5E9F" w:rsidRPr="00CF3E04" w:rsidRDefault="006F5E9F" w:rsidP="0027702E">
            <w:pPr>
              <w:rPr>
                <w:color w:val="auto"/>
                <w:sz w:val="20"/>
                <w:szCs w:val="20"/>
              </w:rPr>
            </w:pPr>
          </w:p>
        </w:tc>
        <w:tc>
          <w:tcPr>
            <w:tcW w:w="837" w:type="dxa"/>
            <w:tcBorders>
              <w:top w:val="nil"/>
              <w:left w:val="nil"/>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 xml:space="preserve"> +/-</w:t>
            </w:r>
          </w:p>
        </w:tc>
        <w:tc>
          <w:tcPr>
            <w:tcW w:w="925" w:type="dxa"/>
            <w:tcBorders>
              <w:top w:val="nil"/>
              <w:left w:val="nil"/>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w:t>
            </w:r>
          </w:p>
        </w:tc>
        <w:tc>
          <w:tcPr>
            <w:tcW w:w="977" w:type="dxa"/>
            <w:tcBorders>
              <w:top w:val="nil"/>
              <w:left w:val="nil"/>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 xml:space="preserve"> +/-</w:t>
            </w:r>
          </w:p>
        </w:tc>
        <w:tc>
          <w:tcPr>
            <w:tcW w:w="924" w:type="dxa"/>
            <w:tcBorders>
              <w:top w:val="nil"/>
              <w:left w:val="nil"/>
              <w:bottom w:val="single" w:sz="4" w:space="0" w:color="auto"/>
              <w:right w:val="single" w:sz="4" w:space="0" w:color="auto"/>
            </w:tcBorders>
            <w:shd w:val="clear" w:color="auto" w:fill="auto"/>
            <w:vAlign w:val="center"/>
            <w:hideMark/>
          </w:tcPr>
          <w:p w:rsidR="006F5E9F" w:rsidRPr="00CF3E04" w:rsidRDefault="006F5E9F" w:rsidP="0027702E">
            <w:pPr>
              <w:jc w:val="center"/>
              <w:rPr>
                <w:color w:val="auto"/>
                <w:sz w:val="20"/>
                <w:szCs w:val="20"/>
              </w:rPr>
            </w:pPr>
            <w:r w:rsidRPr="00CF3E04">
              <w:rPr>
                <w:color w:val="auto"/>
                <w:sz w:val="20"/>
                <w:szCs w:val="20"/>
              </w:rPr>
              <w:t>%</w:t>
            </w:r>
          </w:p>
        </w:tc>
      </w:tr>
      <w:tr w:rsidR="006F5E9F" w:rsidRPr="00CF3E04" w:rsidTr="0027702E">
        <w:trPr>
          <w:trHeight w:val="665"/>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rPr>
                <w:color w:val="auto"/>
                <w:sz w:val="20"/>
                <w:szCs w:val="20"/>
              </w:rPr>
            </w:pPr>
            <w:r w:rsidRPr="00CF3E04">
              <w:rPr>
                <w:color w:val="auto"/>
                <w:sz w:val="20"/>
                <w:szCs w:val="20"/>
              </w:rPr>
              <w:t>Valstybės biudžeto pajamos be ES ir kitos tarptautinės finansinės paramos</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8 717,1</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9 547,9</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8 664,3</w:t>
            </w:r>
          </w:p>
        </w:tc>
        <w:tc>
          <w:tcPr>
            <w:tcW w:w="837"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-883,6</w:t>
            </w:r>
          </w:p>
        </w:tc>
        <w:tc>
          <w:tcPr>
            <w:tcW w:w="925"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90,7</w:t>
            </w:r>
          </w:p>
        </w:tc>
        <w:tc>
          <w:tcPr>
            <w:tcW w:w="977"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-52,8</w:t>
            </w:r>
          </w:p>
        </w:tc>
        <w:tc>
          <w:tcPr>
            <w:tcW w:w="92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-0,6</w:t>
            </w:r>
          </w:p>
        </w:tc>
      </w:tr>
      <w:tr w:rsidR="006F5E9F" w:rsidRPr="00CF3E04" w:rsidTr="0027702E">
        <w:trPr>
          <w:trHeight w:val="443"/>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rPr>
                <w:color w:val="auto"/>
                <w:sz w:val="20"/>
                <w:szCs w:val="20"/>
              </w:rPr>
            </w:pPr>
            <w:r w:rsidRPr="00CF3E04">
              <w:rPr>
                <w:color w:val="auto"/>
                <w:sz w:val="20"/>
                <w:szCs w:val="20"/>
              </w:rPr>
              <w:t>ES ir kita tarptautinė finansinė parama</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1 511,6</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1 982,4</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2 332,0</w:t>
            </w:r>
          </w:p>
        </w:tc>
        <w:tc>
          <w:tcPr>
            <w:tcW w:w="837"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349,7</w:t>
            </w:r>
          </w:p>
        </w:tc>
        <w:tc>
          <w:tcPr>
            <w:tcW w:w="925"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117,6</w:t>
            </w:r>
          </w:p>
        </w:tc>
        <w:tc>
          <w:tcPr>
            <w:tcW w:w="977"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820,4</w:t>
            </w:r>
          </w:p>
        </w:tc>
        <w:tc>
          <w:tcPr>
            <w:tcW w:w="92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sz w:val="20"/>
                <w:szCs w:val="20"/>
              </w:rPr>
            </w:pPr>
            <w:r>
              <w:rPr>
                <w:sz w:val="20"/>
                <w:szCs w:val="20"/>
              </w:rPr>
              <w:t>54,3</w:t>
            </w:r>
          </w:p>
        </w:tc>
      </w:tr>
      <w:tr w:rsidR="006F5E9F" w:rsidRPr="00CF3E04" w:rsidTr="0027702E">
        <w:trPr>
          <w:trHeight w:val="261"/>
        </w:trPr>
        <w:tc>
          <w:tcPr>
            <w:tcW w:w="2651" w:type="dxa"/>
            <w:tcBorders>
              <w:top w:val="nil"/>
              <w:left w:val="single" w:sz="4" w:space="0" w:color="auto"/>
              <w:bottom w:val="single" w:sz="4" w:space="0" w:color="auto"/>
              <w:right w:val="single" w:sz="4" w:space="0" w:color="auto"/>
            </w:tcBorders>
            <w:shd w:val="clear" w:color="auto" w:fill="auto"/>
            <w:vAlign w:val="center"/>
            <w:hideMark/>
          </w:tcPr>
          <w:p w:rsidR="006F5E9F" w:rsidRPr="00CF3E04" w:rsidRDefault="006F5E9F" w:rsidP="0027702E">
            <w:pPr>
              <w:rPr>
                <w:b/>
                <w:bCs/>
                <w:color w:val="auto"/>
                <w:sz w:val="20"/>
                <w:szCs w:val="20"/>
              </w:rPr>
            </w:pPr>
            <w:r w:rsidRPr="00CF3E04">
              <w:rPr>
                <w:b/>
                <w:bCs/>
                <w:color w:val="auto"/>
                <w:sz w:val="20"/>
                <w:szCs w:val="20"/>
              </w:rPr>
              <w:t>Valstybės biudžeto pajamos, iš viso</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b/>
                <w:bCs/>
                <w:sz w:val="20"/>
                <w:szCs w:val="20"/>
              </w:rPr>
              <w:t>10 228,7</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b/>
                <w:bCs/>
                <w:sz w:val="20"/>
                <w:szCs w:val="20"/>
              </w:rPr>
              <w:t>11 530,3</w:t>
            </w:r>
          </w:p>
        </w:tc>
        <w:tc>
          <w:tcPr>
            <w:tcW w:w="113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b/>
                <w:bCs/>
                <w:sz w:val="20"/>
                <w:szCs w:val="20"/>
              </w:rPr>
              <w:t>10 996,3</w:t>
            </w:r>
          </w:p>
        </w:tc>
        <w:tc>
          <w:tcPr>
            <w:tcW w:w="837"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sz w:val="20"/>
                <w:szCs w:val="20"/>
              </w:rPr>
              <w:t>-534,0</w:t>
            </w:r>
          </w:p>
        </w:tc>
        <w:tc>
          <w:tcPr>
            <w:tcW w:w="925"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sz w:val="20"/>
                <w:szCs w:val="20"/>
              </w:rPr>
              <w:t>95,4</w:t>
            </w:r>
          </w:p>
        </w:tc>
        <w:tc>
          <w:tcPr>
            <w:tcW w:w="977"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sz w:val="20"/>
                <w:szCs w:val="20"/>
              </w:rPr>
              <w:t>767,6</w:t>
            </w:r>
          </w:p>
        </w:tc>
        <w:tc>
          <w:tcPr>
            <w:tcW w:w="924" w:type="dxa"/>
            <w:tcBorders>
              <w:top w:val="nil"/>
              <w:left w:val="nil"/>
              <w:bottom w:val="single" w:sz="4" w:space="0" w:color="auto"/>
              <w:right w:val="single" w:sz="4" w:space="0" w:color="auto"/>
            </w:tcBorders>
            <w:shd w:val="clear" w:color="auto" w:fill="auto"/>
            <w:vAlign w:val="center"/>
          </w:tcPr>
          <w:p w:rsidR="006F5E9F" w:rsidRDefault="006F5E9F" w:rsidP="0027702E">
            <w:pPr>
              <w:jc w:val="right"/>
              <w:rPr>
                <w:b/>
                <w:bCs/>
                <w:sz w:val="20"/>
                <w:szCs w:val="20"/>
              </w:rPr>
            </w:pPr>
            <w:r>
              <w:rPr>
                <w:sz w:val="20"/>
                <w:szCs w:val="20"/>
              </w:rPr>
              <w:t>7,5</w:t>
            </w:r>
          </w:p>
        </w:tc>
      </w:tr>
    </w:tbl>
    <w:p w:rsidR="006F5E9F" w:rsidRPr="007332DC" w:rsidRDefault="006F5E9F" w:rsidP="006F5E9F">
      <w:pPr>
        <w:jc w:val="both"/>
        <w:rPr>
          <w:i/>
          <w:color w:val="auto"/>
          <w:sz w:val="20"/>
          <w:szCs w:val="20"/>
        </w:rPr>
      </w:pPr>
      <w:r>
        <w:rPr>
          <w:i/>
          <w:color w:val="auto"/>
          <w:sz w:val="20"/>
          <w:szCs w:val="20"/>
        </w:rPr>
        <w:t>Šaltinis: Finansų ministerija</w:t>
      </w:r>
    </w:p>
    <w:p w:rsidR="006F5E9F" w:rsidRDefault="006F5E9F" w:rsidP="006F5E9F">
      <w:pPr>
        <w:ind w:right="16" w:firstLine="709"/>
        <w:jc w:val="both"/>
      </w:pPr>
    </w:p>
    <w:p w:rsidR="006F5E9F" w:rsidRDefault="006F5E9F" w:rsidP="006F5E9F">
      <w:pPr>
        <w:ind w:firstLine="567"/>
        <w:jc w:val="both"/>
      </w:pPr>
      <w:r w:rsidRPr="00DE1CFC">
        <w:rPr>
          <w:color w:val="auto"/>
        </w:rPr>
        <w:t>Didžiausią visų valstybės biudžeto pajamų</w:t>
      </w:r>
      <w:r>
        <w:rPr>
          <w:color w:val="auto"/>
        </w:rPr>
        <w:t xml:space="preserve"> </w:t>
      </w:r>
      <w:r w:rsidRPr="00DE1CFC">
        <w:rPr>
          <w:color w:val="auto"/>
        </w:rPr>
        <w:t>dalį sudaro pajamos iš mokesčių (20</w:t>
      </w:r>
      <w:r>
        <w:rPr>
          <w:color w:val="auto"/>
        </w:rPr>
        <w:t>20</w:t>
      </w:r>
      <w:r w:rsidRPr="00DE1CFC">
        <w:rPr>
          <w:color w:val="auto"/>
        </w:rPr>
        <w:t xml:space="preserve"> metais –  </w:t>
      </w:r>
      <w:r>
        <w:rPr>
          <w:color w:val="auto"/>
        </w:rPr>
        <w:t xml:space="preserve">73,0 </w:t>
      </w:r>
      <w:r w:rsidRPr="00D50164">
        <w:rPr>
          <w:color w:val="auto"/>
        </w:rPr>
        <w:t>proc</w:t>
      </w:r>
      <w:r w:rsidRPr="00DE1CFC">
        <w:rPr>
          <w:color w:val="auto"/>
        </w:rPr>
        <w:t xml:space="preserve">.). </w:t>
      </w:r>
      <w:r w:rsidRPr="00C72743">
        <w:rPr>
          <w:color w:val="auto"/>
        </w:rPr>
        <w:t>Palyginti su 201</w:t>
      </w:r>
      <w:r>
        <w:rPr>
          <w:color w:val="auto"/>
        </w:rPr>
        <w:t>9</w:t>
      </w:r>
      <w:r w:rsidRPr="00C72743">
        <w:rPr>
          <w:color w:val="auto"/>
        </w:rPr>
        <w:t xml:space="preserve"> metais, 20</w:t>
      </w:r>
      <w:r>
        <w:rPr>
          <w:color w:val="auto"/>
        </w:rPr>
        <w:t>20</w:t>
      </w:r>
      <w:r w:rsidRPr="00C72743">
        <w:rPr>
          <w:color w:val="auto"/>
        </w:rPr>
        <w:t xml:space="preserve"> metais šių pajamų </w:t>
      </w:r>
      <w:r>
        <w:rPr>
          <w:color w:val="auto"/>
        </w:rPr>
        <w:t>gauta</w:t>
      </w:r>
      <w:r w:rsidRPr="00C72743">
        <w:rPr>
          <w:color w:val="auto"/>
        </w:rPr>
        <w:t xml:space="preserve"> </w:t>
      </w:r>
      <w:r>
        <w:rPr>
          <w:color w:val="auto"/>
        </w:rPr>
        <w:t>28,1</w:t>
      </w:r>
      <w:r w:rsidRPr="00C72743">
        <w:rPr>
          <w:color w:val="auto"/>
        </w:rPr>
        <w:t xml:space="preserve"> mln. eurų arba </w:t>
      </w:r>
      <w:r>
        <w:rPr>
          <w:color w:val="auto"/>
        </w:rPr>
        <w:t>0,3 </w:t>
      </w:r>
      <w:r w:rsidRPr="00C72743">
        <w:rPr>
          <w:color w:val="auto"/>
        </w:rPr>
        <w:t xml:space="preserve">proc. </w:t>
      </w:r>
      <w:r>
        <w:rPr>
          <w:color w:val="auto"/>
        </w:rPr>
        <w:t>mažiau</w:t>
      </w:r>
      <w:r w:rsidRPr="00C72743">
        <w:rPr>
          <w:color w:val="auto"/>
        </w:rPr>
        <w:t xml:space="preserve">. </w:t>
      </w:r>
      <w:r w:rsidRPr="001B1AA0">
        <w:rPr>
          <w:color w:val="auto"/>
        </w:rPr>
        <w:t xml:space="preserve">Kitos pajamos, kurias sudaro </w:t>
      </w:r>
      <w:r>
        <w:rPr>
          <w:color w:val="auto"/>
        </w:rPr>
        <w:t xml:space="preserve">turto pajamos, </w:t>
      </w:r>
      <w:r w:rsidRPr="001B1AA0">
        <w:rPr>
          <w:color w:val="auto"/>
        </w:rPr>
        <w:t xml:space="preserve">pajamos už prekes ir paslaugas, </w:t>
      </w:r>
      <w:r>
        <w:rPr>
          <w:color w:val="auto"/>
        </w:rPr>
        <w:t>pajamos iš baudų, konfiskacijos</w:t>
      </w:r>
      <w:r w:rsidRPr="001B1AA0">
        <w:rPr>
          <w:color w:val="auto"/>
        </w:rPr>
        <w:t xml:space="preserve"> ir kitos įmokos, 20</w:t>
      </w:r>
      <w:r>
        <w:rPr>
          <w:color w:val="auto"/>
        </w:rPr>
        <w:t>20</w:t>
      </w:r>
      <w:r w:rsidRPr="001B1AA0">
        <w:rPr>
          <w:color w:val="auto"/>
        </w:rPr>
        <w:t xml:space="preserve"> metais sudarė </w:t>
      </w:r>
      <w:r>
        <w:rPr>
          <w:color w:val="auto"/>
        </w:rPr>
        <w:t>4,6</w:t>
      </w:r>
      <w:r w:rsidRPr="00943E3D">
        <w:rPr>
          <w:color w:val="auto"/>
        </w:rPr>
        <w:t xml:space="preserve"> proc. visų</w:t>
      </w:r>
      <w:r w:rsidRPr="00352052">
        <w:rPr>
          <w:color w:val="auto"/>
        </w:rPr>
        <w:t xml:space="preserve"> pajamų, jų buvo </w:t>
      </w:r>
      <w:r>
        <w:rPr>
          <w:color w:val="auto"/>
        </w:rPr>
        <w:t>gauta</w:t>
      </w:r>
      <w:r w:rsidRPr="00352052">
        <w:rPr>
          <w:color w:val="auto"/>
        </w:rPr>
        <w:t xml:space="preserve"> </w:t>
      </w:r>
      <w:r>
        <w:rPr>
          <w:color w:val="auto"/>
        </w:rPr>
        <w:t>11,4</w:t>
      </w:r>
      <w:r w:rsidRPr="00352052">
        <w:rPr>
          <w:color w:val="auto"/>
        </w:rPr>
        <w:t xml:space="preserve"> mln. eurų, arba </w:t>
      </w:r>
      <w:r>
        <w:rPr>
          <w:color w:val="auto"/>
        </w:rPr>
        <w:t xml:space="preserve">2,2 </w:t>
      </w:r>
      <w:r w:rsidRPr="00352052">
        <w:rPr>
          <w:color w:val="auto"/>
        </w:rPr>
        <w:t xml:space="preserve">proc. </w:t>
      </w:r>
      <w:r>
        <w:rPr>
          <w:color w:val="auto"/>
        </w:rPr>
        <w:t>mažiau</w:t>
      </w:r>
      <w:r w:rsidRPr="00352052">
        <w:rPr>
          <w:color w:val="auto"/>
        </w:rPr>
        <w:t xml:space="preserve"> nei 20</w:t>
      </w:r>
      <w:r>
        <w:rPr>
          <w:color w:val="auto"/>
        </w:rPr>
        <w:t>19</w:t>
      </w:r>
      <w:r w:rsidRPr="00352052">
        <w:rPr>
          <w:color w:val="auto"/>
        </w:rPr>
        <w:t xml:space="preserve"> metais. </w:t>
      </w:r>
      <w:r w:rsidRPr="00134EFE">
        <w:rPr>
          <w:color w:val="auto"/>
        </w:rPr>
        <w:t>Materialiojo ir nematerialiojo turto realizavimo, finansinio turto sumažėjimo ir finansinių įsipareigojimų prisiėmimo pajamos</w:t>
      </w:r>
      <w:r w:rsidRPr="001F6CF9">
        <w:rPr>
          <w:color w:val="auto"/>
        </w:rPr>
        <w:t xml:space="preserve"> sudarė </w:t>
      </w:r>
      <w:r>
        <w:rPr>
          <w:color w:val="auto"/>
        </w:rPr>
        <w:t>1,2</w:t>
      </w:r>
      <w:r w:rsidRPr="00242B6D">
        <w:rPr>
          <w:color w:val="auto"/>
        </w:rPr>
        <w:t xml:space="preserve"> proc. visų pajamų, jų buvo </w:t>
      </w:r>
      <w:r>
        <w:rPr>
          <w:color w:val="auto"/>
        </w:rPr>
        <w:t>gauta</w:t>
      </w:r>
      <w:r w:rsidRPr="00242B6D">
        <w:rPr>
          <w:color w:val="auto"/>
        </w:rPr>
        <w:t xml:space="preserve"> </w:t>
      </w:r>
      <w:r>
        <w:rPr>
          <w:color w:val="auto"/>
        </w:rPr>
        <w:t>13,3</w:t>
      </w:r>
      <w:r w:rsidRPr="00242B6D">
        <w:rPr>
          <w:color w:val="auto"/>
        </w:rPr>
        <w:t xml:space="preserve"> mln. eurų, arba </w:t>
      </w:r>
      <w:r>
        <w:rPr>
          <w:color w:val="auto"/>
        </w:rPr>
        <w:t>9,2</w:t>
      </w:r>
      <w:r w:rsidRPr="00242B6D">
        <w:rPr>
          <w:color w:val="auto"/>
        </w:rPr>
        <w:t xml:space="preserve"> proc. </w:t>
      </w:r>
      <w:r>
        <w:rPr>
          <w:color w:val="auto"/>
        </w:rPr>
        <w:t>mažiau</w:t>
      </w:r>
      <w:r w:rsidRPr="00242B6D">
        <w:rPr>
          <w:color w:val="auto"/>
        </w:rPr>
        <w:t xml:space="preserve"> nei 201</w:t>
      </w:r>
      <w:r>
        <w:rPr>
          <w:color w:val="auto"/>
        </w:rPr>
        <w:t>9</w:t>
      </w:r>
      <w:r w:rsidRPr="00242B6D">
        <w:rPr>
          <w:color w:val="auto"/>
        </w:rPr>
        <w:t xml:space="preserve"> metais.</w:t>
      </w:r>
      <w:r w:rsidRPr="00501ADD">
        <w:rPr>
          <w:color w:val="auto"/>
        </w:rPr>
        <w:t xml:space="preserve"> </w:t>
      </w:r>
      <w:r w:rsidRPr="00E54751">
        <w:t>ES ir kitos tarptautinės finansinės paramos lėš</w:t>
      </w:r>
      <w:r>
        <w:t>os</w:t>
      </w:r>
      <w:r w:rsidRPr="00E54751">
        <w:t xml:space="preserve"> </w:t>
      </w:r>
      <w:r>
        <w:t>2020 metais sudarė 21,2 proc. visų valstybės biudžeto pajamų, jų 2020 m. palyginti su 2019 m. gauta</w:t>
      </w:r>
      <w:r w:rsidRPr="00E54751">
        <w:t xml:space="preserve"> </w:t>
      </w:r>
      <w:r>
        <w:t>820,4</w:t>
      </w:r>
      <w:r w:rsidRPr="00E54751">
        <w:t xml:space="preserve"> mln. eurų, arba </w:t>
      </w:r>
      <w:r>
        <w:t>54,3</w:t>
      </w:r>
      <w:r w:rsidRPr="00E54751">
        <w:t xml:space="preserve"> proc. </w:t>
      </w:r>
      <w:r>
        <w:t>daugiau</w:t>
      </w:r>
      <w:r w:rsidRPr="00E54751">
        <w:t>.</w:t>
      </w:r>
      <w:r>
        <w:t xml:space="preserve"> </w:t>
      </w:r>
    </w:p>
    <w:p w:rsidR="00501ADD" w:rsidRPr="00382EE7" w:rsidRDefault="00501ADD" w:rsidP="00501ADD">
      <w:pPr>
        <w:ind w:firstLine="567"/>
        <w:jc w:val="both"/>
        <w:rPr>
          <w:color w:val="auto"/>
          <w:highlight w:val="yellow"/>
        </w:rPr>
      </w:pPr>
    </w:p>
    <w:p w:rsidR="006F5E9F" w:rsidRDefault="00040427" w:rsidP="006F5E9F">
      <w:pPr>
        <w:jc w:val="both"/>
        <w:rPr>
          <w:color w:val="auto"/>
        </w:rPr>
      </w:pPr>
      <w:r w:rsidRPr="0069463F">
        <w:rPr>
          <w:b/>
          <w:color w:val="auto"/>
        </w:rPr>
        <w:t>1 paveikslas.</w:t>
      </w:r>
      <w:r w:rsidRPr="0069463F">
        <w:rPr>
          <w:color w:val="auto"/>
        </w:rPr>
        <w:t xml:space="preserve"> </w:t>
      </w:r>
      <w:r w:rsidR="006F5E9F">
        <w:rPr>
          <w:color w:val="auto"/>
        </w:rPr>
        <w:t>2020 ir 2019 metų valstybės biudžeto pajamų palyginimas, mln. eurų.</w:t>
      </w:r>
    </w:p>
    <w:p w:rsidR="00E64805" w:rsidRPr="0069463F" w:rsidRDefault="006F5E9F" w:rsidP="00762E9D">
      <w:pPr>
        <w:jc w:val="both"/>
        <w:rPr>
          <w:color w:val="auto"/>
        </w:rPr>
      </w:pPr>
      <w:r>
        <w:rPr>
          <w:noProof/>
          <w:lang w:eastAsia="lt-LT"/>
        </w:rPr>
        <w:drawing>
          <wp:inline distT="0" distB="0" distL="0" distR="0" wp14:anchorId="6EFF75E1" wp14:editId="595A1D84">
            <wp:extent cx="6124575" cy="2781300"/>
            <wp:effectExtent l="0" t="0" r="9525" b="19050"/>
            <wp:docPr id="2" name="Diagrama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xmlns:arto="http://schemas.microsoft.com/office/word/2006/arto"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62D3" w:rsidRPr="0069463F" w:rsidRDefault="00BD5B49" w:rsidP="002E62D3">
      <w:pPr>
        <w:tabs>
          <w:tab w:val="center" w:pos="4153"/>
          <w:tab w:val="right" w:pos="8306"/>
        </w:tabs>
        <w:jc w:val="both"/>
        <w:rPr>
          <w:i/>
          <w:color w:val="auto"/>
          <w:sz w:val="20"/>
          <w:szCs w:val="20"/>
        </w:rPr>
      </w:pPr>
      <w:r w:rsidRPr="0069463F">
        <w:rPr>
          <w:i/>
          <w:color w:val="auto"/>
          <w:sz w:val="20"/>
          <w:szCs w:val="20"/>
        </w:rPr>
        <w:t xml:space="preserve">Šaltinis – </w:t>
      </w:r>
      <w:r w:rsidR="0069463F" w:rsidRPr="0069463F">
        <w:rPr>
          <w:i/>
          <w:color w:val="auto"/>
          <w:sz w:val="20"/>
          <w:szCs w:val="20"/>
        </w:rPr>
        <w:t xml:space="preserve"> Finansų ministerija</w:t>
      </w:r>
    </w:p>
    <w:p w:rsidR="0071786F" w:rsidRPr="00A30960" w:rsidRDefault="0071786F" w:rsidP="00000943">
      <w:pPr>
        <w:ind w:firstLine="567"/>
        <w:jc w:val="both"/>
      </w:pPr>
      <w:r w:rsidRPr="00ED369E">
        <w:lastRenderedPageBreak/>
        <w:t>20</w:t>
      </w:r>
      <w:r w:rsidR="00ED369E" w:rsidRPr="00ED369E">
        <w:t>20</w:t>
      </w:r>
      <w:r w:rsidRPr="00ED369E">
        <w:t xml:space="preserve"> metų pajamų surinkimo pagal pagrindines valstybės biudžeto pajamų rūšis palyginimas</w:t>
      </w:r>
      <w:r w:rsidR="00DC2657" w:rsidRPr="00ED369E">
        <w:t xml:space="preserve"> su 201</w:t>
      </w:r>
      <w:r w:rsidR="00ED369E" w:rsidRPr="00ED369E">
        <w:t>9</w:t>
      </w:r>
      <w:r w:rsidR="00DC2657" w:rsidRPr="00ED369E">
        <w:t xml:space="preserve"> metais</w:t>
      </w:r>
      <w:r w:rsidR="00DE463D" w:rsidRPr="00ED369E">
        <w:t xml:space="preserve"> pateiktas 2</w:t>
      </w:r>
      <w:r w:rsidRPr="00ED369E">
        <w:t xml:space="preserve"> lentelėje.</w:t>
      </w:r>
      <w:r w:rsidRPr="00A30960">
        <w:t xml:space="preserve"> </w:t>
      </w:r>
    </w:p>
    <w:p w:rsidR="0071786F" w:rsidRPr="00382EE7" w:rsidRDefault="0071786F" w:rsidP="00B450E5">
      <w:pPr>
        <w:jc w:val="both"/>
        <w:rPr>
          <w:rFonts w:eastAsia="SimSun"/>
          <w:color w:val="auto"/>
          <w:sz w:val="20"/>
          <w:szCs w:val="20"/>
          <w:highlight w:val="yellow"/>
        </w:rPr>
      </w:pPr>
    </w:p>
    <w:p w:rsidR="0033012E" w:rsidRDefault="00DE463D" w:rsidP="005D6274">
      <w:pPr>
        <w:jc w:val="both"/>
        <w:rPr>
          <w:color w:val="auto"/>
        </w:rPr>
      </w:pPr>
      <w:r w:rsidRPr="00267B0C">
        <w:rPr>
          <w:b/>
          <w:color w:val="auto"/>
        </w:rPr>
        <w:t>2</w:t>
      </w:r>
      <w:r w:rsidR="0071786F" w:rsidRPr="00267B0C">
        <w:rPr>
          <w:b/>
          <w:color w:val="auto"/>
        </w:rPr>
        <w:t xml:space="preserve"> lentelė</w:t>
      </w:r>
      <w:r w:rsidR="005D6274" w:rsidRPr="00267B0C">
        <w:rPr>
          <w:b/>
          <w:color w:val="auto"/>
        </w:rPr>
        <w:t>.</w:t>
      </w:r>
      <w:r w:rsidR="005D6274" w:rsidRPr="00267B0C">
        <w:rPr>
          <w:color w:val="auto"/>
        </w:rPr>
        <w:t xml:space="preserve"> </w:t>
      </w:r>
      <w:r w:rsidR="008A4428">
        <w:rPr>
          <w:color w:val="auto"/>
        </w:rPr>
        <w:t>2020</w:t>
      </w:r>
      <w:r w:rsidR="00BD5B49" w:rsidRPr="00267B0C">
        <w:rPr>
          <w:color w:val="auto"/>
        </w:rPr>
        <w:t xml:space="preserve"> ir 201</w:t>
      </w:r>
      <w:r w:rsidR="00267B0C" w:rsidRPr="00267B0C">
        <w:rPr>
          <w:color w:val="auto"/>
        </w:rPr>
        <w:t>9</w:t>
      </w:r>
      <w:r w:rsidR="00BD5B49" w:rsidRPr="00267B0C">
        <w:rPr>
          <w:color w:val="auto"/>
        </w:rPr>
        <w:t xml:space="preserve"> metų</w:t>
      </w:r>
      <w:r w:rsidR="005D6274" w:rsidRPr="00267B0C">
        <w:rPr>
          <w:color w:val="auto"/>
        </w:rPr>
        <w:t xml:space="preserve"> valstybės </w:t>
      </w:r>
      <w:r w:rsidR="0033012E" w:rsidRPr="00267B0C">
        <w:rPr>
          <w:color w:val="auto"/>
        </w:rPr>
        <w:t>biu</w:t>
      </w:r>
      <w:r w:rsidR="00A36F0F" w:rsidRPr="00267B0C">
        <w:rPr>
          <w:color w:val="auto"/>
        </w:rPr>
        <w:t xml:space="preserve">džeto pajamų palyginimas, </w:t>
      </w:r>
      <w:r w:rsidR="0010234C">
        <w:rPr>
          <w:color w:val="auto"/>
        </w:rPr>
        <w:t>mln. eurų</w:t>
      </w:r>
    </w:p>
    <w:tbl>
      <w:tblPr>
        <w:tblW w:w="9520" w:type="dxa"/>
        <w:tblInd w:w="103" w:type="dxa"/>
        <w:tblLook w:val="04A0" w:firstRow="1" w:lastRow="0" w:firstColumn="1" w:lastColumn="0" w:noHBand="0" w:noVBand="1"/>
      </w:tblPr>
      <w:tblGrid>
        <w:gridCol w:w="4080"/>
        <w:gridCol w:w="1360"/>
        <w:gridCol w:w="1360"/>
        <w:gridCol w:w="1360"/>
        <w:gridCol w:w="1360"/>
      </w:tblGrid>
      <w:tr w:rsidR="00230D39" w:rsidRPr="00230D39" w:rsidTr="00230D39">
        <w:trPr>
          <w:trHeight w:val="1530"/>
        </w:trPr>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jc w:val="center"/>
              <w:rPr>
                <w:b/>
                <w:bCs/>
                <w:color w:val="auto"/>
                <w:sz w:val="20"/>
                <w:szCs w:val="20"/>
                <w:lang w:eastAsia="lt-LT"/>
              </w:rPr>
            </w:pPr>
            <w:r w:rsidRPr="00230D39">
              <w:rPr>
                <w:b/>
                <w:bCs/>
                <w:color w:val="auto"/>
                <w:sz w:val="20"/>
                <w:szCs w:val="20"/>
                <w:lang w:eastAsia="lt-LT"/>
              </w:rPr>
              <w:t>Pajamų rūšis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30D39" w:rsidRPr="00230D39" w:rsidRDefault="00230D39" w:rsidP="00230D39">
            <w:pPr>
              <w:jc w:val="center"/>
              <w:rPr>
                <w:b/>
                <w:bCs/>
                <w:color w:val="auto"/>
                <w:sz w:val="20"/>
                <w:szCs w:val="20"/>
                <w:lang w:eastAsia="lt-LT"/>
              </w:rPr>
            </w:pPr>
            <w:r w:rsidRPr="00230D39">
              <w:rPr>
                <w:b/>
                <w:bCs/>
                <w:color w:val="auto"/>
                <w:sz w:val="20"/>
                <w:szCs w:val="20"/>
                <w:lang w:eastAsia="lt-LT"/>
              </w:rPr>
              <w:t>Gauta pajamų 2019 m.</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30D39" w:rsidRPr="00230D39" w:rsidRDefault="00230D39" w:rsidP="00230D39">
            <w:pPr>
              <w:jc w:val="center"/>
              <w:rPr>
                <w:b/>
                <w:bCs/>
                <w:color w:val="auto"/>
                <w:sz w:val="20"/>
                <w:szCs w:val="20"/>
                <w:lang w:eastAsia="lt-LT"/>
              </w:rPr>
            </w:pPr>
            <w:r w:rsidRPr="00230D39">
              <w:rPr>
                <w:b/>
                <w:bCs/>
                <w:color w:val="auto"/>
                <w:sz w:val="20"/>
                <w:szCs w:val="20"/>
                <w:lang w:eastAsia="lt-LT"/>
              </w:rPr>
              <w:t>Gauta pajamų 2020 m.</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30D39" w:rsidRPr="00230D39" w:rsidRDefault="00230D39" w:rsidP="00230D39">
            <w:pPr>
              <w:jc w:val="center"/>
              <w:rPr>
                <w:b/>
                <w:bCs/>
                <w:color w:val="auto"/>
                <w:sz w:val="20"/>
                <w:szCs w:val="20"/>
                <w:lang w:eastAsia="lt-LT"/>
              </w:rPr>
            </w:pPr>
            <w:r w:rsidRPr="00230D39">
              <w:rPr>
                <w:b/>
                <w:bCs/>
                <w:color w:val="auto"/>
                <w:sz w:val="20"/>
                <w:szCs w:val="20"/>
                <w:lang w:eastAsia="lt-LT"/>
              </w:rPr>
              <w:t xml:space="preserve">2020 m. gautų pajamų palyginimas su 2019 m.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30D39" w:rsidRPr="00230D39" w:rsidRDefault="00230D39" w:rsidP="00230D39">
            <w:pPr>
              <w:jc w:val="center"/>
              <w:rPr>
                <w:b/>
                <w:bCs/>
                <w:color w:val="auto"/>
                <w:sz w:val="20"/>
                <w:szCs w:val="20"/>
                <w:lang w:eastAsia="lt-LT"/>
              </w:rPr>
            </w:pPr>
            <w:r w:rsidRPr="00230D39">
              <w:rPr>
                <w:b/>
                <w:bCs/>
                <w:color w:val="auto"/>
                <w:sz w:val="20"/>
                <w:szCs w:val="20"/>
                <w:lang w:eastAsia="lt-LT"/>
              </w:rPr>
              <w:t>2020 m. pajamų surinkimo pokytis palyginti su 2019 m., proc.</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Mokesčių pajamos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b/>
                <w:bCs/>
                <w:color w:val="auto"/>
                <w:sz w:val="20"/>
                <w:szCs w:val="20"/>
                <w:lang w:eastAsia="lt-LT"/>
              </w:rPr>
            </w:pPr>
            <w:r w:rsidRPr="00230D39">
              <w:rPr>
                <w:rFonts w:ascii="Times New Roman Baltic" w:hAnsi="Times New Roman Baltic" w:cs="Times New Roman Baltic"/>
                <w:b/>
                <w:bCs/>
                <w:color w:val="auto"/>
                <w:sz w:val="20"/>
                <w:szCs w:val="20"/>
                <w:lang w:eastAsia="lt-LT"/>
              </w:rPr>
              <w:t>8 051,2</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b/>
                <w:bCs/>
                <w:color w:val="auto"/>
                <w:sz w:val="20"/>
                <w:szCs w:val="20"/>
                <w:lang w:eastAsia="lt-LT"/>
              </w:rPr>
            </w:pPr>
            <w:r w:rsidRPr="00230D39">
              <w:rPr>
                <w:rFonts w:ascii="Times New Roman Baltic" w:hAnsi="Times New Roman Baltic" w:cs="Times New Roman Baltic"/>
                <w:b/>
                <w:bCs/>
                <w:color w:val="auto"/>
                <w:sz w:val="20"/>
                <w:szCs w:val="20"/>
                <w:lang w:eastAsia="lt-LT"/>
              </w:rPr>
              <w:t>8 023,2</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-28,1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-0,3</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Gyventojų pajamų mokestis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1 825,8</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1 886,8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61,0</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3,3</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Pelno mokestis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759,1</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779,7</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20,5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2,7</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Nekilnojamojo turto mokestis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2,9</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5,1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78,7</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Pridėtinės vertės mokestis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3 775,9</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3 574,4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-201,5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-5,3</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Atskaitymai nuo pajamų pagal Lietuvos Respublikos miškų įstatymą</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26,2</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24,4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-6,8</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Akcizai</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1 487,1</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1 558,9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71,9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4,8</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Loterijų ir lošimų mokesčiai</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18,6</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17,2</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-7,8</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Transporto priemonių mokesčiai</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20,1</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36,1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16,0</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79,7</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Mokesčiai už aplinkos teršimą</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13,2</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12,9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-2,2</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Tarptautinės prekybos ir sandorių mokesčiai</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122,3</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127,6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4,3</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Kitos pajamos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b/>
                <w:bCs/>
                <w:color w:val="auto"/>
                <w:sz w:val="20"/>
                <w:szCs w:val="20"/>
                <w:lang w:eastAsia="lt-LT"/>
              </w:rPr>
            </w:pPr>
            <w:r w:rsidRPr="00230D39">
              <w:rPr>
                <w:rFonts w:ascii="Times New Roman Baltic" w:hAnsi="Times New Roman Baltic" w:cs="Times New Roman Baltic"/>
                <w:b/>
                <w:bCs/>
                <w:color w:val="auto"/>
                <w:sz w:val="20"/>
                <w:szCs w:val="20"/>
                <w:lang w:eastAsia="lt-LT"/>
              </w:rPr>
              <w:t>521,3</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b/>
                <w:bCs/>
                <w:color w:val="auto"/>
                <w:sz w:val="20"/>
                <w:szCs w:val="20"/>
                <w:lang w:eastAsia="lt-LT"/>
              </w:rPr>
            </w:pPr>
            <w:r w:rsidRPr="00230D39">
              <w:rPr>
                <w:rFonts w:ascii="Times New Roman Baltic" w:hAnsi="Times New Roman Baltic" w:cs="Times New Roman Baltic"/>
                <w:b/>
                <w:bCs/>
                <w:color w:val="auto"/>
                <w:sz w:val="20"/>
                <w:szCs w:val="20"/>
                <w:lang w:eastAsia="lt-LT"/>
              </w:rPr>
              <w:t>509,9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-11,4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-2,2</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Turto pajamos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b/>
                <w:bCs/>
                <w:color w:val="auto"/>
                <w:sz w:val="20"/>
                <w:szCs w:val="20"/>
                <w:lang w:eastAsia="lt-LT"/>
              </w:rPr>
            </w:pPr>
            <w:r w:rsidRPr="00230D39">
              <w:rPr>
                <w:rFonts w:ascii="Times New Roman Baltic" w:hAnsi="Times New Roman Baltic" w:cs="Times New Roman Baltic"/>
                <w:b/>
                <w:bCs/>
                <w:color w:val="auto"/>
                <w:sz w:val="20"/>
                <w:szCs w:val="20"/>
                <w:lang w:eastAsia="lt-LT"/>
              </w:rPr>
              <w:t>186,1</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b/>
                <w:bCs/>
                <w:color w:val="auto"/>
                <w:sz w:val="20"/>
                <w:szCs w:val="20"/>
                <w:lang w:eastAsia="lt-LT"/>
              </w:rPr>
            </w:pPr>
            <w:r w:rsidRPr="00230D39">
              <w:rPr>
                <w:rFonts w:ascii="Times New Roman Baltic" w:hAnsi="Times New Roman Baltic" w:cs="Times New Roman Baltic"/>
                <w:b/>
                <w:bCs/>
                <w:color w:val="auto"/>
                <w:sz w:val="20"/>
                <w:szCs w:val="20"/>
                <w:lang w:eastAsia="lt-LT"/>
              </w:rPr>
              <w:t>209,6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23,5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12,7</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 xml:space="preserve">Palūkanos už paskolas </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4,1</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4,1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0,0</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0,1</w:t>
            </w:r>
          </w:p>
        </w:tc>
      </w:tr>
      <w:tr w:rsidR="00230D39" w:rsidRPr="00230D39" w:rsidTr="00230D39">
        <w:trPr>
          <w:trHeight w:val="510"/>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Palūkanos už indėlius, depozitus, sąskaitų likučius ir vertybinius popierius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6,4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-76,8</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Lietuvos banko pelno įmokos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12,7</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13,8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8,4</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Dividendai ir valstybės įmonių pelno įmokos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137,2</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165,6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28,4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20,7</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 xml:space="preserve">Mokesčiai už valstybinius gamtos išteklius </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18,4</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18,3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-0,7</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Angliavandenilių išteklių mokestis</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2,6</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1,5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-41,5</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Mokestis už valstybės turto naudojimą patikėjimo teise</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4,6</w:t>
            </w:r>
          </w:p>
        </w:tc>
        <w:tc>
          <w:tcPr>
            <w:tcW w:w="1360" w:type="dxa"/>
            <w:tcBorders>
              <w:top w:val="nil"/>
              <w:left w:val="nil"/>
              <w:bottom w:val="single" w:sz="4" w:space="0" w:color="auto"/>
              <w:right w:val="single" w:sz="4" w:space="0" w:color="auto"/>
            </w:tcBorders>
            <w:shd w:val="clear" w:color="auto" w:fill="auto"/>
            <w:noWrap/>
            <w:vAlign w:val="bottom"/>
            <w:hideMark/>
          </w:tcPr>
          <w:p w:rsidR="00230D39" w:rsidRPr="00230D39" w:rsidRDefault="00230D39" w:rsidP="00230D39">
            <w:pPr>
              <w:jc w:val="right"/>
              <w:rPr>
                <w:rFonts w:ascii="Times New Roman Baltic" w:hAnsi="Times New Roman Baltic" w:cs="Times New Roman Baltic"/>
                <w:color w:val="auto"/>
                <w:sz w:val="20"/>
                <w:szCs w:val="20"/>
                <w:lang w:eastAsia="lt-LT"/>
              </w:rPr>
            </w:pPr>
            <w:r w:rsidRPr="00230D39">
              <w:rPr>
                <w:rFonts w:ascii="Times New Roman Baltic" w:hAnsi="Times New Roman Baltic" w:cs="Times New Roman Baltic"/>
                <w:color w:val="auto"/>
                <w:sz w:val="20"/>
                <w:szCs w:val="20"/>
                <w:lang w:eastAsia="lt-LT"/>
              </w:rPr>
              <w:t>4,8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0,2</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4,6</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 xml:space="preserve">Pajamos už prekes ir paslaugas </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237,6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209,3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-28,3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-11,9</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Biudžetinių įstaigų pajamos už prekes ir paslaugas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97,9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89,8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-8,2</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-8,3</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Pajamos už ilgalaikio ir trumpalaikio materialiojo turto nuomą</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-13,1</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Konsulinis mokestis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25,1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10,5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-14,6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-58,1</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Žyminis mokestis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10,3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9,6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-0,7</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-6,6</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Rinkliavos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42,1</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37,5</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-4,6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-10,9</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color w:val="auto"/>
                <w:sz w:val="20"/>
                <w:szCs w:val="20"/>
                <w:lang w:eastAsia="lt-LT"/>
              </w:rPr>
            </w:pPr>
            <w:r w:rsidRPr="00230D39">
              <w:rPr>
                <w:color w:val="auto"/>
                <w:sz w:val="20"/>
                <w:szCs w:val="20"/>
                <w:lang w:eastAsia="lt-LT"/>
              </w:rPr>
              <w:t>Kitos pajamos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56,4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56,8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color w:val="auto"/>
                <w:sz w:val="20"/>
                <w:szCs w:val="20"/>
                <w:lang w:eastAsia="lt-LT"/>
              </w:rPr>
            </w:pPr>
            <w:r w:rsidRPr="00230D39">
              <w:rPr>
                <w:color w:val="auto"/>
                <w:sz w:val="20"/>
                <w:szCs w:val="20"/>
                <w:lang w:eastAsia="lt-LT"/>
              </w:rPr>
              <w:t>0,8</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Pajamos iš baudų, konfiskuoto turto ir kitų netesybų</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50,7</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61,9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11,2</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22,1</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Kitos neišvardytos pajamos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46,9</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29,0</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-17,8</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-38,1</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Materialiojo ir nematerialiojo turto realizavimo pajamos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138,4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128,7</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-9,7</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-7,0</w:t>
            </w:r>
          </w:p>
        </w:tc>
      </w:tr>
      <w:tr w:rsidR="00230D39" w:rsidRPr="00230D39" w:rsidTr="00230D39">
        <w:trPr>
          <w:trHeight w:val="540"/>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Finansinio turto sumažėjimo pajamos (finansinio turto pardavimas / grįžusios finansinės investicijos)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6,2</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-3,6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-58,6</w:t>
            </w:r>
          </w:p>
        </w:tc>
      </w:tr>
      <w:tr w:rsidR="00230D39" w:rsidRPr="00230D39" w:rsidTr="00230D39">
        <w:trPr>
          <w:trHeight w:val="28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Europos Sąjungos ir kitos tarptautinės finansinės paramos lėšos</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1 511,6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2 332,0</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820,4</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54,3</w:t>
            </w:r>
          </w:p>
        </w:tc>
      </w:tr>
      <w:tr w:rsidR="00230D39" w:rsidRPr="00230D39" w:rsidTr="00230D39">
        <w:trPr>
          <w:trHeight w:val="255"/>
        </w:trPr>
        <w:tc>
          <w:tcPr>
            <w:tcW w:w="4080" w:type="dxa"/>
            <w:tcBorders>
              <w:top w:val="nil"/>
              <w:left w:val="single" w:sz="4" w:space="0" w:color="auto"/>
              <w:bottom w:val="single" w:sz="4" w:space="0" w:color="auto"/>
              <w:right w:val="single" w:sz="4" w:space="0" w:color="auto"/>
            </w:tcBorders>
            <w:shd w:val="clear" w:color="auto" w:fill="auto"/>
            <w:vAlign w:val="center"/>
            <w:hideMark/>
          </w:tcPr>
          <w:p w:rsidR="00230D39" w:rsidRPr="00230D39" w:rsidRDefault="00230D39" w:rsidP="00230D39">
            <w:pPr>
              <w:rPr>
                <w:b/>
                <w:bCs/>
                <w:color w:val="auto"/>
                <w:sz w:val="20"/>
                <w:szCs w:val="20"/>
                <w:lang w:eastAsia="lt-LT"/>
              </w:rPr>
            </w:pPr>
            <w:r w:rsidRPr="00230D39">
              <w:rPr>
                <w:b/>
                <w:bCs/>
                <w:color w:val="auto"/>
                <w:sz w:val="20"/>
                <w:szCs w:val="20"/>
                <w:lang w:eastAsia="lt-LT"/>
              </w:rPr>
              <w:t>IŠ VISO</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10 228,7</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10 996,3</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767,6</w:t>
            </w:r>
          </w:p>
        </w:tc>
        <w:tc>
          <w:tcPr>
            <w:tcW w:w="1360" w:type="dxa"/>
            <w:tcBorders>
              <w:top w:val="nil"/>
              <w:left w:val="nil"/>
              <w:bottom w:val="single" w:sz="4" w:space="0" w:color="auto"/>
              <w:right w:val="single" w:sz="4" w:space="0" w:color="auto"/>
            </w:tcBorders>
            <w:shd w:val="clear" w:color="auto" w:fill="auto"/>
            <w:noWrap/>
            <w:vAlign w:val="center"/>
            <w:hideMark/>
          </w:tcPr>
          <w:p w:rsidR="00230D39" w:rsidRPr="00230D39" w:rsidRDefault="00230D39" w:rsidP="00230D39">
            <w:pPr>
              <w:jc w:val="right"/>
              <w:rPr>
                <w:b/>
                <w:bCs/>
                <w:color w:val="auto"/>
                <w:sz w:val="20"/>
                <w:szCs w:val="20"/>
                <w:lang w:eastAsia="lt-LT"/>
              </w:rPr>
            </w:pPr>
            <w:r w:rsidRPr="00230D39">
              <w:rPr>
                <w:b/>
                <w:bCs/>
                <w:color w:val="auto"/>
                <w:sz w:val="20"/>
                <w:szCs w:val="20"/>
                <w:lang w:eastAsia="lt-LT"/>
              </w:rPr>
              <w:t>7,5</w:t>
            </w:r>
          </w:p>
        </w:tc>
      </w:tr>
    </w:tbl>
    <w:p w:rsidR="00502DE3" w:rsidRDefault="000C3A7B" w:rsidP="00BD5B49">
      <w:pPr>
        <w:tabs>
          <w:tab w:val="center" w:pos="4153"/>
          <w:tab w:val="right" w:pos="8306"/>
        </w:tabs>
        <w:jc w:val="both"/>
        <w:rPr>
          <w:i/>
          <w:color w:val="auto"/>
          <w:sz w:val="20"/>
          <w:szCs w:val="20"/>
          <w:highlight w:val="yellow"/>
        </w:rPr>
      </w:pPr>
      <w:r w:rsidRPr="004745DA">
        <w:rPr>
          <w:i/>
          <w:color w:val="auto"/>
          <w:sz w:val="20"/>
          <w:szCs w:val="20"/>
        </w:rPr>
        <w:t>*</w:t>
      </w:r>
      <w:r w:rsidR="00BD5B49" w:rsidRPr="004745DA">
        <w:rPr>
          <w:i/>
          <w:color w:val="auto"/>
          <w:sz w:val="20"/>
          <w:szCs w:val="20"/>
        </w:rPr>
        <w:t>Šaltinis –  Finansų ministerija</w:t>
      </w:r>
    </w:p>
    <w:p w:rsidR="004745DA" w:rsidRPr="00382EE7" w:rsidRDefault="004745DA" w:rsidP="00BD5B49">
      <w:pPr>
        <w:tabs>
          <w:tab w:val="center" w:pos="4153"/>
          <w:tab w:val="right" w:pos="8306"/>
        </w:tabs>
        <w:jc w:val="both"/>
        <w:rPr>
          <w:i/>
          <w:color w:val="auto"/>
          <w:sz w:val="20"/>
          <w:szCs w:val="20"/>
          <w:highlight w:val="yellow"/>
        </w:rPr>
      </w:pPr>
    </w:p>
    <w:p w:rsidR="00CB4212" w:rsidRPr="00DE4635" w:rsidRDefault="00762E9D" w:rsidP="00502DE3">
      <w:pPr>
        <w:tabs>
          <w:tab w:val="center" w:pos="4153"/>
          <w:tab w:val="right" w:pos="8306"/>
        </w:tabs>
        <w:ind w:firstLine="567"/>
        <w:jc w:val="both"/>
        <w:rPr>
          <w:color w:val="auto"/>
          <w:szCs w:val="20"/>
        </w:rPr>
      </w:pPr>
      <w:r w:rsidRPr="00DE4635">
        <w:rPr>
          <w:color w:val="auto"/>
          <w:szCs w:val="20"/>
        </w:rPr>
        <w:lastRenderedPageBreak/>
        <w:t xml:space="preserve">Toliau pateikiami valstybės biudžeto pajamų iš </w:t>
      </w:r>
      <w:r w:rsidRPr="00DE4635">
        <w:rPr>
          <w:b/>
          <w:color w:val="auto"/>
          <w:szCs w:val="20"/>
        </w:rPr>
        <w:t>pagrindinių mokesčių</w:t>
      </w:r>
      <w:r w:rsidRPr="00DE4635">
        <w:rPr>
          <w:color w:val="auto"/>
          <w:szCs w:val="20"/>
        </w:rPr>
        <w:t xml:space="preserve"> surinkimo užduočių vykdymą lėmę</w:t>
      </w:r>
      <w:r w:rsidRPr="00DE4635">
        <w:rPr>
          <w:color w:val="auto"/>
        </w:rPr>
        <w:t xml:space="preserve"> </w:t>
      </w:r>
      <w:r w:rsidR="00C81DC5" w:rsidRPr="00DE4635">
        <w:rPr>
          <w:color w:val="auto"/>
          <w:szCs w:val="20"/>
        </w:rPr>
        <w:t>veiksniai ir</w:t>
      </w:r>
      <w:r w:rsidRPr="00DE4635">
        <w:rPr>
          <w:color w:val="auto"/>
          <w:szCs w:val="20"/>
        </w:rPr>
        <w:t xml:space="preserve"> analizė.</w:t>
      </w:r>
    </w:p>
    <w:p w:rsidR="001A1E26" w:rsidRPr="00382EE7" w:rsidRDefault="001A1E26" w:rsidP="00502DE3">
      <w:pPr>
        <w:tabs>
          <w:tab w:val="center" w:pos="4153"/>
          <w:tab w:val="right" w:pos="8306"/>
        </w:tabs>
        <w:ind w:firstLine="567"/>
        <w:jc w:val="both"/>
        <w:rPr>
          <w:color w:val="auto"/>
          <w:szCs w:val="20"/>
          <w:highlight w:val="yellow"/>
        </w:rPr>
      </w:pPr>
    </w:p>
    <w:p w:rsidR="002E5E01" w:rsidRPr="00491A0D" w:rsidRDefault="002E5E01" w:rsidP="00F6576F">
      <w:pPr>
        <w:pStyle w:val="Antrat33"/>
        <w:spacing w:line="240" w:lineRule="auto"/>
        <w:rPr>
          <w:color w:val="auto"/>
          <w:sz w:val="26"/>
          <w:szCs w:val="26"/>
        </w:rPr>
      </w:pPr>
      <w:r w:rsidRPr="00491A0D">
        <w:rPr>
          <w:color w:val="auto"/>
          <w:sz w:val="26"/>
          <w:szCs w:val="26"/>
        </w:rPr>
        <w:t>Pridėtinės vertės mokestis</w:t>
      </w:r>
    </w:p>
    <w:p w:rsidR="00F6576F" w:rsidRPr="00382EE7" w:rsidRDefault="00F6576F" w:rsidP="00F6576F">
      <w:pPr>
        <w:pStyle w:val="Antrat33"/>
        <w:spacing w:line="240" w:lineRule="auto"/>
        <w:rPr>
          <w:rFonts w:eastAsia="SimSun"/>
          <w:color w:val="auto"/>
          <w:highlight w:val="yellow"/>
        </w:rPr>
      </w:pPr>
    </w:p>
    <w:p w:rsidR="00817778" w:rsidRPr="005D0C5F" w:rsidRDefault="00817778" w:rsidP="00817778">
      <w:pPr>
        <w:ind w:firstLine="567"/>
        <w:jc w:val="both"/>
        <w:rPr>
          <w:rFonts w:eastAsia="SimSun"/>
        </w:rPr>
      </w:pPr>
      <w:r w:rsidRPr="009D0FC7">
        <w:rPr>
          <w:rFonts w:eastAsia="SimSun"/>
        </w:rPr>
        <w:t>Per 20</w:t>
      </w:r>
      <w:r>
        <w:rPr>
          <w:rFonts w:eastAsia="SimSun"/>
        </w:rPr>
        <w:t>20</w:t>
      </w:r>
      <w:r w:rsidRPr="009D0FC7">
        <w:rPr>
          <w:rFonts w:eastAsia="SimSun"/>
        </w:rPr>
        <w:t xml:space="preserve"> m</w:t>
      </w:r>
      <w:r>
        <w:rPr>
          <w:rFonts w:eastAsia="SimSun"/>
        </w:rPr>
        <w:t>etus</w:t>
      </w:r>
      <w:r w:rsidRPr="009D0FC7">
        <w:rPr>
          <w:rFonts w:eastAsia="SimSun"/>
        </w:rPr>
        <w:t xml:space="preserve"> buvo gauta </w:t>
      </w:r>
      <w:r>
        <w:rPr>
          <w:rFonts w:eastAsia="SimSun"/>
          <w:b/>
        </w:rPr>
        <w:t>3 574,4</w:t>
      </w:r>
      <w:r w:rsidRPr="009D0FC7">
        <w:rPr>
          <w:rFonts w:eastAsia="SimSun"/>
          <w:b/>
        </w:rPr>
        <w:t xml:space="preserve"> mln. eurų</w:t>
      </w:r>
      <w:r w:rsidRPr="009D0FC7">
        <w:rPr>
          <w:rFonts w:eastAsia="SimSun"/>
        </w:rPr>
        <w:t xml:space="preserve"> </w:t>
      </w:r>
      <w:r>
        <w:rPr>
          <w:rFonts w:eastAsia="SimSun"/>
        </w:rPr>
        <w:t xml:space="preserve">pajamų iš </w:t>
      </w:r>
      <w:r w:rsidRPr="009D0FC7">
        <w:rPr>
          <w:rFonts w:eastAsia="SimSun"/>
        </w:rPr>
        <w:t>PVM. 20</w:t>
      </w:r>
      <w:r>
        <w:rPr>
          <w:rFonts w:eastAsia="SimSun"/>
        </w:rPr>
        <w:t>20</w:t>
      </w:r>
      <w:r w:rsidRPr="009D0FC7">
        <w:rPr>
          <w:rFonts w:eastAsia="SimSun"/>
        </w:rPr>
        <w:t xml:space="preserve"> metų planas vykdytas </w:t>
      </w:r>
      <w:r>
        <w:rPr>
          <w:rFonts w:eastAsia="SimSun"/>
        </w:rPr>
        <w:t>86,2</w:t>
      </w:r>
      <w:r w:rsidRPr="005D0C5F">
        <w:rPr>
          <w:rFonts w:eastAsia="SimSun"/>
        </w:rPr>
        <w:t xml:space="preserve"> proc., į biudžetą gauta </w:t>
      </w:r>
      <w:r>
        <w:rPr>
          <w:rFonts w:eastAsia="SimSun"/>
        </w:rPr>
        <w:t>574,</w:t>
      </w:r>
      <w:r w:rsidR="00571DD3">
        <w:rPr>
          <w:rFonts w:eastAsia="SimSun"/>
        </w:rPr>
        <w:t>4</w:t>
      </w:r>
      <w:r w:rsidRPr="005D0C5F">
        <w:rPr>
          <w:rFonts w:eastAsia="SimSun"/>
        </w:rPr>
        <w:t xml:space="preserve"> mln. eurų mažiau nei planuota. 20</w:t>
      </w:r>
      <w:r>
        <w:rPr>
          <w:rFonts w:eastAsia="SimSun"/>
        </w:rPr>
        <w:t>20</w:t>
      </w:r>
      <w:r w:rsidRPr="005D0C5F">
        <w:rPr>
          <w:rFonts w:eastAsia="SimSun"/>
        </w:rPr>
        <w:t xml:space="preserve"> m. palyginti su 201</w:t>
      </w:r>
      <w:r>
        <w:rPr>
          <w:rFonts w:eastAsia="SimSun"/>
        </w:rPr>
        <w:t>9</w:t>
      </w:r>
      <w:r w:rsidRPr="005D0C5F">
        <w:rPr>
          <w:rFonts w:eastAsia="SimSun"/>
        </w:rPr>
        <w:t xml:space="preserve"> m. į valstybės biudžetą </w:t>
      </w:r>
      <w:r>
        <w:rPr>
          <w:rFonts w:eastAsia="SimSun"/>
        </w:rPr>
        <w:t>įplaukė 201,5</w:t>
      </w:r>
      <w:r w:rsidRPr="005D0C5F">
        <w:rPr>
          <w:rFonts w:eastAsia="SimSun"/>
        </w:rPr>
        <w:t xml:space="preserve"> mln. eurų, arba </w:t>
      </w:r>
      <w:r>
        <w:rPr>
          <w:rFonts w:eastAsia="SimSun"/>
        </w:rPr>
        <w:t>5,3</w:t>
      </w:r>
      <w:r w:rsidRPr="005D0C5F">
        <w:rPr>
          <w:rFonts w:eastAsia="SimSun"/>
        </w:rPr>
        <w:t xml:space="preserve"> proc., </w:t>
      </w:r>
      <w:r>
        <w:rPr>
          <w:rFonts w:eastAsia="SimSun"/>
        </w:rPr>
        <w:t>mažiau</w:t>
      </w:r>
      <w:r w:rsidRPr="005D0C5F">
        <w:rPr>
          <w:rFonts w:eastAsia="SimSun"/>
        </w:rPr>
        <w:t xml:space="preserve"> pajamų iš PVM.</w:t>
      </w:r>
    </w:p>
    <w:p w:rsidR="00817778" w:rsidRPr="005D0C5F" w:rsidRDefault="00817778" w:rsidP="00817778">
      <w:pPr>
        <w:widowControl w:val="0"/>
        <w:ind w:firstLine="720"/>
        <w:jc w:val="both"/>
        <w:rPr>
          <w:rFonts w:eastAsia="SimSun"/>
        </w:rPr>
      </w:pPr>
    </w:p>
    <w:p w:rsidR="00817778" w:rsidRPr="00935604" w:rsidRDefault="00817778" w:rsidP="00817778">
      <w:pPr>
        <w:widowControl w:val="0"/>
        <w:jc w:val="both"/>
        <w:rPr>
          <w:rFonts w:eastAsia="SimSun"/>
        </w:rPr>
      </w:pPr>
      <w:r w:rsidRPr="005D0C5F">
        <w:rPr>
          <w:rFonts w:eastAsia="SimSun"/>
          <w:b/>
        </w:rPr>
        <w:t xml:space="preserve"> </w:t>
      </w:r>
      <w:r>
        <w:rPr>
          <w:rFonts w:eastAsia="SimSun"/>
          <w:b/>
        </w:rPr>
        <w:t>3</w:t>
      </w:r>
      <w:r w:rsidRPr="00935604">
        <w:rPr>
          <w:rFonts w:eastAsia="SimSun"/>
          <w:b/>
        </w:rPr>
        <w:t xml:space="preserve"> lentelė. </w:t>
      </w:r>
      <w:r w:rsidRPr="00935604">
        <w:rPr>
          <w:rFonts w:eastAsia="SimSun"/>
          <w:color w:val="auto"/>
        </w:rPr>
        <w:t>VMI ir Muitinės administruojamos pajamos iš PVM, mln. eurų</w:t>
      </w:r>
    </w:p>
    <w:tbl>
      <w:tblPr>
        <w:tblW w:w="5027" w:type="pct"/>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57"/>
        <w:gridCol w:w="994"/>
        <w:gridCol w:w="852"/>
        <w:gridCol w:w="994"/>
        <w:gridCol w:w="854"/>
        <w:gridCol w:w="858"/>
        <w:gridCol w:w="850"/>
        <w:gridCol w:w="787"/>
      </w:tblGrid>
      <w:tr w:rsidR="00817778" w:rsidRPr="00935604" w:rsidTr="00646EFE">
        <w:trPr>
          <w:trHeight w:val="621"/>
        </w:trPr>
        <w:tc>
          <w:tcPr>
            <w:tcW w:w="1825" w:type="pct"/>
            <w:shd w:val="clear" w:color="auto" w:fill="FFFFFF"/>
            <w:tcMar>
              <w:left w:w="28" w:type="dxa"/>
              <w:right w:w="28" w:type="dxa"/>
            </w:tcMar>
            <w:vAlign w:val="center"/>
          </w:tcPr>
          <w:p w:rsidR="00817778" w:rsidRPr="00935604" w:rsidRDefault="00817778" w:rsidP="00646EFE">
            <w:pPr>
              <w:widowControl w:val="0"/>
              <w:jc w:val="center"/>
              <w:rPr>
                <w:rFonts w:eastAsia="SimSun"/>
                <w:b/>
                <w:color w:val="auto"/>
                <w:sz w:val="20"/>
                <w:szCs w:val="20"/>
              </w:rPr>
            </w:pPr>
            <w:r w:rsidRPr="00935604">
              <w:rPr>
                <w:rFonts w:eastAsia="SimSun"/>
                <w:b/>
                <w:color w:val="auto"/>
                <w:sz w:val="20"/>
                <w:szCs w:val="20"/>
              </w:rPr>
              <w:t>Pajamos iš PVM</w:t>
            </w:r>
          </w:p>
        </w:tc>
        <w:tc>
          <w:tcPr>
            <w:tcW w:w="510" w:type="pct"/>
            <w:shd w:val="clear" w:color="auto" w:fill="FFFFFF"/>
            <w:tcMar>
              <w:left w:w="28" w:type="dxa"/>
              <w:right w:w="28" w:type="dxa"/>
            </w:tcMar>
            <w:vAlign w:val="center"/>
          </w:tcPr>
          <w:p w:rsidR="00817778" w:rsidRPr="00935604" w:rsidRDefault="00817778" w:rsidP="00646EFE">
            <w:pPr>
              <w:jc w:val="center"/>
              <w:rPr>
                <w:b/>
                <w:bCs/>
                <w:sz w:val="20"/>
                <w:szCs w:val="20"/>
              </w:rPr>
            </w:pPr>
            <w:r w:rsidRPr="00935604">
              <w:rPr>
                <w:b/>
                <w:bCs/>
                <w:sz w:val="20"/>
                <w:szCs w:val="20"/>
              </w:rPr>
              <w:t>2019 m. faktas</w:t>
            </w:r>
          </w:p>
        </w:tc>
        <w:tc>
          <w:tcPr>
            <w:tcW w:w="437" w:type="pct"/>
            <w:shd w:val="clear" w:color="auto" w:fill="FFFFFF"/>
            <w:tcMar>
              <w:left w:w="28" w:type="dxa"/>
              <w:right w:w="28" w:type="dxa"/>
            </w:tcMar>
            <w:vAlign w:val="center"/>
          </w:tcPr>
          <w:p w:rsidR="00817778" w:rsidRPr="00935604" w:rsidRDefault="00817778" w:rsidP="00646EFE">
            <w:pPr>
              <w:jc w:val="center"/>
              <w:rPr>
                <w:b/>
                <w:bCs/>
                <w:sz w:val="20"/>
                <w:szCs w:val="20"/>
              </w:rPr>
            </w:pPr>
            <w:r w:rsidRPr="00935604">
              <w:rPr>
                <w:b/>
                <w:bCs/>
                <w:sz w:val="20"/>
                <w:szCs w:val="20"/>
              </w:rPr>
              <w:t>2020 m. planas</w:t>
            </w:r>
          </w:p>
        </w:tc>
        <w:tc>
          <w:tcPr>
            <w:tcW w:w="510" w:type="pct"/>
            <w:shd w:val="clear" w:color="auto" w:fill="FFFFFF"/>
            <w:tcMar>
              <w:left w:w="28" w:type="dxa"/>
              <w:right w:w="28" w:type="dxa"/>
            </w:tcMar>
            <w:vAlign w:val="center"/>
          </w:tcPr>
          <w:p w:rsidR="00817778" w:rsidRPr="00935604" w:rsidRDefault="00817778" w:rsidP="00646EFE">
            <w:pPr>
              <w:jc w:val="center"/>
              <w:rPr>
                <w:b/>
                <w:bCs/>
                <w:sz w:val="20"/>
                <w:szCs w:val="20"/>
              </w:rPr>
            </w:pPr>
            <w:r w:rsidRPr="00935604">
              <w:rPr>
                <w:b/>
                <w:bCs/>
                <w:sz w:val="20"/>
                <w:szCs w:val="20"/>
              </w:rPr>
              <w:t>2020 m. faktas</w:t>
            </w:r>
          </w:p>
        </w:tc>
        <w:tc>
          <w:tcPr>
            <w:tcW w:w="878" w:type="pct"/>
            <w:gridSpan w:val="2"/>
            <w:shd w:val="clear" w:color="auto" w:fill="FFFFFF"/>
            <w:tcMar>
              <w:left w:w="28" w:type="dxa"/>
              <w:right w:w="28" w:type="dxa"/>
            </w:tcMar>
            <w:vAlign w:val="bottom"/>
          </w:tcPr>
          <w:p w:rsidR="00817778" w:rsidRPr="00935604" w:rsidRDefault="00817778" w:rsidP="00646EFE">
            <w:pPr>
              <w:widowControl w:val="0"/>
              <w:jc w:val="center"/>
              <w:rPr>
                <w:rFonts w:eastAsia="SimSun"/>
                <w:b/>
                <w:color w:val="auto"/>
                <w:sz w:val="20"/>
                <w:szCs w:val="20"/>
              </w:rPr>
            </w:pPr>
            <w:r w:rsidRPr="00935604">
              <w:rPr>
                <w:rFonts w:eastAsia="SimSun"/>
                <w:b/>
                <w:color w:val="auto"/>
                <w:sz w:val="20"/>
                <w:szCs w:val="20"/>
              </w:rPr>
              <w:t xml:space="preserve">Fakto pokytis </w:t>
            </w:r>
          </w:p>
          <w:p w:rsidR="00817778" w:rsidRPr="00935604" w:rsidRDefault="00817778" w:rsidP="00646EFE">
            <w:pPr>
              <w:widowControl w:val="0"/>
              <w:jc w:val="center"/>
              <w:rPr>
                <w:rFonts w:eastAsia="SimSun"/>
                <w:b/>
                <w:color w:val="auto"/>
                <w:sz w:val="20"/>
                <w:szCs w:val="20"/>
              </w:rPr>
            </w:pPr>
            <w:r w:rsidRPr="00935604">
              <w:rPr>
                <w:rFonts w:eastAsia="SimSun"/>
                <w:b/>
                <w:bCs/>
                <w:color w:val="auto"/>
                <w:sz w:val="20"/>
                <w:szCs w:val="20"/>
              </w:rPr>
              <w:t>(+,-)          %</w:t>
            </w:r>
          </w:p>
        </w:tc>
        <w:tc>
          <w:tcPr>
            <w:tcW w:w="840" w:type="pct"/>
            <w:gridSpan w:val="2"/>
            <w:shd w:val="clear" w:color="auto" w:fill="FFFFFF"/>
            <w:tcMar>
              <w:left w:w="28" w:type="dxa"/>
              <w:right w:w="28" w:type="dxa"/>
            </w:tcMar>
            <w:vAlign w:val="bottom"/>
          </w:tcPr>
          <w:p w:rsidR="00817778" w:rsidRPr="00935604" w:rsidRDefault="00817778" w:rsidP="00646EFE">
            <w:pPr>
              <w:widowControl w:val="0"/>
              <w:jc w:val="center"/>
              <w:rPr>
                <w:rFonts w:eastAsia="SimSun"/>
                <w:b/>
                <w:color w:val="auto"/>
                <w:sz w:val="20"/>
                <w:szCs w:val="20"/>
              </w:rPr>
            </w:pPr>
            <w:r w:rsidRPr="00935604">
              <w:rPr>
                <w:rFonts w:eastAsia="SimSun"/>
                <w:b/>
                <w:color w:val="auto"/>
                <w:sz w:val="20"/>
                <w:szCs w:val="20"/>
              </w:rPr>
              <w:t xml:space="preserve">Plano įvykdymas </w:t>
            </w:r>
          </w:p>
          <w:p w:rsidR="00817778" w:rsidRPr="00935604" w:rsidRDefault="00817778" w:rsidP="00646EFE">
            <w:pPr>
              <w:widowControl w:val="0"/>
              <w:jc w:val="center"/>
              <w:rPr>
                <w:rFonts w:eastAsia="SimSun"/>
                <w:b/>
                <w:color w:val="auto"/>
                <w:sz w:val="20"/>
                <w:szCs w:val="20"/>
              </w:rPr>
            </w:pPr>
            <w:r w:rsidRPr="00935604">
              <w:rPr>
                <w:rFonts w:eastAsia="SimSun"/>
                <w:b/>
                <w:bCs/>
                <w:color w:val="auto"/>
                <w:sz w:val="20"/>
                <w:szCs w:val="20"/>
              </w:rPr>
              <w:t>(+,-)         %</w:t>
            </w:r>
          </w:p>
        </w:tc>
      </w:tr>
      <w:tr w:rsidR="00817778" w:rsidRPr="00935604" w:rsidTr="00646EFE">
        <w:trPr>
          <w:trHeight w:val="564"/>
        </w:trPr>
        <w:tc>
          <w:tcPr>
            <w:tcW w:w="1825" w:type="pct"/>
            <w:shd w:val="clear" w:color="auto" w:fill="FFFFFF"/>
            <w:tcMar>
              <w:left w:w="28" w:type="dxa"/>
              <w:right w:w="28" w:type="dxa"/>
            </w:tcMar>
            <w:vAlign w:val="center"/>
          </w:tcPr>
          <w:p w:rsidR="00817778" w:rsidRPr="00935604" w:rsidRDefault="00817778" w:rsidP="00646EFE">
            <w:pPr>
              <w:widowControl w:val="0"/>
              <w:rPr>
                <w:rFonts w:eastAsia="SimSun"/>
                <w:color w:val="auto"/>
                <w:sz w:val="20"/>
                <w:szCs w:val="20"/>
              </w:rPr>
            </w:pPr>
            <w:r w:rsidRPr="00935604">
              <w:rPr>
                <w:rFonts w:eastAsia="SimSun"/>
                <w:color w:val="auto"/>
                <w:sz w:val="20"/>
                <w:szCs w:val="20"/>
              </w:rPr>
              <w:t>Vidaus vartojimo ir importo PVM, administruojamas VMI</w:t>
            </w:r>
          </w:p>
        </w:tc>
        <w:tc>
          <w:tcPr>
            <w:tcW w:w="510" w:type="pct"/>
            <w:shd w:val="clear" w:color="auto" w:fill="auto"/>
            <w:tcMar>
              <w:left w:w="57" w:type="dxa"/>
              <w:right w:w="57" w:type="dxa"/>
            </w:tcMar>
            <w:vAlign w:val="center"/>
          </w:tcPr>
          <w:p w:rsidR="00817778" w:rsidRPr="00935604" w:rsidRDefault="00817778" w:rsidP="00646EFE">
            <w:pPr>
              <w:jc w:val="center"/>
              <w:rPr>
                <w:sz w:val="22"/>
                <w:szCs w:val="22"/>
              </w:rPr>
            </w:pPr>
            <w:r w:rsidRPr="00935604">
              <w:rPr>
                <w:sz w:val="22"/>
                <w:szCs w:val="22"/>
              </w:rPr>
              <w:t>3739,6</w:t>
            </w:r>
          </w:p>
        </w:tc>
        <w:tc>
          <w:tcPr>
            <w:tcW w:w="437"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4109,0</w:t>
            </w:r>
          </w:p>
        </w:tc>
        <w:tc>
          <w:tcPr>
            <w:tcW w:w="510"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3538,5</w:t>
            </w:r>
          </w:p>
        </w:tc>
        <w:tc>
          <w:tcPr>
            <w:tcW w:w="438"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-201,2</w:t>
            </w:r>
          </w:p>
        </w:tc>
        <w:tc>
          <w:tcPr>
            <w:tcW w:w="440"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-5,4</w:t>
            </w:r>
          </w:p>
        </w:tc>
        <w:tc>
          <w:tcPr>
            <w:tcW w:w="436"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-570,5</w:t>
            </w:r>
          </w:p>
        </w:tc>
        <w:tc>
          <w:tcPr>
            <w:tcW w:w="404" w:type="pct"/>
            <w:shd w:val="clear" w:color="auto" w:fill="FFFFFF"/>
            <w:tcMar>
              <w:left w:w="57" w:type="dxa"/>
              <w:right w:w="57" w:type="dxa"/>
            </w:tcMar>
            <w:vAlign w:val="center"/>
          </w:tcPr>
          <w:p w:rsidR="00817778" w:rsidRPr="00935604" w:rsidRDefault="00817778" w:rsidP="00646EFE">
            <w:pPr>
              <w:jc w:val="center"/>
              <w:rPr>
                <w:sz w:val="22"/>
                <w:szCs w:val="22"/>
              </w:rPr>
            </w:pPr>
            <w:r>
              <w:rPr>
                <w:sz w:val="22"/>
                <w:szCs w:val="22"/>
              </w:rPr>
              <w:t>86,1</w:t>
            </w:r>
          </w:p>
        </w:tc>
      </w:tr>
      <w:tr w:rsidR="00817778" w:rsidRPr="00935604" w:rsidTr="00646EFE">
        <w:trPr>
          <w:trHeight w:val="329"/>
        </w:trPr>
        <w:tc>
          <w:tcPr>
            <w:tcW w:w="1825" w:type="pct"/>
            <w:shd w:val="clear" w:color="auto" w:fill="FFFFFF"/>
            <w:tcMar>
              <w:left w:w="28" w:type="dxa"/>
              <w:right w:w="28" w:type="dxa"/>
            </w:tcMar>
            <w:vAlign w:val="center"/>
          </w:tcPr>
          <w:p w:rsidR="00817778" w:rsidRPr="00935604" w:rsidRDefault="00817778" w:rsidP="00646EFE">
            <w:pPr>
              <w:widowControl w:val="0"/>
              <w:rPr>
                <w:rFonts w:eastAsia="SimSun"/>
                <w:color w:val="auto"/>
                <w:sz w:val="20"/>
                <w:szCs w:val="20"/>
              </w:rPr>
            </w:pPr>
            <w:r w:rsidRPr="00935604">
              <w:rPr>
                <w:rFonts w:eastAsia="SimSun"/>
                <w:color w:val="auto"/>
                <w:sz w:val="20"/>
                <w:szCs w:val="20"/>
              </w:rPr>
              <w:t>Importo PVM, administruojamas Muitinės</w:t>
            </w:r>
          </w:p>
        </w:tc>
        <w:tc>
          <w:tcPr>
            <w:tcW w:w="510" w:type="pct"/>
            <w:shd w:val="clear" w:color="auto" w:fill="auto"/>
            <w:tcMar>
              <w:left w:w="57" w:type="dxa"/>
              <w:right w:w="57" w:type="dxa"/>
            </w:tcMar>
            <w:vAlign w:val="center"/>
          </w:tcPr>
          <w:p w:rsidR="00817778" w:rsidRPr="00935604" w:rsidRDefault="00817778" w:rsidP="00646EFE">
            <w:pPr>
              <w:jc w:val="center"/>
              <w:rPr>
                <w:sz w:val="22"/>
                <w:szCs w:val="22"/>
              </w:rPr>
            </w:pPr>
            <w:r w:rsidRPr="00935604">
              <w:rPr>
                <w:sz w:val="22"/>
                <w:szCs w:val="22"/>
              </w:rPr>
              <w:t>36,3</w:t>
            </w:r>
          </w:p>
        </w:tc>
        <w:tc>
          <w:tcPr>
            <w:tcW w:w="437"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39,8</w:t>
            </w:r>
          </w:p>
        </w:tc>
        <w:tc>
          <w:tcPr>
            <w:tcW w:w="510"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35,9</w:t>
            </w:r>
          </w:p>
        </w:tc>
        <w:tc>
          <w:tcPr>
            <w:tcW w:w="438"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-0,4</w:t>
            </w:r>
          </w:p>
        </w:tc>
        <w:tc>
          <w:tcPr>
            <w:tcW w:w="440"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-1,0</w:t>
            </w:r>
          </w:p>
        </w:tc>
        <w:tc>
          <w:tcPr>
            <w:tcW w:w="436" w:type="pct"/>
            <w:shd w:val="clear" w:color="auto" w:fill="FFFFFF"/>
            <w:tcMar>
              <w:left w:w="57" w:type="dxa"/>
              <w:right w:w="57" w:type="dxa"/>
            </w:tcMar>
            <w:vAlign w:val="center"/>
          </w:tcPr>
          <w:p w:rsidR="00817778" w:rsidRPr="00935604" w:rsidRDefault="00817778" w:rsidP="00646EFE">
            <w:pPr>
              <w:jc w:val="center"/>
              <w:rPr>
                <w:sz w:val="22"/>
                <w:szCs w:val="22"/>
              </w:rPr>
            </w:pPr>
            <w:r w:rsidRPr="00935604">
              <w:rPr>
                <w:sz w:val="22"/>
                <w:szCs w:val="22"/>
              </w:rPr>
              <w:t>-3,9</w:t>
            </w:r>
          </w:p>
        </w:tc>
        <w:tc>
          <w:tcPr>
            <w:tcW w:w="404" w:type="pct"/>
            <w:shd w:val="clear" w:color="auto" w:fill="FFFFFF"/>
            <w:tcMar>
              <w:left w:w="57" w:type="dxa"/>
              <w:right w:w="57" w:type="dxa"/>
            </w:tcMar>
            <w:vAlign w:val="center"/>
          </w:tcPr>
          <w:p w:rsidR="00817778" w:rsidRPr="00935604" w:rsidRDefault="00817778" w:rsidP="00646EFE">
            <w:pPr>
              <w:jc w:val="center"/>
              <w:rPr>
                <w:sz w:val="22"/>
                <w:szCs w:val="22"/>
              </w:rPr>
            </w:pPr>
            <w:r>
              <w:rPr>
                <w:sz w:val="22"/>
                <w:szCs w:val="22"/>
              </w:rPr>
              <w:t>90,1</w:t>
            </w:r>
          </w:p>
        </w:tc>
      </w:tr>
      <w:tr w:rsidR="00817778" w:rsidRPr="00935604" w:rsidTr="00646EFE">
        <w:trPr>
          <w:trHeight w:val="409"/>
        </w:trPr>
        <w:tc>
          <w:tcPr>
            <w:tcW w:w="1825" w:type="pct"/>
            <w:shd w:val="clear" w:color="auto" w:fill="FFFFFF"/>
            <w:tcMar>
              <w:left w:w="28" w:type="dxa"/>
              <w:right w:w="28" w:type="dxa"/>
            </w:tcMar>
            <w:vAlign w:val="center"/>
          </w:tcPr>
          <w:p w:rsidR="00817778" w:rsidRPr="00935604" w:rsidRDefault="00817778" w:rsidP="00646EFE">
            <w:pPr>
              <w:widowControl w:val="0"/>
              <w:rPr>
                <w:rFonts w:eastAsia="SimSun"/>
                <w:b/>
                <w:bCs/>
                <w:color w:val="auto"/>
                <w:sz w:val="20"/>
                <w:szCs w:val="20"/>
              </w:rPr>
            </w:pPr>
            <w:r w:rsidRPr="00935604">
              <w:rPr>
                <w:rFonts w:eastAsia="SimSun"/>
                <w:b/>
                <w:bCs/>
                <w:color w:val="auto"/>
                <w:sz w:val="20"/>
                <w:szCs w:val="20"/>
              </w:rPr>
              <w:t>Iš viso</w:t>
            </w:r>
          </w:p>
        </w:tc>
        <w:tc>
          <w:tcPr>
            <w:tcW w:w="510" w:type="pct"/>
            <w:shd w:val="clear" w:color="auto" w:fill="auto"/>
            <w:tcMar>
              <w:left w:w="57" w:type="dxa"/>
              <w:right w:w="57" w:type="dxa"/>
            </w:tcMar>
            <w:vAlign w:val="center"/>
          </w:tcPr>
          <w:p w:rsidR="00817778" w:rsidRPr="00935604" w:rsidRDefault="00817778" w:rsidP="00646EFE">
            <w:pPr>
              <w:jc w:val="center"/>
              <w:rPr>
                <w:b/>
                <w:bCs/>
                <w:sz w:val="22"/>
                <w:szCs w:val="22"/>
              </w:rPr>
            </w:pPr>
            <w:r w:rsidRPr="00935604">
              <w:rPr>
                <w:b/>
                <w:bCs/>
                <w:sz w:val="22"/>
                <w:szCs w:val="22"/>
              </w:rPr>
              <w:t>3775,9</w:t>
            </w:r>
          </w:p>
        </w:tc>
        <w:tc>
          <w:tcPr>
            <w:tcW w:w="437" w:type="pct"/>
            <w:shd w:val="clear" w:color="auto" w:fill="auto"/>
            <w:tcMar>
              <w:left w:w="57" w:type="dxa"/>
              <w:right w:w="57" w:type="dxa"/>
            </w:tcMar>
            <w:vAlign w:val="center"/>
          </w:tcPr>
          <w:p w:rsidR="00817778" w:rsidRPr="00935604" w:rsidRDefault="00817778" w:rsidP="00646EFE">
            <w:pPr>
              <w:jc w:val="center"/>
              <w:rPr>
                <w:b/>
                <w:bCs/>
                <w:sz w:val="22"/>
                <w:szCs w:val="22"/>
              </w:rPr>
            </w:pPr>
            <w:r w:rsidRPr="00935604">
              <w:rPr>
                <w:b/>
                <w:bCs/>
                <w:sz w:val="22"/>
                <w:szCs w:val="22"/>
              </w:rPr>
              <w:t>4148,8</w:t>
            </w:r>
          </w:p>
        </w:tc>
        <w:tc>
          <w:tcPr>
            <w:tcW w:w="510" w:type="pct"/>
            <w:shd w:val="clear" w:color="auto" w:fill="auto"/>
            <w:tcMar>
              <w:left w:w="57" w:type="dxa"/>
              <w:right w:w="57" w:type="dxa"/>
            </w:tcMar>
            <w:vAlign w:val="center"/>
          </w:tcPr>
          <w:p w:rsidR="00817778" w:rsidRPr="00935604" w:rsidRDefault="00817778" w:rsidP="00646EFE">
            <w:pPr>
              <w:jc w:val="center"/>
              <w:rPr>
                <w:b/>
                <w:bCs/>
                <w:sz w:val="22"/>
                <w:szCs w:val="22"/>
              </w:rPr>
            </w:pPr>
            <w:r w:rsidRPr="00935604">
              <w:rPr>
                <w:b/>
                <w:bCs/>
                <w:sz w:val="22"/>
                <w:szCs w:val="22"/>
              </w:rPr>
              <w:t>3574,4</w:t>
            </w:r>
          </w:p>
        </w:tc>
        <w:tc>
          <w:tcPr>
            <w:tcW w:w="438" w:type="pct"/>
            <w:shd w:val="clear" w:color="auto" w:fill="auto"/>
            <w:tcMar>
              <w:left w:w="57" w:type="dxa"/>
              <w:right w:w="57" w:type="dxa"/>
            </w:tcMar>
            <w:vAlign w:val="center"/>
          </w:tcPr>
          <w:p w:rsidR="00817778" w:rsidRPr="00935604" w:rsidRDefault="00817778" w:rsidP="00646EFE">
            <w:pPr>
              <w:jc w:val="center"/>
              <w:rPr>
                <w:b/>
                <w:bCs/>
                <w:sz w:val="22"/>
                <w:szCs w:val="22"/>
              </w:rPr>
            </w:pPr>
            <w:r w:rsidRPr="00935604">
              <w:rPr>
                <w:b/>
                <w:bCs/>
                <w:sz w:val="22"/>
                <w:szCs w:val="22"/>
              </w:rPr>
              <w:t>-201,5</w:t>
            </w:r>
          </w:p>
        </w:tc>
        <w:tc>
          <w:tcPr>
            <w:tcW w:w="440" w:type="pct"/>
            <w:shd w:val="clear" w:color="auto" w:fill="FFFFFF"/>
            <w:tcMar>
              <w:left w:w="57" w:type="dxa"/>
              <w:right w:w="57" w:type="dxa"/>
            </w:tcMar>
            <w:vAlign w:val="center"/>
          </w:tcPr>
          <w:p w:rsidR="00817778" w:rsidRPr="00935604" w:rsidRDefault="00817778" w:rsidP="00646EFE">
            <w:pPr>
              <w:jc w:val="center"/>
              <w:rPr>
                <w:b/>
                <w:bCs/>
                <w:sz w:val="22"/>
                <w:szCs w:val="22"/>
              </w:rPr>
            </w:pPr>
            <w:r w:rsidRPr="00935604">
              <w:rPr>
                <w:b/>
                <w:bCs/>
                <w:sz w:val="22"/>
                <w:szCs w:val="22"/>
              </w:rPr>
              <w:t>-5,3</w:t>
            </w:r>
          </w:p>
        </w:tc>
        <w:tc>
          <w:tcPr>
            <w:tcW w:w="436" w:type="pct"/>
            <w:shd w:val="clear" w:color="auto" w:fill="auto"/>
            <w:tcMar>
              <w:left w:w="57" w:type="dxa"/>
              <w:right w:w="57" w:type="dxa"/>
            </w:tcMar>
            <w:vAlign w:val="center"/>
          </w:tcPr>
          <w:p w:rsidR="00817778" w:rsidRPr="00935604" w:rsidRDefault="00817778" w:rsidP="00571DD3">
            <w:pPr>
              <w:jc w:val="center"/>
              <w:rPr>
                <w:b/>
                <w:bCs/>
                <w:sz w:val="22"/>
                <w:szCs w:val="22"/>
              </w:rPr>
            </w:pPr>
            <w:r w:rsidRPr="00935604">
              <w:rPr>
                <w:b/>
                <w:bCs/>
                <w:sz w:val="22"/>
                <w:szCs w:val="22"/>
              </w:rPr>
              <w:t>-574,</w:t>
            </w:r>
            <w:r w:rsidR="00571DD3">
              <w:rPr>
                <w:b/>
                <w:bCs/>
                <w:sz w:val="22"/>
                <w:szCs w:val="22"/>
              </w:rPr>
              <w:t>4</w:t>
            </w:r>
          </w:p>
        </w:tc>
        <w:tc>
          <w:tcPr>
            <w:tcW w:w="404" w:type="pct"/>
            <w:shd w:val="clear" w:color="auto" w:fill="FFFFFF"/>
            <w:tcMar>
              <w:left w:w="57" w:type="dxa"/>
              <w:right w:w="57" w:type="dxa"/>
            </w:tcMar>
            <w:vAlign w:val="center"/>
          </w:tcPr>
          <w:p w:rsidR="00817778" w:rsidRPr="00935604" w:rsidRDefault="00817778" w:rsidP="00646EFE">
            <w:pPr>
              <w:jc w:val="center"/>
              <w:rPr>
                <w:b/>
                <w:bCs/>
                <w:sz w:val="22"/>
                <w:szCs w:val="22"/>
              </w:rPr>
            </w:pPr>
            <w:r>
              <w:rPr>
                <w:b/>
                <w:bCs/>
                <w:sz w:val="22"/>
                <w:szCs w:val="22"/>
              </w:rPr>
              <w:t>86,2</w:t>
            </w:r>
          </w:p>
        </w:tc>
      </w:tr>
    </w:tbl>
    <w:p w:rsidR="00817778" w:rsidRPr="00935604" w:rsidRDefault="00817778" w:rsidP="00817778">
      <w:pPr>
        <w:jc w:val="both"/>
        <w:rPr>
          <w:i/>
          <w:color w:val="auto"/>
          <w:sz w:val="20"/>
          <w:szCs w:val="20"/>
        </w:rPr>
      </w:pPr>
      <w:r w:rsidRPr="00935604">
        <w:rPr>
          <w:i/>
          <w:color w:val="auto"/>
          <w:sz w:val="20"/>
          <w:szCs w:val="20"/>
        </w:rPr>
        <w:t>Šaltinis –  Finansų ministerija.</w:t>
      </w:r>
    </w:p>
    <w:p w:rsidR="00817778" w:rsidRPr="00935604" w:rsidRDefault="00817778" w:rsidP="00817778">
      <w:pPr>
        <w:widowControl w:val="0"/>
        <w:autoSpaceDE w:val="0"/>
        <w:autoSpaceDN w:val="0"/>
        <w:adjustRightInd w:val="0"/>
        <w:ind w:right="98"/>
        <w:jc w:val="both"/>
        <w:rPr>
          <w:color w:val="auto"/>
        </w:rPr>
      </w:pPr>
    </w:p>
    <w:p w:rsidR="00817778" w:rsidRDefault="00817778" w:rsidP="00817778">
      <w:pPr>
        <w:widowControl w:val="0"/>
        <w:autoSpaceDE w:val="0"/>
        <w:autoSpaceDN w:val="0"/>
        <w:adjustRightInd w:val="0"/>
        <w:ind w:firstLine="567"/>
        <w:jc w:val="both"/>
        <w:rPr>
          <w:rFonts w:eastAsia="SimSun"/>
          <w:b/>
        </w:rPr>
      </w:pPr>
      <w:r w:rsidRPr="00A17371">
        <w:rPr>
          <w:rFonts w:eastAsia="SimSun"/>
          <w:b/>
        </w:rPr>
        <w:t>Pajamų iš PVM surinkimui įtakos turėję veiksniai:</w:t>
      </w:r>
    </w:p>
    <w:p w:rsidR="00817778" w:rsidRPr="00A17371" w:rsidRDefault="00817778" w:rsidP="00817778">
      <w:pPr>
        <w:widowControl w:val="0"/>
        <w:autoSpaceDE w:val="0"/>
        <w:autoSpaceDN w:val="0"/>
        <w:adjustRightInd w:val="0"/>
        <w:ind w:firstLine="567"/>
        <w:jc w:val="both"/>
        <w:rPr>
          <w:rFonts w:eastAsia="SimSun"/>
          <w:b/>
        </w:rPr>
      </w:pPr>
    </w:p>
    <w:p w:rsidR="00817778" w:rsidRPr="00A17371" w:rsidRDefault="00817778" w:rsidP="00817778">
      <w:pPr>
        <w:pStyle w:val="Sraopastraipa"/>
        <w:numPr>
          <w:ilvl w:val="0"/>
          <w:numId w:val="21"/>
        </w:numPr>
        <w:ind w:left="567"/>
        <w:jc w:val="both"/>
        <w:rPr>
          <w:rFonts w:eastAsia="SimSun"/>
          <w:color w:val="auto"/>
        </w:rPr>
      </w:pPr>
      <w:r w:rsidRPr="00A17371">
        <w:rPr>
          <w:rFonts w:cs="Calibri"/>
        </w:rPr>
        <w:t>Dėl COVID-19 viruso plitimo neigiamo poveikio ekonomikai ir nuo 2020 m. kovo 16 d. verslui taikomų mokestinės pagalbos priemonių per kovo</w:t>
      </w:r>
      <w:r w:rsidR="00592562" w:rsidRPr="00A17371">
        <w:rPr>
          <w:rFonts w:cs="Calibri"/>
        </w:rPr>
        <w:t>–</w:t>
      </w:r>
      <w:r w:rsidRPr="00A17371">
        <w:rPr>
          <w:rFonts w:cs="Calibri"/>
        </w:rPr>
        <w:t>gruodžio mėn. pajamų gauta 577,9 mln. eurų arba 17,4 proc. mažiau nei planuota.</w:t>
      </w:r>
      <w:r w:rsidRPr="00A17371">
        <w:t xml:space="preserve"> Mokesčių mokėtojų, kuriems buvo suteikta galimybė atidėti VMI administruojamų PVM prievolių, susidariusių nuo 2020 m. kovo 16 d. iki gruodžio 31 d., mokėjimus be delspinigių ir neatliekant išieškojimo veiksmų, šio mokesčio atidėjimai 2021 m. sausio 1 d. sudarė 561,1 mln. eurų.</w:t>
      </w:r>
    </w:p>
    <w:p w:rsidR="00817778" w:rsidRDefault="00817778" w:rsidP="00817778">
      <w:pPr>
        <w:pStyle w:val="Sraopastraipa"/>
        <w:numPr>
          <w:ilvl w:val="0"/>
          <w:numId w:val="21"/>
        </w:numPr>
        <w:autoSpaceDE w:val="0"/>
        <w:autoSpaceDN w:val="0"/>
        <w:adjustRightInd w:val="0"/>
        <w:ind w:left="567"/>
        <w:jc w:val="both"/>
        <w:rPr>
          <w:rFonts w:eastAsia="SimSun"/>
          <w:color w:val="auto"/>
        </w:rPr>
      </w:pPr>
      <w:r w:rsidRPr="00A17371">
        <w:rPr>
          <w:color w:val="auto"/>
        </w:rPr>
        <w:t>Bendra VMI ir Muitinei deklaruotų sandorių vertė</w:t>
      </w:r>
      <w:r w:rsidRPr="00A17371">
        <w:rPr>
          <w:rFonts w:eastAsia="SimSun"/>
          <w:color w:val="auto"/>
        </w:rPr>
        <w:t xml:space="preserve"> 2020 m., palyginti su 2019 m. </w:t>
      </w:r>
      <w:r w:rsidRPr="00A17371">
        <w:rPr>
          <w:color w:val="auto"/>
        </w:rPr>
        <w:t>(laikotarpis prilygintas PVM sumokėjimo laikotarpiui), sumažėjo 1,1 proc. arba 1</w:t>
      </w:r>
      <w:r w:rsidRPr="00A17371">
        <w:rPr>
          <w:rFonts w:eastAsia="SimSun"/>
          <w:color w:val="auto"/>
        </w:rPr>
        <w:t>,2 mlrd.</w:t>
      </w:r>
      <w:r w:rsidRPr="00A17371">
        <w:rPr>
          <w:color w:val="auto"/>
        </w:rPr>
        <w:t xml:space="preserve"> eurų, </w:t>
      </w:r>
      <w:r w:rsidRPr="00A17371">
        <w:rPr>
          <w:rFonts w:eastAsia="SimSun"/>
          <w:color w:val="auto"/>
        </w:rPr>
        <w:t xml:space="preserve">iš jų apmokestinamųjų sandorių vertė padidėjo 0,5 proc. arba </w:t>
      </w:r>
      <w:r>
        <w:rPr>
          <w:rFonts w:eastAsia="SimSun"/>
          <w:color w:val="auto"/>
        </w:rPr>
        <w:t>374 mln.</w:t>
      </w:r>
      <w:r w:rsidRPr="00A17371">
        <w:rPr>
          <w:rFonts w:eastAsia="SimSun"/>
          <w:color w:val="auto"/>
        </w:rPr>
        <w:t xml:space="preserve"> eurų.</w:t>
      </w:r>
      <w:r w:rsidRPr="00A17371">
        <w:rPr>
          <w:color w:val="auto"/>
        </w:rPr>
        <w:t xml:space="preserve"> </w:t>
      </w:r>
      <w:r w:rsidRPr="00A17371">
        <w:rPr>
          <w:rFonts w:eastAsia="SimSun"/>
          <w:color w:val="auto"/>
        </w:rPr>
        <w:t xml:space="preserve">Bendra VMI ir Muitinės administruojama deklaruota PVM prievolė nagrinėjamą laikotarpį padidėjo 7,1 proc. arba 270,8 mln. eurų. </w:t>
      </w:r>
      <w:r w:rsidRPr="00A17371">
        <w:rPr>
          <w:rFonts w:eastAsiaTheme="minorHAnsi"/>
          <w:bCs/>
          <w:color w:val="auto"/>
          <w:szCs w:val="20"/>
        </w:rPr>
        <w:t>Prie ganėtinai spartaus bendros deklaruotos PVM prievolės augimo prisidėjo nedidėjęs deklaruotas grąžintinas PVM (sumažėjo 0,2 proc. arba 5,2 mln. eurų), iliustruojantis pristabdytas įmonių investicijas ir smukusį eksportą. Tuo tarpu deklaruotas mokėtinas PVM, indikuojantis įmonių ekonominį aktyvumą vidaus rinkoje, per minėtą laikotarpį augo 4,3 proc. arba 265,6 mln. eurų.</w:t>
      </w:r>
      <w:r>
        <w:rPr>
          <w:rFonts w:eastAsia="SimSun"/>
          <w:color w:val="auto"/>
        </w:rPr>
        <w:t xml:space="preserve"> </w:t>
      </w:r>
    </w:p>
    <w:p w:rsidR="00817778" w:rsidRPr="00A17371" w:rsidRDefault="00817778" w:rsidP="00817778">
      <w:pPr>
        <w:ind w:firstLine="567"/>
        <w:jc w:val="both"/>
        <w:rPr>
          <w:color w:val="auto"/>
        </w:rPr>
      </w:pPr>
    </w:p>
    <w:p w:rsidR="000B4AAB" w:rsidRPr="00382EE7" w:rsidRDefault="000B4AAB" w:rsidP="006D6423">
      <w:pPr>
        <w:ind w:firstLine="567"/>
        <w:jc w:val="both"/>
        <w:rPr>
          <w:color w:val="auto"/>
          <w:highlight w:val="yellow"/>
        </w:rPr>
      </w:pPr>
    </w:p>
    <w:p w:rsidR="00555255" w:rsidRPr="002C081E" w:rsidRDefault="006D6423" w:rsidP="00555255">
      <w:pPr>
        <w:jc w:val="both"/>
        <w:rPr>
          <w:rFonts w:eastAsia="SimSun"/>
          <w:color w:val="auto"/>
        </w:rPr>
      </w:pPr>
      <w:r w:rsidRPr="002C081E">
        <w:rPr>
          <w:b/>
          <w:color w:val="auto"/>
        </w:rPr>
        <w:t>4 lentelė.</w:t>
      </w:r>
      <w:r w:rsidRPr="002C081E">
        <w:rPr>
          <w:color w:val="auto"/>
        </w:rPr>
        <w:t xml:space="preserve"> </w:t>
      </w:r>
      <w:r w:rsidR="00555255" w:rsidRPr="002C081E">
        <w:rPr>
          <w:rFonts w:eastAsia="SimSun"/>
          <w:color w:val="auto"/>
        </w:rPr>
        <w:t xml:space="preserve">VMI ir </w:t>
      </w:r>
      <w:r w:rsidR="00920120" w:rsidRPr="002C081E">
        <w:rPr>
          <w:rFonts w:eastAsia="SimSun"/>
          <w:color w:val="auto"/>
        </w:rPr>
        <w:t>M</w:t>
      </w:r>
      <w:r w:rsidR="00555255" w:rsidRPr="002C081E">
        <w:rPr>
          <w:rFonts w:eastAsia="SimSun"/>
          <w:color w:val="auto"/>
        </w:rPr>
        <w:t>uitinei deklaruoti PVM duomenys, mln. eurų</w:t>
      </w:r>
      <w:r w:rsidR="00920120" w:rsidRPr="002C081E">
        <w:rPr>
          <w:rFonts w:eastAsia="SimSun"/>
          <w:color w:val="auto"/>
        </w:rPr>
        <w:t xml:space="preserve"> ir</w:t>
      </w:r>
      <w:r w:rsidR="00555255" w:rsidRPr="002C081E">
        <w:rPr>
          <w:rFonts w:eastAsia="SimSun"/>
          <w:color w:val="auto"/>
        </w:rPr>
        <w:t xml:space="preserve"> proc.</w:t>
      </w:r>
    </w:p>
    <w:tbl>
      <w:tblPr>
        <w:tblW w:w="969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1705"/>
        <w:gridCol w:w="1721"/>
        <w:gridCol w:w="1147"/>
        <w:gridCol w:w="943"/>
      </w:tblGrid>
      <w:tr w:rsidR="00817778" w:rsidRPr="00A17371" w:rsidTr="00646EFE">
        <w:trPr>
          <w:trHeight w:val="205"/>
          <w:tblHeader/>
        </w:trPr>
        <w:tc>
          <w:tcPr>
            <w:tcW w:w="4175" w:type="dxa"/>
            <w:shd w:val="clear" w:color="auto" w:fill="auto"/>
            <w:noWrap/>
            <w:tcMar>
              <w:left w:w="11" w:type="dxa"/>
              <w:right w:w="11" w:type="dxa"/>
            </w:tcMar>
            <w:vAlign w:val="bottom"/>
            <w:hideMark/>
          </w:tcPr>
          <w:p w:rsidR="00817778" w:rsidRPr="00A17371" w:rsidRDefault="00817778" w:rsidP="00646EFE">
            <w:pPr>
              <w:rPr>
                <w:rFonts w:eastAsia="SimSun"/>
                <w:color w:val="auto"/>
                <w:sz w:val="20"/>
                <w:szCs w:val="20"/>
              </w:rPr>
            </w:pPr>
            <w:r w:rsidRPr="00A17371">
              <w:rPr>
                <w:rFonts w:eastAsia="SimSun"/>
                <w:color w:val="auto"/>
                <w:sz w:val="20"/>
                <w:szCs w:val="20"/>
              </w:rPr>
              <w:t> </w:t>
            </w:r>
          </w:p>
        </w:tc>
        <w:tc>
          <w:tcPr>
            <w:tcW w:w="1705" w:type="dxa"/>
            <w:shd w:val="clear" w:color="auto" w:fill="auto"/>
            <w:tcMar>
              <w:left w:w="11" w:type="dxa"/>
              <w:right w:w="11" w:type="dxa"/>
            </w:tcMar>
            <w:vAlign w:val="bottom"/>
            <w:hideMark/>
          </w:tcPr>
          <w:p w:rsidR="00817778" w:rsidRPr="00A17371" w:rsidRDefault="00817778" w:rsidP="00646EFE">
            <w:pPr>
              <w:jc w:val="center"/>
              <w:rPr>
                <w:rFonts w:eastAsia="SimSun"/>
                <w:color w:val="auto"/>
                <w:sz w:val="20"/>
                <w:szCs w:val="20"/>
              </w:rPr>
            </w:pPr>
            <w:r w:rsidRPr="00A17371">
              <w:rPr>
                <w:rFonts w:eastAsia="SimSun"/>
                <w:color w:val="auto"/>
                <w:sz w:val="20"/>
                <w:szCs w:val="20"/>
              </w:rPr>
              <w:t xml:space="preserve">Su PVM susiję duomenys, atitinkantys 2019 m. sumokėtą PVM </w:t>
            </w:r>
          </w:p>
        </w:tc>
        <w:tc>
          <w:tcPr>
            <w:tcW w:w="1721" w:type="dxa"/>
            <w:shd w:val="clear" w:color="auto" w:fill="auto"/>
            <w:tcMar>
              <w:left w:w="11" w:type="dxa"/>
              <w:right w:w="11" w:type="dxa"/>
            </w:tcMar>
            <w:vAlign w:val="bottom"/>
            <w:hideMark/>
          </w:tcPr>
          <w:p w:rsidR="00817778" w:rsidRPr="00A17371" w:rsidRDefault="00817778" w:rsidP="00646EFE">
            <w:pPr>
              <w:jc w:val="center"/>
              <w:rPr>
                <w:rFonts w:eastAsia="SimSun"/>
                <w:color w:val="auto"/>
                <w:sz w:val="20"/>
                <w:szCs w:val="20"/>
              </w:rPr>
            </w:pPr>
            <w:r w:rsidRPr="00A17371">
              <w:rPr>
                <w:rFonts w:eastAsia="SimSun"/>
                <w:color w:val="auto"/>
                <w:sz w:val="20"/>
                <w:szCs w:val="20"/>
              </w:rPr>
              <w:t xml:space="preserve">Su PVM susiję duomenys, atitinkantys 2020 m. sumokėtą PVM </w:t>
            </w:r>
          </w:p>
        </w:tc>
        <w:tc>
          <w:tcPr>
            <w:tcW w:w="2090" w:type="dxa"/>
            <w:gridSpan w:val="2"/>
            <w:shd w:val="clear" w:color="auto" w:fill="auto"/>
            <w:tcMar>
              <w:left w:w="11" w:type="dxa"/>
              <w:right w:w="11" w:type="dxa"/>
            </w:tcMar>
            <w:vAlign w:val="center"/>
            <w:hideMark/>
          </w:tcPr>
          <w:p w:rsidR="00817778" w:rsidRPr="00A17371" w:rsidRDefault="00817778" w:rsidP="00646EFE">
            <w:pPr>
              <w:jc w:val="center"/>
              <w:rPr>
                <w:rFonts w:eastAsia="SimSun"/>
                <w:color w:val="auto"/>
                <w:sz w:val="20"/>
                <w:szCs w:val="20"/>
              </w:rPr>
            </w:pPr>
            <w:r w:rsidRPr="00A17371">
              <w:rPr>
                <w:rFonts w:eastAsia="SimSun"/>
                <w:color w:val="auto"/>
                <w:sz w:val="20"/>
                <w:szCs w:val="20"/>
              </w:rPr>
              <w:t>Pokytis;</w:t>
            </w:r>
          </w:p>
          <w:p w:rsidR="00817778" w:rsidRPr="00A17371" w:rsidRDefault="00817778" w:rsidP="00646EFE">
            <w:pPr>
              <w:jc w:val="center"/>
              <w:rPr>
                <w:rFonts w:eastAsia="SimSun"/>
                <w:color w:val="auto"/>
                <w:sz w:val="20"/>
                <w:szCs w:val="20"/>
              </w:rPr>
            </w:pPr>
            <w:r w:rsidRPr="00A17371">
              <w:rPr>
                <w:rFonts w:eastAsia="SimSun"/>
                <w:color w:val="auto"/>
                <w:sz w:val="20"/>
                <w:szCs w:val="20"/>
              </w:rPr>
              <w:t>(+,-)          %</w:t>
            </w:r>
          </w:p>
        </w:tc>
      </w:tr>
      <w:tr w:rsidR="00817778" w:rsidRPr="00A17371" w:rsidTr="00646EFE">
        <w:trPr>
          <w:trHeight w:val="416"/>
        </w:trPr>
        <w:tc>
          <w:tcPr>
            <w:tcW w:w="4175" w:type="dxa"/>
            <w:shd w:val="clear" w:color="auto" w:fill="auto"/>
            <w:noWrap/>
            <w:tcMar>
              <w:left w:w="11" w:type="dxa"/>
              <w:right w:w="11" w:type="dxa"/>
            </w:tcMar>
            <w:vAlign w:val="bottom"/>
            <w:hideMark/>
          </w:tcPr>
          <w:p w:rsidR="00817778" w:rsidRPr="00A17371" w:rsidRDefault="00817778" w:rsidP="00646EFE">
            <w:pPr>
              <w:rPr>
                <w:rFonts w:eastAsia="SimSun"/>
                <w:b/>
                <w:bCs/>
                <w:color w:val="auto"/>
                <w:sz w:val="20"/>
                <w:szCs w:val="20"/>
              </w:rPr>
            </w:pPr>
            <w:r w:rsidRPr="00A17371">
              <w:rPr>
                <w:rFonts w:eastAsia="SimSun"/>
                <w:b/>
                <w:bCs/>
                <w:color w:val="auto"/>
                <w:sz w:val="20"/>
                <w:szCs w:val="20"/>
              </w:rPr>
              <w:t>Bendra deklaruotų sandorių vertė, iš jų:</w:t>
            </w:r>
          </w:p>
        </w:tc>
        <w:tc>
          <w:tcPr>
            <w:tcW w:w="1705" w:type="dxa"/>
            <w:shd w:val="clear" w:color="auto" w:fill="auto"/>
            <w:tcMar>
              <w:left w:w="57" w:type="dxa"/>
              <w:right w:w="57" w:type="dxa"/>
            </w:tcMar>
            <w:vAlign w:val="center"/>
            <w:hideMark/>
          </w:tcPr>
          <w:p w:rsidR="00817778" w:rsidRPr="00A17371" w:rsidRDefault="00817778" w:rsidP="00646EFE">
            <w:pPr>
              <w:jc w:val="right"/>
              <w:rPr>
                <w:b/>
                <w:bCs/>
                <w:sz w:val="20"/>
                <w:szCs w:val="20"/>
              </w:rPr>
            </w:pPr>
            <w:r w:rsidRPr="00A17371">
              <w:rPr>
                <w:b/>
                <w:bCs/>
                <w:sz w:val="20"/>
                <w:szCs w:val="20"/>
              </w:rPr>
              <w:t>117 797,1</w:t>
            </w:r>
          </w:p>
        </w:tc>
        <w:tc>
          <w:tcPr>
            <w:tcW w:w="1721" w:type="dxa"/>
            <w:shd w:val="clear" w:color="auto" w:fill="auto"/>
            <w:tcMar>
              <w:left w:w="57" w:type="dxa"/>
              <w:right w:w="57" w:type="dxa"/>
            </w:tcMar>
            <w:vAlign w:val="center"/>
            <w:hideMark/>
          </w:tcPr>
          <w:p w:rsidR="00817778" w:rsidRPr="00A17371" w:rsidRDefault="00817778" w:rsidP="00646EFE">
            <w:pPr>
              <w:jc w:val="right"/>
              <w:rPr>
                <w:b/>
                <w:bCs/>
                <w:sz w:val="20"/>
                <w:szCs w:val="20"/>
              </w:rPr>
            </w:pPr>
            <w:r w:rsidRPr="00A17371">
              <w:rPr>
                <w:b/>
                <w:bCs/>
                <w:sz w:val="20"/>
                <w:szCs w:val="20"/>
              </w:rPr>
              <w:t>116 555,9</w:t>
            </w:r>
          </w:p>
        </w:tc>
        <w:tc>
          <w:tcPr>
            <w:tcW w:w="1147" w:type="dxa"/>
            <w:shd w:val="clear" w:color="auto" w:fill="auto"/>
            <w:noWrap/>
            <w:tcMar>
              <w:left w:w="57" w:type="dxa"/>
              <w:right w:w="57" w:type="dxa"/>
            </w:tcMar>
            <w:vAlign w:val="center"/>
            <w:hideMark/>
          </w:tcPr>
          <w:p w:rsidR="00817778" w:rsidRPr="00A17371" w:rsidRDefault="00817778" w:rsidP="00646EFE">
            <w:pPr>
              <w:jc w:val="right"/>
              <w:rPr>
                <w:b/>
                <w:bCs/>
                <w:sz w:val="20"/>
                <w:szCs w:val="20"/>
              </w:rPr>
            </w:pPr>
            <w:r w:rsidRPr="00A17371">
              <w:rPr>
                <w:b/>
                <w:bCs/>
                <w:sz w:val="20"/>
                <w:szCs w:val="20"/>
              </w:rPr>
              <w:t>-1 241,2</w:t>
            </w:r>
          </w:p>
        </w:tc>
        <w:tc>
          <w:tcPr>
            <w:tcW w:w="943" w:type="dxa"/>
            <w:shd w:val="clear" w:color="auto" w:fill="auto"/>
            <w:noWrap/>
            <w:tcMar>
              <w:left w:w="57" w:type="dxa"/>
              <w:right w:w="57" w:type="dxa"/>
            </w:tcMar>
            <w:vAlign w:val="center"/>
            <w:hideMark/>
          </w:tcPr>
          <w:p w:rsidR="00817778" w:rsidRPr="00A17371" w:rsidRDefault="00817778" w:rsidP="00646EFE">
            <w:pPr>
              <w:jc w:val="right"/>
              <w:rPr>
                <w:b/>
                <w:bCs/>
                <w:sz w:val="20"/>
                <w:szCs w:val="20"/>
              </w:rPr>
            </w:pPr>
            <w:r w:rsidRPr="00A17371">
              <w:rPr>
                <w:b/>
                <w:bCs/>
                <w:sz w:val="20"/>
                <w:szCs w:val="20"/>
              </w:rPr>
              <w:t>-1,1</w:t>
            </w:r>
          </w:p>
        </w:tc>
      </w:tr>
      <w:tr w:rsidR="00817778" w:rsidRPr="00A17371" w:rsidTr="00646EFE">
        <w:trPr>
          <w:trHeight w:val="759"/>
        </w:trPr>
        <w:tc>
          <w:tcPr>
            <w:tcW w:w="4175" w:type="dxa"/>
            <w:shd w:val="clear" w:color="auto" w:fill="auto"/>
            <w:tcMar>
              <w:left w:w="11" w:type="dxa"/>
              <w:right w:w="11" w:type="dxa"/>
            </w:tcMar>
            <w:vAlign w:val="bottom"/>
            <w:hideMark/>
          </w:tcPr>
          <w:p w:rsidR="00817778" w:rsidRPr="00E07926" w:rsidRDefault="00817778" w:rsidP="00646EFE">
            <w:pPr>
              <w:jc w:val="right"/>
              <w:rPr>
                <w:rFonts w:eastAsia="SimSun"/>
                <w:bCs/>
                <w:color w:val="auto"/>
                <w:sz w:val="20"/>
                <w:szCs w:val="20"/>
              </w:rPr>
            </w:pPr>
            <w:r w:rsidRPr="00E07926">
              <w:rPr>
                <w:rFonts w:eastAsia="SimSun"/>
                <w:bCs/>
                <w:color w:val="auto"/>
                <w:sz w:val="20"/>
                <w:szCs w:val="20"/>
              </w:rPr>
              <w:t>PVM deklaracijose deklaruoti apmokestinamieji sandoriai ir Muitinei deklaruota apmokestinamoji PVM prekių vertė</w:t>
            </w:r>
          </w:p>
        </w:tc>
        <w:tc>
          <w:tcPr>
            <w:tcW w:w="1705" w:type="dxa"/>
            <w:shd w:val="clear" w:color="auto" w:fill="auto"/>
            <w:tcMar>
              <w:left w:w="57" w:type="dxa"/>
              <w:right w:w="57" w:type="dxa"/>
            </w:tcMar>
            <w:vAlign w:val="center"/>
            <w:hideMark/>
          </w:tcPr>
          <w:p w:rsidR="00817778" w:rsidRPr="00E07926" w:rsidRDefault="00817778" w:rsidP="00646EFE">
            <w:pPr>
              <w:jc w:val="right"/>
              <w:rPr>
                <w:sz w:val="20"/>
                <w:szCs w:val="20"/>
              </w:rPr>
            </w:pPr>
            <w:r w:rsidRPr="00E07926">
              <w:rPr>
                <w:sz w:val="20"/>
                <w:szCs w:val="20"/>
              </w:rPr>
              <w:t>68 410,7</w:t>
            </w:r>
          </w:p>
        </w:tc>
        <w:tc>
          <w:tcPr>
            <w:tcW w:w="1721" w:type="dxa"/>
            <w:shd w:val="clear" w:color="auto" w:fill="auto"/>
            <w:tcMar>
              <w:left w:w="57" w:type="dxa"/>
              <w:right w:w="57" w:type="dxa"/>
            </w:tcMar>
            <w:vAlign w:val="center"/>
            <w:hideMark/>
          </w:tcPr>
          <w:p w:rsidR="00817778" w:rsidRPr="00E07926" w:rsidRDefault="00817778" w:rsidP="00646EFE">
            <w:pPr>
              <w:jc w:val="right"/>
              <w:rPr>
                <w:sz w:val="20"/>
                <w:szCs w:val="20"/>
              </w:rPr>
            </w:pPr>
            <w:r w:rsidRPr="00E07926">
              <w:rPr>
                <w:sz w:val="20"/>
                <w:szCs w:val="20"/>
              </w:rPr>
              <w:t>68 784,7</w:t>
            </w:r>
          </w:p>
        </w:tc>
        <w:tc>
          <w:tcPr>
            <w:tcW w:w="1147" w:type="dxa"/>
            <w:shd w:val="clear" w:color="auto" w:fill="auto"/>
            <w:noWrap/>
            <w:tcMar>
              <w:left w:w="57" w:type="dxa"/>
              <w:right w:w="57" w:type="dxa"/>
            </w:tcMar>
            <w:vAlign w:val="center"/>
            <w:hideMark/>
          </w:tcPr>
          <w:p w:rsidR="00817778" w:rsidRPr="00E07926" w:rsidRDefault="00817778" w:rsidP="00646EFE">
            <w:pPr>
              <w:jc w:val="right"/>
              <w:rPr>
                <w:sz w:val="20"/>
                <w:szCs w:val="20"/>
              </w:rPr>
            </w:pPr>
            <w:r w:rsidRPr="00E07926">
              <w:rPr>
                <w:sz w:val="20"/>
                <w:szCs w:val="20"/>
              </w:rPr>
              <w:t>374,0</w:t>
            </w:r>
          </w:p>
        </w:tc>
        <w:tc>
          <w:tcPr>
            <w:tcW w:w="943" w:type="dxa"/>
            <w:shd w:val="clear" w:color="auto" w:fill="auto"/>
            <w:noWrap/>
            <w:tcMar>
              <w:left w:w="57" w:type="dxa"/>
              <w:right w:w="57" w:type="dxa"/>
            </w:tcMar>
            <w:vAlign w:val="center"/>
            <w:hideMark/>
          </w:tcPr>
          <w:p w:rsidR="00817778" w:rsidRPr="00E07926" w:rsidRDefault="00817778" w:rsidP="00646EFE">
            <w:pPr>
              <w:jc w:val="right"/>
              <w:rPr>
                <w:sz w:val="20"/>
                <w:szCs w:val="20"/>
              </w:rPr>
            </w:pPr>
            <w:r w:rsidRPr="00E07926">
              <w:rPr>
                <w:sz w:val="20"/>
                <w:szCs w:val="20"/>
              </w:rPr>
              <w:t>0,5</w:t>
            </w:r>
          </w:p>
        </w:tc>
      </w:tr>
      <w:tr w:rsidR="00817778" w:rsidRPr="00A17371" w:rsidTr="00646EFE">
        <w:trPr>
          <w:trHeight w:val="298"/>
        </w:trPr>
        <w:tc>
          <w:tcPr>
            <w:tcW w:w="4175" w:type="dxa"/>
            <w:shd w:val="clear" w:color="auto" w:fill="auto"/>
            <w:tcMar>
              <w:left w:w="11" w:type="dxa"/>
              <w:right w:w="11" w:type="dxa"/>
            </w:tcMar>
            <w:vAlign w:val="bottom"/>
          </w:tcPr>
          <w:p w:rsidR="00817778" w:rsidRPr="00A17371" w:rsidRDefault="00817778" w:rsidP="00646EFE">
            <w:pPr>
              <w:rPr>
                <w:rFonts w:eastAsia="SimSun"/>
                <w:color w:val="auto"/>
                <w:sz w:val="20"/>
                <w:szCs w:val="20"/>
              </w:rPr>
            </w:pPr>
            <w:r w:rsidRPr="00A17371">
              <w:rPr>
                <w:rFonts w:eastAsia="SimSun"/>
                <w:b/>
                <w:bCs/>
                <w:color w:val="auto"/>
                <w:sz w:val="20"/>
                <w:szCs w:val="20"/>
              </w:rPr>
              <w:t xml:space="preserve">Deklaruota </w:t>
            </w:r>
            <w:r>
              <w:rPr>
                <w:rFonts w:eastAsia="SimSun"/>
                <w:b/>
                <w:bCs/>
                <w:color w:val="auto"/>
                <w:sz w:val="20"/>
                <w:szCs w:val="20"/>
              </w:rPr>
              <w:t xml:space="preserve">bendra </w:t>
            </w:r>
            <w:r w:rsidRPr="00A17371">
              <w:rPr>
                <w:rFonts w:eastAsia="SimSun"/>
                <w:b/>
                <w:bCs/>
                <w:color w:val="auto"/>
                <w:sz w:val="20"/>
                <w:szCs w:val="20"/>
              </w:rPr>
              <w:t>PVM prievolė</w:t>
            </w:r>
            <w:r>
              <w:rPr>
                <w:rFonts w:eastAsia="SimSun"/>
                <w:b/>
                <w:bCs/>
                <w:color w:val="auto"/>
                <w:sz w:val="20"/>
                <w:szCs w:val="20"/>
              </w:rPr>
              <w:t>, iš jos:</w:t>
            </w:r>
          </w:p>
        </w:tc>
        <w:tc>
          <w:tcPr>
            <w:tcW w:w="1705" w:type="dxa"/>
            <w:shd w:val="clear" w:color="auto" w:fill="auto"/>
            <w:noWrap/>
            <w:tcMar>
              <w:left w:w="57" w:type="dxa"/>
              <w:right w:w="57" w:type="dxa"/>
            </w:tcMar>
            <w:vAlign w:val="center"/>
          </w:tcPr>
          <w:p w:rsidR="00817778" w:rsidRPr="00A17371" w:rsidRDefault="00817778" w:rsidP="00646EFE">
            <w:pPr>
              <w:jc w:val="right"/>
              <w:rPr>
                <w:sz w:val="20"/>
                <w:szCs w:val="20"/>
              </w:rPr>
            </w:pPr>
            <w:r w:rsidRPr="00A17371">
              <w:rPr>
                <w:b/>
                <w:bCs/>
                <w:sz w:val="20"/>
                <w:szCs w:val="20"/>
              </w:rPr>
              <w:t>3 794,2</w:t>
            </w:r>
          </w:p>
        </w:tc>
        <w:tc>
          <w:tcPr>
            <w:tcW w:w="1721" w:type="dxa"/>
            <w:shd w:val="clear" w:color="auto" w:fill="auto"/>
            <w:noWrap/>
            <w:tcMar>
              <w:left w:w="57" w:type="dxa"/>
              <w:right w:w="57" w:type="dxa"/>
            </w:tcMar>
            <w:vAlign w:val="center"/>
          </w:tcPr>
          <w:p w:rsidR="00817778" w:rsidRPr="00A17371" w:rsidRDefault="00817778" w:rsidP="00646EFE">
            <w:pPr>
              <w:jc w:val="right"/>
              <w:rPr>
                <w:sz w:val="20"/>
                <w:szCs w:val="20"/>
              </w:rPr>
            </w:pPr>
            <w:r w:rsidRPr="00A17371">
              <w:rPr>
                <w:b/>
                <w:bCs/>
                <w:sz w:val="20"/>
                <w:szCs w:val="20"/>
              </w:rPr>
              <w:t>4 065,0</w:t>
            </w:r>
          </w:p>
        </w:tc>
        <w:tc>
          <w:tcPr>
            <w:tcW w:w="1147" w:type="dxa"/>
            <w:shd w:val="clear" w:color="auto" w:fill="auto"/>
            <w:noWrap/>
            <w:tcMar>
              <w:left w:w="57" w:type="dxa"/>
              <w:right w:w="57" w:type="dxa"/>
            </w:tcMar>
            <w:vAlign w:val="center"/>
          </w:tcPr>
          <w:p w:rsidR="00817778" w:rsidRPr="00E07926" w:rsidRDefault="00817778" w:rsidP="00646EFE">
            <w:pPr>
              <w:jc w:val="right"/>
              <w:rPr>
                <w:sz w:val="20"/>
                <w:szCs w:val="20"/>
              </w:rPr>
            </w:pPr>
            <w:r w:rsidRPr="00A17371">
              <w:rPr>
                <w:b/>
                <w:bCs/>
                <w:sz w:val="20"/>
                <w:szCs w:val="20"/>
              </w:rPr>
              <w:t>270,8</w:t>
            </w:r>
          </w:p>
        </w:tc>
        <w:tc>
          <w:tcPr>
            <w:tcW w:w="943" w:type="dxa"/>
            <w:shd w:val="clear" w:color="auto" w:fill="auto"/>
            <w:noWrap/>
            <w:tcMar>
              <w:left w:w="57" w:type="dxa"/>
              <w:right w:w="57" w:type="dxa"/>
            </w:tcMar>
            <w:vAlign w:val="center"/>
          </w:tcPr>
          <w:p w:rsidR="00817778" w:rsidRPr="00E07926" w:rsidRDefault="00817778" w:rsidP="00646EFE">
            <w:pPr>
              <w:jc w:val="right"/>
              <w:rPr>
                <w:sz w:val="20"/>
                <w:szCs w:val="20"/>
              </w:rPr>
            </w:pPr>
            <w:r w:rsidRPr="00A17371">
              <w:rPr>
                <w:b/>
                <w:bCs/>
                <w:sz w:val="20"/>
                <w:szCs w:val="20"/>
              </w:rPr>
              <w:t>7,1</w:t>
            </w:r>
          </w:p>
        </w:tc>
      </w:tr>
      <w:tr w:rsidR="00817778" w:rsidRPr="00A17371" w:rsidTr="00646EFE">
        <w:trPr>
          <w:trHeight w:val="298"/>
        </w:trPr>
        <w:tc>
          <w:tcPr>
            <w:tcW w:w="4175" w:type="dxa"/>
            <w:shd w:val="clear" w:color="auto" w:fill="auto"/>
            <w:tcMar>
              <w:left w:w="11" w:type="dxa"/>
              <w:right w:w="11" w:type="dxa"/>
            </w:tcMar>
            <w:vAlign w:val="bottom"/>
            <w:hideMark/>
          </w:tcPr>
          <w:p w:rsidR="00817778" w:rsidRPr="00A17371" w:rsidRDefault="00817778" w:rsidP="00646EFE">
            <w:pPr>
              <w:jc w:val="right"/>
              <w:rPr>
                <w:rFonts w:eastAsia="SimSun"/>
                <w:color w:val="auto"/>
                <w:sz w:val="20"/>
                <w:szCs w:val="20"/>
              </w:rPr>
            </w:pPr>
            <w:r w:rsidRPr="00A17371">
              <w:rPr>
                <w:rFonts w:eastAsia="SimSun"/>
                <w:color w:val="auto"/>
                <w:sz w:val="20"/>
                <w:szCs w:val="20"/>
              </w:rPr>
              <w:t>Deklaruotas mokėtinas PVM</w:t>
            </w:r>
          </w:p>
        </w:tc>
        <w:tc>
          <w:tcPr>
            <w:tcW w:w="1705" w:type="dxa"/>
            <w:shd w:val="clear" w:color="auto" w:fill="auto"/>
            <w:noWrap/>
            <w:tcMar>
              <w:left w:w="57" w:type="dxa"/>
              <w:right w:w="57" w:type="dxa"/>
            </w:tcMar>
            <w:vAlign w:val="center"/>
            <w:hideMark/>
          </w:tcPr>
          <w:p w:rsidR="00817778" w:rsidRPr="00A17371" w:rsidRDefault="00817778" w:rsidP="00646EFE">
            <w:pPr>
              <w:jc w:val="right"/>
              <w:rPr>
                <w:sz w:val="20"/>
                <w:szCs w:val="20"/>
              </w:rPr>
            </w:pPr>
            <w:r w:rsidRPr="00A17371">
              <w:rPr>
                <w:sz w:val="20"/>
                <w:szCs w:val="20"/>
              </w:rPr>
              <w:t>6 169,0</w:t>
            </w:r>
          </w:p>
        </w:tc>
        <w:tc>
          <w:tcPr>
            <w:tcW w:w="1721" w:type="dxa"/>
            <w:shd w:val="clear" w:color="auto" w:fill="auto"/>
            <w:noWrap/>
            <w:tcMar>
              <w:left w:w="57" w:type="dxa"/>
              <w:right w:w="57" w:type="dxa"/>
            </w:tcMar>
            <w:vAlign w:val="center"/>
            <w:hideMark/>
          </w:tcPr>
          <w:p w:rsidR="00817778" w:rsidRPr="00A17371" w:rsidRDefault="00817778" w:rsidP="00646EFE">
            <w:pPr>
              <w:jc w:val="right"/>
              <w:rPr>
                <w:sz w:val="20"/>
                <w:szCs w:val="20"/>
              </w:rPr>
            </w:pPr>
            <w:r w:rsidRPr="00A17371">
              <w:rPr>
                <w:sz w:val="20"/>
                <w:szCs w:val="20"/>
              </w:rPr>
              <w:t>6 434,7</w:t>
            </w:r>
          </w:p>
        </w:tc>
        <w:tc>
          <w:tcPr>
            <w:tcW w:w="1147" w:type="dxa"/>
            <w:shd w:val="clear" w:color="auto" w:fill="auto"/>
            <w:noWrap/>
            <w:tcMar>
              <w:left w:w="57" w:type="dxa"/>
              <w:right w:w="57" w:type="dxa"/>
            </w:tcMar>
            <w:vAlign w:val="center"/>
            <w:hideMark/>
          </w:tcPr>
          <w:p w:rsidR="00817778" w:rsidRPr="00E07926" w:rsidRDefault="00817778" w:rsidP="00646EFE">
            <w:pPr>
              <w:jc w:val="right"/>
              <w:rPr>
                <w:sz w:val="20"/>
                <w:szCs w:val="20"/>
              </w:rPr>
            </w:pPr>
            <w:r w:rsidRPr="00E07926">
              <w:rPr>
                <w:sz w:val="20"/>
                <w:szCs w:val="20"/>
              </w:rPr>
              <w:t>265,6</w:t>
            </w:r>
          </w:p>
        </w:tc>
        <w:tc>
          <w:tcPr>
            <w:tcW w:w="943" w:type="dxa"/>
            <w:shd w:val="clear" w:color="auto" w:fill="auto"/>
            <w:noWrap/>
            <w:tcMar>
              <w:left w:w="57" w:type="dxa"/>
              <w:right w:w="57" w:type="dxa"/>
            </w:tcMar>
            <w:vAlign w:val="center"/>
            <w:hideMark/>
          </w:tcPr>
          <w:p w:rsidR="00817778" w:rsidRPr="00E07926" w:rsidRDefault="00817778" w:rsidP="00646EFE">
            <w:pPr>
              <w:jc w:val="right"/>
              <w:rPr>
                <w:sz w:val="20"/>
                <w:szCs w:val="20"/>
              </w:rPr>
            </w:pPr>
            <w:r w:rsidRPr="00E07926">
              <w:rPr>
                <w:sz w:val="20"/>
                <w:szCs w:val="20"/>
              </w:rPr>
              <w:t>4,3</w:t>
            </w:r>
          </w:p>
        </w:tc>
      </w:tr>
      <w:tr w:rsidR="00817778" w:rsidRPr="00A17371" w:rsidTr="00646EFE">
        <w:trPr>
          <w:trHeight w:val="298"/>
        </w:trPr>
        <w:tc>
          <w:tcPr>
            <w:tcW w:w="4175" w:type="dxa"/>
            <w:shd w:val="clear" w:color="auto" w:fill="auto"/>
            <w:tcMar>
              <w:left w:w="11" w:type="dxa"/>
              <w:right w:w="11" w:type="dxa"/>
            </w:tcMar>
            <w:vAlign w:val="bottom"/>
            <w:hideMark/>
          </w:tcPr>
          <w:p w:rsidR="00817778" w:rsidRPr="00A17371" w:rsidRDefault="00817778" w:rsidP="00646EFE">
            <w:pPr>
              <w:jc w:val="right"/>
              <w:rPr>
                <w:rFonts w:eastAsia="SimSun"/>
                <w:color w:val="auto"/>
                <w:sz w:val="20"/>
                <w:szCs w:val="20"/>
              </w:rPr>
            </w:pPr>
            <w:r w:rsidRPr="00A17371">
              <w:rPr>
                <w:rFonts w:eastAsia="SimSun"/>
                <w:color w:val="auto"/>
                <w:sz w:val="20"/>
                <w:szCs w:val="20"/>
              </w:rPr>
              <w:t>Deklaruotas gautinas PVM</w:t>
            </w:r>
          </w:p>
        </w:tc>
        <w:tc>
          <w:tcPr>
            <w:tcW w:w="1705" w:type="dxa"/>
            <w:shd w:val="clear" w:color="auto" w:fill="auto"/>
            <w:noWrap/>
            <w:tcMar>
              <w:left w:w="57" w:type="dxa"/>
              <w:right w:w="57" w:type="dxa"/>
            </w:tcMar>
            <w:vAlign w:val="center"/>
            <w:hideMark/>
          </w:tcPr>
          <w:p w:rsidR="00817778" w:rsidRPr="00A17371" w:rsidRDefault="00817778" w:rsidP="00646EFE">
            <w:pPr>
              <w:jc w:val="right"/>
              <w:rPr>
                <w:sz w:val="20"/>
                <w:szCs w:val="20"/>
              </w:rPr>
            </w:pPr>
            <w:r w:rsidRPr="00A17371">
              <w:rPr>
                <w:sz w:val="20"/>
                <w:szCs w:val="20"/>
              </w:rPr>
              <w:t>2 374,8</w:t>
            </w:r>
          </w:p>
        </w:tc>
        <w:tc>
          <w:tcPr>
            <w:tcW w:w="1721" w:type="dxa"/>
            <w:shd w:val="clear" w:color="auto" w:fill="auto"/>
            <w:noWrap/>
            <w:tcMar>
              <w:left w:w="57" w:type="dxa"/>
              <w:right w:w="57" w:type="dxa"/>
            </w:tcMar>
            <w:vAlign w:val="center"/>
            <w:hideMark/>
          </w:tcPr>
          <w:p w:rsidR="00817778" w:rsidRPr="00A17371" w:rsidRDefault="00817778" w:rsidP="00646EFE">
            <w:pPr>
              <w:jc w:val="right"/>
              <w:rPr>
                <w:sz w:val="20"/>
                <w:szCs w:val="20"/>
              </w:rPr>
            </w:pPr>
            <w:r w:rsidRPr="00A17371">
              <w:rPr>
                <w:sz w:val="20"/>
                <w:szCs w:val="20"/>
              </w:rPr>
              <w:t>2 369,7</w:t>
            </w:r>
          </w:p>
        </w:tc>
        <w:tc>
          <w:tcPr>
            <w:tcW w:w="1147" w:type="dxa"/>
            <w:shd w:val="clear" w:color="auto" w:fill="auto"/>
            <w:noWrap/>
            <w:tcMar>
              <w:left w:w="57" w:type="dxa"/>
              <w:right w:w="57" w:type="dxa"/>
            </w:tcMar>
            <w:vAlign w:val="center"/>
            <w:hideMark/>
          </w:tcPr>
          <w:p w:rsidR="00817778" w:rsidRPr="00E07926" w:rsidRDefault="00817778" w:rsidP="00646EFE">
            <w:pPr>
              <w:jc w:val="right"/>
              <w:rPr>
                <w:sz w:val="20"/>
                <w:szCs w:val="20"/>
              </w:rPr>
            </w:pPr>
            <w:r w:rsidRPr="00E07926">
              <w:rPr>
                <w:sz w:val="20"/>
                <w:szCs w:val="20"/>
              </w:rPr>
              <w:t>-5,2</w:t>
            </w:r>
          </w:p>
        </w:tc>
        <w:tc>
          <w:tcPr>
            <w:tcW w:w="943" w:type="dxa"/>
            <w:shd w:val="clear" w:color="auto" w:fill="auto"/>
            <w:noWrap/>
            <w:tcMar>
              <w:left w:w="57" w:type="dxa"/>
              <w:right w:w="57" w:type="dxa"/>
            </w:tcMar>
            <w:vAlign w:val="center"/>
            <w:hideMark/>
          </w:tcPr>
          <w:p w:rsidR="00817778" w:rsidRPr="00E07926" w:rsidRDefault="00817778" w:rsidP="00646EFE">
            <w:pPr>
              <w:jc w:val="right"/>
              <w:rPr>
                <w:sz w:val="20"/>
                <w:szCs w:val="20"/>
              </w:rPr>
            </w:pPr>
            <w:r w:rsidRPr="00E07926">
              <w:rPr>
                <w:sz w:val="20"/>
                <w:szCs w:val="20"/>
              </w:rPr>
              <w:t>-0,2</w:t>
            </w:r>
          </w:p>
        </w:tc>
      </w:tr>
    </w:tbl>
    <w:p w:rsidR="0011741B" w:rsidRPr="00242774" w:rsidRDefault="00163A6E" w:rsidP="006D6423">
      <w:pPr>
        <w:widowControl w:val="0"/>
        <w:autoSpaceDE w:val="0"/>
        <w:autoSpaceDN w:val="0"/>
        <w:adjustRightInd w:val="0"/>
        <w:jc w:val="both"/>
        <w:rPr>
          <w:rFonts w:eastAsia="SimSun"/>
          <w:color w:val="auto"/>
        </w:rPr>
      </w:pPr>
      <w:r w:rsidRPr="00242774">
        <w:rPr>
          <w:i/>
          <w:color w:val="auto"/>
          <w:sz w:val="20"/>
          <w:szCs w:val="20"/>
        </w:rPr>
        <w:t>Šaltinis –  Finansų ministerija</w:t>
      </w:r>
      <w:r w:rsidR="00920120" w:rsidRPr="00242774">
        <w:rPr>
          <w:i/>
          <w:color w:val="auto"/>
          <w:sz w:val="20"/>
          <w:szCs w:val="20"/>
        </w:rPr>
        <w:t>.</w:t>
      </w:r>
    </w:p>
    <w:p w:rsidR="006E229D" w:rsidRDefault="006E229D" w:rsidP="00654BFA">
      <w:pPr>
        <w:pStyle w:val="Antrat33"/>
        <w:spacing w:line="240" w:lineRule="auto"/>
        <w:rPr>
          <w:rFonts w:eastAsia="SimSun"/>
          <w:color w:val="auto"/>
          <w:sz w:val="26"/>
          <w:szCs w:val="26"/>
        </w:rPr>
      </w:pPr>
    </w:p>
    <w:p w:rsidR="00654BFA" w:rsidRDefault="00654BFA" w:rsidP="00654BFA">
      <w:pPr>
        <w:pStyle w:val="Antrat33"/>
        <w:spacing w:line="240" w:lineRule="auto"/>
        <w:rPr>
          <w:rFonts w:eastAsia="SimSun"/>
          <w:color w:val="auto"/>
          <w:sz w:val="26"/>
          <w:szCs w:val="26"/>
        </w:rPr>
      </w:pPr>
      <w:r w:rsidRPr="00E90A71">
        <w:rPr>
          <w:rFonts w:eastAsia="SimSun"/>
          <w:color w:val="auto"/>
          <w:sz w:val="26"/>
          <w:szCs w:val="26"/>
        </w:rPr>
        <w:t>Gyventojų pajamų mokestis</w:t>
      </w:r>
    </w:p>
    <w:p w:rsidR="00654BFA" w:rsidRPr="00E90A71" w:rsidRDefault="00654BFA" w:rsidP="00654BFA">
      <w:pPr>
        <w:pStyle w:val="Antrat33"/>
        <w:spacing w:line="240" w:lineRule="auto"/>
        <w:rPr>
          <w:rFonts w:eastAsia="SimSun"/>
          <w:color w:val="auto"/>
          <w:sz w:val="26"/>
          <w:szCs w:val="26"/>
        </w:rPr>
      </w:pPr>
    </w:p>
    <w:p w:rsidR="00654BFA" w:rsidRPr="00667FD4" w:rsidRDefault="00654BFA" w:rsidP="00654BFA">
      <w:pPr>
        <w:pStyle w:val="Antrats"/>
        <w:ind w:right="16" w:firstLine="567"/>
        <w:jc w:val="both"/>
      </w:pPr>
      <w:r w:rsidRPr="00667FD4">
        <w:t xml:space="preserve">Gyventojų pajamų mokesčio (toliau – GPM) </w:t>
      </w:r>
      <w:r w:rsidRPr="00667FD4">
        <w:rPr>
          <w:b/>
        </w:rPr>
        <w:t>į valstybės biudžet</w:t>
      </w:r>
      <w:r w:rsidR="00A95F29">
        <w:rPr>
          <w:b/>
        </w:rPr>
        <w:t>ą</w:t>
      </w:r>
      <w:r w:rsidRPr="00667FD4">
        <w:rPr>
          <w:b/>
        </w:rPr>
        <w:t xml:space="preserve"> </w:t>
      </w:r>
      <w:r>
        <w:t xml:space="preserve">per 2020 m. </w:t>
      </w:r>
      <w:r w:rsidRPr="00667FD4">
        <w:t xml:space="preserve">gauta </w:t>
      </w:r>
      <w:r w:rsidR="00580C3E" w:rsidRPr="00580C3E">
        <w:rPr>
          <w:b/>
        </w:rPr>
        <w:t>1</w:t>
      </w:r>
      <w:r w:rsidRPr="00580C3E">
        <w:rPr>
          <w:b/>
          <w:bCs/>
        </w:rPr>
        <w:t> </w:t>
      </w:r>
      <w:r w:rsidR="00580C3E">
        <w:rPr>
          <w:b/>
          <w:bCs/>
        </w:rPr>
        <w:t>886</w:t>
      </w:r>
      <w:r>
        <w:rPr>
          <w:b/>
          <w:bCs/>
        </w:rPr>
        <w:t>,8</w:t>
      </w:r>
      <w:r w:rsidRPr="00667FD4">
        <w:rPr>
          <w:b/>
          <w:bCs/>
        </w:rPr>
        <w:t> </w:t>
      </w:r>
      <w:r w:rsidRPr="00667FD4">
        <w:t xml:space="preserve">mln. eurų. Palyginti su planu, gauta </w:t>
      </w:r>
      <w:r>
        <w:t>1</w:t>
      </w:r>
      <w:r w:rsidR="00580C3E">
        <w:t>11</w:t>
      </w:r>
      <w:r>
        <w:t>,1</w:t>
      </w:r>
      <w:r w:rsidRPr="00667FD4">
        <w:t xml:space="preserve"> mln. eurų, arba </w:t>
      </w:r>
      <w:r w:rsidR="00580C3E">
        <w:t>43,4</w:t>
      </w:r>
      <w:r w:rsidRPr="00667FD4">
        <w:t xml:space="preserve"> proc., </w:t>
      </w:r>
      <w:r>
        <w:t>mažiau</w:t>
      </w:r>
      <w:r w:rsidRPr="00667FD4">
        <w:t xml:space="preserve">. Palyginti su </w:t>
      </w:r>
      <w:r>
        <w:t>2019 m.</w:t>
      </w:r>
      <w:r w:rsidRPr="00667FD4">
        <w:t xml:space="preserve">, gauta </w:t>
      </w:r>
      <w:r w:rsidR="00580C3E">
        <w:t>61</w:t>
      </w:r>
      <w:r>
        <w:t>,</w:t>
      </w:r>
      <w:r w:rsidR="00580C3E">
        <w:t>0</w:t>
      </w:r>
      <w:r w:rsidRPr="00667FD4">
        <w:t xml:space="preserve"> mln. eurų, arba </w:t>
      </w:r>
      <w:r w:rsidR="00580C3E">
        <w:t>3</w:t>
      </w:r>
      <w:r>
        <w:t>,</w:t>
      </w:r>
      <w:r w:rsidR="00580C3E">
        <w:t>3</w:t>
      </w:r>
      <w:r w:rsidRPr="00667FD4">
        <w:t xml:space="preserve"> proc., daugiau.</w:t>
      </w:r>
    </w:p>
    <w:p w:rsidR="00654BFA" w:rsidRPr="001B4715" w:rsidRDefault="00654BFA" w:rsidP="00654BFA">
      <w:pPr>
        <w:widowControl w:val="0"/>
        <w:autoSpaceDE w:val="0"/>
        <w:autoSpaceDN w:val="0"/>
        <w:adjustRightInd w:val="0"/>
        <w:jc w:val="both"/>
        <w:outlineLvl w:val="0"/>
        <w:rPr>
          <w:rFonts w:eastAsia="SimSun"/>
          <w:b/>
          <w:u w:val="single"/>
        </w:rPr>
      </w:pPr>
    </w:p>
    <w:p w:rsidR="00654BFA" w:rsidRPr="001B4715" w:rsidRDefault="00654BFA" w:rsidP="00654BFA">
      <w:pPr>
        <w:widowControl w:val="0"/>
        <w:autoSpaceDE w:val="0"/>
        <w:autoSpaceDN w:val="0"/>
        <w:adjustRightInd w:val="0"/>
        <w:ind w:firstLine="567"/>
        <w:jc w:val="both"/>
        <w:outlineLvl w:val="0"/>
        <w:rPr>
          <w:rFonts w:eastAsia="SimSun"/>
          <w:b/>
        </w:rPr>
      </w:pPr>
      <w:r w:rsidRPr="001B4715">
        <w:rPr>
          <w:rFonts w:eastAsia="SimSun"/>
          <w:b/>
        </w:rPr>
        <w:t>Pagrindiniai GPM surinkimo pokyčius lėmę veiksniai:</w:t>
      </w:r>
    </w:p>
    <w:p w:rsidR="00654BFA" w:rsidRPr="001B4715" w:rsidRDefault="00654BFA" w:rsidP="00654BFA">
      <w:pPr>
        <w:widowControl w:val="0"/>
        <w:autoSpaceDE w:val="0"/>
        <w:autoSpaceDN w:val="0"/>
        <w:adjustRightInd w:val="0"/>
        <w:ind w:firstLine="567"/>
        <w:jc w:val="both"/>
        <w:outlineLvl w:val="0"/>
        <w:rPr>
          <w:rFonts w:eastAsia="SimSun"/>
          <w:b/>
        </w:rPr>
      </w:pPr>
    </w:p>
    <w:p w:rsidR="00654BFA" w:rsidRPr="001B4715" w:rsidRDefault="00654BFA" w:rsidP="00654BFA">
      <w:pPr>
        <w:numPr>
          <w:ilvl w:val="0"/>
          <w:numId w:val="8"/>
        </w:numPr>
        <w:shd w:val="clear" w:color="auto" w:fill="FFFFFF" w:themeFill="background1"/>
        <w:tabs>
          <w:tab w:val="left" w:pos="851"/>
          <w:tab w:val="num" w:pos="1418"/>
        </w:tabs>
        <w:autoSpaceDE w:val="0"/>
        <w:autoSpaceDN w:val="0"/>
        <w:adjustRightInd w:val="0"/>
        <w:ind w:left="0" w:firstLine="567"/>
        <w:contextualSpacing/>
        <w:jc w:val="both"/>
        <w:rPr>
          <w:rFonts w:eastAsia="SimSun"/>
          <w:color w:val="000000" w:themeColor="text1"/>
        </w:rPr>
      </w:pPr>
      <w:r w:rsidRPr="001B4715">
        <w:rPr>
          <w:rFonts w:eastAsia="SimSun"/>
          <w:color w:val="000000" w:themeColor="text1"/>
        </w:rPr>
        <w:t>COVID-19 viruso sukeltos krizės neigiamai paveikti užimtumo rodikliai. Remiantis iš Valstybinio socialinio draudimo fondo valdybos gaunamais operatyviais įdarbinimo ir atleidimo duomenimis, 2021 m. sausio 1 d. šalyje buvo 1 227,8 tūkst. darbuotojo statusą turinčių asmenų, palyginti su 2020 m. sausio 1 d., darbuotojų skaičius sumažėjo 5,4 tūkst., arba 0,4 proc. Statistikos departamento duomenimis, 2020 metais nedarbo lygis Lietuvoje sudarė 8,5 proc. ir buvo 2,2 procentinio punkto didesnis nei 2019 metais.</w:t>
      </w:r>
    </w:p>
    <w:p w:rsidR="00654BFA" w:rsidRPr="001B4715" w:rsidRDefault="00654BFA" w:rsidP="00654BFA">
      <w:pPr>
        <w:pStyle w:val="Sraopastraipa"/>
        <w:numPr>
          <w:ilvl w:val="0"/>
          <w:numId w:val="26"/>
        </w:numPr>
        <w:tabs>
          <w:tab w:val="left" w:pos="851"/>
        </w:tabs>
        <w:autoSpaceDE w:val="0"/>
        <w:autoSpaceDN w:val="0"/>
        <w:adjustRightInd w:val="0"/>
        <w:ind w:left="0" w:firstLine="567"/>
        <w:jc w:val="both"/>
        <w:rPr>
          <w:iCs/>
          <w:snapToGrid w:val="0"/>
        </w:rPr>
      </w:pPr>
      <w:r>
        <w:rPr>
          <w:rFonts w:eastAsia="SimSun"/>
          <w:color w:val="000000" w:themeColor="text1"/>
        </w:rPr>
        <w:t>V</w:t>
      </w:r>
      <w:r w:rsidRPr="001B4715">
        <w:rPr>
          <w:rFonts w:eastAsia="SimSun"/>
          <w:color w:val="000000" w:themeColor="text1"/>
        </w:rPr>
        <w:t>idutinio darbo užmokesčio augimas. Statistikos departamento duomenimis, vidutinis mėnesinis bruto darbo užmokestis, įskaitant individualiąsias įmones, 2020 metais siekė 1 421,2 euro ir, nepaisant COVID-19 viruso sukeltų sunkumų darbo rinkoje, lyginant su 2019 metų vidutiniu darbo užmokesčiu padidėjo 9,6 proc.</w:t>
      </w:r>
      <w:r w:rsidRPr="001B4715">
        <w:rPr>
          <w:b/>
          <w:bCs/>
          <w:iCs/>
          <w:snapToGrid w:val="0"/>
        </w:rPr>
        <w:t xml:space="preserve"> </w:t>
      </w:r>
      <w:r w:rsidRPr="00D27957">
        <w:rPr>
          <w:rFonts w:eastAsia="SimSun"/>
          <w:bCs/>
        </w:rPr>
        <w:t>Vidutinio darbo užmokesčio augim</w:t>
      </w:r>
      <w:r>
        <w:rPr>
          <w:rFonts w:eastAsia="SimSun"/>
          <w:bCs/>
        </w:rPr>
        <w:t>ą</w:t>
      </w:r>
      <w:r w:rsidRPr="00D27957">
        <w:rPr>
          <w:rFonts w:eastAsia="SimSun"/>
          <w:bCs/>
        </w:rPr>
        <w:t xml:space="preserve"> palaikė nuo 2020</w:t>
      </w:r>
      <w:r>
        <w:rPr>
          <w:rFonts w:eastAsia="SimSun"/>
          <w:bCs/>
        </w:rPr>
        <w:t xml:space="preserve"> m. </w:t>
      </w:r>
      <w:r w:rsidRPr="00D27957">
        <w:rPr>
          <w:rFonts w:eastAsia="SimSun"/>
          <w:bCs/>
        </w:rPr>
        <w:t>sausio 1 d. 9,4 proc. padidinta minimali mėnesinė alga (nuo 555 eurų iki 607 eurų</w:t>
      </w:r>
      <w:r>
        <w:rPr>
          <w:rFonts w:eastAsia="SimSun"/>
          <w:bCs/>
        </w:rPr>
        <w:t xml:space="preserve">) </w:t>
      </w:r>
      <w:r w:rsidRPr="00D27957">
        <w:rPr>
          <w:rFonts w:eastAsia="SimSun"/>
          <w:bCs/>
        </w:rPr>
        <w:t>bei itin spartus atlyginimų didinimas viešojo sektoriaus darbuotojams (11,8 proc.).</w:t>
      </w:r>
    </w:p>
    <w:p w:rsidR="00654BFA" w:rsidRPr="00FE4047" w:rsidRDefault="00654BFA" w:rsidP="00654BFA">
      <w:pPr>
        <w:pStyle w:val="Sraopastraipa"/>
        <w:numPr>
          <w:ilvl w:val="0"/>
          <w:numId w:val="26"/>
        </w:numPr>
        <w:tabs>
          <w:tab w:val="left" w:pos="851"/>
        </w:tabs>
        <w:ind w:left="0" w:firstLine="567"/>
        <w:jc w:val="both"/>
        <w:rPr>
          <w:rFonts w:eastAsia="SimSun"/>
        </w:rPr>
      </w:pPr>
      <w:r w:rsidRPr="009E6274">
        <w:rPr>
          <w:rFonts w:eastAsia="SimSun"/>
          <w:color w:val="000000" w:themeColor="text1"/>
        </w:rPr>
        <w:t>Nuo COVID-19 nukentėjusiems mokesčių mokėtojams taikytos pagalbos priemonės. Mokesčių mokėtojų, kuriems buvo suteikta galimybė atidėti GPM prievolių, susidariusių nuo 2020 m. kovo 16 d. iki gruodžio 31 d., mokėjimus be delspinigių ir neatliekant išieškojimo veiksmų, šio mokesčio atidėjimai 2021 m. sausio 1 d. sudarė 134,7 mln. eurų. Užimtumo tarnybos duomenimis subsidijų už prastovos laiką darbdaviams per 2020 m. balandžio–gruodžio mėn. išmokėta 183 mln. eurų, o subsidijos darbo užmokesčiui mokėti po prastovų (darbdaviams</w:t>
      </w:r>
      <w:r w:rsidRPr="00FE4047">
        <w:rPr>
          <w:rFonts w:eastAsia="SimSun"/>
        </w:rPr>
        <w:t xml:space="preserve"> nutraukusiems prastovas, neskelbusiems prastovų</w:t>
      </w:r>
      <w:r>
        <w:rPr>
          <w:rFonts w:eastAsia="SimSun"/>
        </w:rPr>
        <w:t xml:space="preserve">, </w:t>
      </w:r>
      <w:r w:rsidRPr="00FE4047">
        <w:rPr>
          <w:rFonts w:eastAsia="SimSun"/>
        </w:rPr>
        <w:t xml:space="preserve">tačiau nukentėjusiems nuo COVID-19 ar įdarbinus remiamus bedarbius) tuo pačiu laikotarpiu – 545,9 mln. eurų. </w:t>
      </w:r>
    </w:p>
    <w:p w:rsidR="00654BFA" w:rsidRPr="001B4715" w:rsidRDefault="00654BFA" w:rsidP="00654BFA">
      <w:pPr>
        <w:numPr>
          <w:ilvl w:val="0"/>
          <w:numId w:val="8"/>
        </w:numPr>
        <w:shd w:val="clear" w:color="auto" w:fill="FFFFFF" w:themeFill="background1"/>
        <w:tabs>
          <w:tab w:val="left" w:pos="851"/>
          <w:tab w:val="num" w:pos="1418"/>
        </w:tabs>
        <w:autoSpaceDE w:val="0"/>
        <w:autoSpaceDN w:val="0"/>
        <w:adjustRightInd w:val="0"/>
        <w:ind w:left="0" w:firstLine="567"/>
        <w:contextualSpacing/>
        <w:jc w:val="both"/>
        <w:rPr>
          <w:rFonts w:eastAsia="SimSun"/>
          <w:color w:val="000000" w:themeColor="text1"/>
        </w:rPr>
      </w:pPr>
      <w:r w:rsidRPr="001B4715">
        <w:rPr>
          <w:rFonts w:eastAsia="SimSun"/>
          <w:color w:val="000000" w:themeColor="text1"/>
        </w:rPr>
        <w:t xml:space="preserve">Reikšmingai išaugę GPM grąžinimai gyventojams už 2019 metus. Iš viso per 2020 m. gyventojams grąžinta 181,7 mln. eurų GPM permokų, t.y. 58 mln. arba 46,9 proc. daugiau nei per 2019 m. Tam įtakos turėjo padidėjusi metų eigoje gyventojų pilnai neišnaudoto neapmokestinamojo pajamų dydžio apimtis, 2019 m. nuo 15 proc. iki 20 proc. padidintas GPM tarifas, lemiantis grąžinimų už patirtas išlaidas, kuriomis gyventojai gali susimažinti apmokestinamąsias pajamas, dydį, beveik trečdaliu išaugusi patirtų </w:t>
      </w:r>
      <w:r>
        <w:rPr>
          <w:rFonts w:eastAsia="SimSun"/>
          <w:color w:val="000000" w:themeColor="text1"/>
        </w:rPr>
        <w:t xml:space="preserve">lengvatinių </w:t>
      </w:r>
      <w:r w:rsidRPr="001B4715">
        <w:rPr>
          <w:rFonts w:eastAsia="SimSun"/>
          <w:color w:val="000000" w:themeColor="text1"/>
        </w:rPr>
        <w:t>išlaidų suma bei praplėstas tokių lengvatinių išlaidų sąrašas.</w:t>
      </w:r>
    </w:p>
    <w:p w:rsidR="00654BFA" w:rsidRPr="00B04C27" w:rsidRDefault="00654BFA" w:rsidP="00654BFA">
      <w:pPr>
        <w:numPr>
          <w:ilvl w:val="0"/>
          <w:numId w:val="8"/>
        </w:numPr>
        <w:shd w:val="clear" w:color="auto" w:fill="FFFFFF" w:themeFill="background1"/>
        <w:tabs>
          <w:tab w:val="left" w:pos="851"/>
          <w:tab w:val="num" w:pos="1418"/>
        </w:tabs>
        <w:autoSpaceDE w:val="0"/>
        <w:autoSpaceDN w:val="0"/>
        <w:adjustRightInd w:val="0"/>
        <w:ind w:left="0" w:firstLine="567"/>
        <w:contextualSpacing/>
        <w:jc w:val="both"/>
        <w:rPr>
          <w:rFonts w:eastAsia="SimSun"/>
          <w:color w:val="000000" w:themeColor="text1"/>
        </w:rPr>
      </w:pPr>
      <w:r w:rsidRPr="001B4715">
        <w:rPr>
          <w:rFonts w:eastAsia="SimSun"/>
          <w:color w:val="000000" w:themeColor="text1"/>
        </w:rPr>
        <w:t>Neapmokestinamojo pajamų dydžio pokyčiai. Nuo 2020 m. sausio 1 d. maksimalus taikytinas mėnesio neapmokestinamųjų pajamų dydis (toliau – NPD) padidėjo nuo 300 eurų iki 350 eurų per mėnesį, o nuo liepos 1 d. – iki 400 eurų per mėnesį (suteikiant galimybę šį dydį darbdavio ir darbuotojo susitarimu pritaikyti atgaline data ir už pirmąjį 2020 m. pusmetį). Preliminariu vertinimu, dėl šių NPD didinimų 2020 metais negauta apie 142 mln. eurų pajamų iš GPM.</w:t>
      </w:r>
      <w:r>
        <w:rPr>
          <w:rFonts w:eastAsia="SimSun"/>
          <w:color w:val="000000" w:themeColor="text1"/>
        </w:rPr>
        <w:t xml:space="preserve"> </w:t>
      </w:r>
      <w:r w:rsidRPr="00B04C27">
        <w:rPr>
          <w:rFonts w:eastAsia="SimSun"/>
          <w:color w:val="000000" w:themeColor="text1"/>
        </w:rPr>
        <w:t>Kartu nuo 2020 m. sausio 1 d. buvo reikšmingai padidintas ir NPD neįgaliesiems – priklausomai nuo neįgalumo lygio jis didėjo nuo 353 eurų iki 645 eurų ir nuo 308 eurų iki 600 eurų. Dėl šio didinimo preliminariu vertinimu 2020 metais negauta apie 15 mln. eurų pajamų iš GPM.</w:t>
      </w:r>
    </w:p>
    <w:p w:rsidR="00654BFA" w:rsidRDefault="00654BFA" w:rsidP="00654BFA">
      <w:pPr>
        <w:pStyle w:val="Antrat33"/>
        <w:spacing w:line="240" w:lineRule="auto"/>
        <w:rPr>
          <w:rFonts w:eastAsia="SimSun"/>
          <w:color w:val="auto"/>
          <w:sz w:val="26"/>
          <w:szCs w:val="26"/>
        </w:rPr>
      </w:pPr>
    </w:p>
    <w:p w:rsidR="008E21F2" w:rsidRDefault="008E21F2" w:rsidP="00654BFA">
      <w:pPr>
        <w:pStyle w:val="Antrat33"/>
        <w:spacing w:line="240" w:lineRule="auto"/>
        <w:rPr>
          <w:rFonts w:eastAsia="SimSun"/>
          <w:color w:val="auto"/>
          <w:sz w:val="26"/>
          <w:szCs w:val="26"/>
        </w:rPr>
      </w:pPr>
    </w:p>
    <w:p w:rsidR="00935CA1" w:rsidRPr="00AA4EE3" w:rsidRDefault="00935CA1" w:rsidP="00935CA1">
      <w:pPr>
        <w:pStyle w:val="Antrat33"/>
        <w:spacing w:line="240" w:lineRule="auto"/>
        <w:rPr>
          <w:rFonts w:eastAsia="SimSun"/>
          <w:color w:val="auto"/>
          <w:sz w:val="26"/>
          <w:szCs w:val="26"/>
        </w:rPr>
      </w:pPr>
      <w:r w:rsidRPr="00AA4EE3">
        <w:rPr>
          <w:rFonts w:eastAsia="SimSun"/>
          <w:color w:val="auto"/>
          <w:sz w:val="26"/>
          <w:szCs w:val="26"/>
        </w:rPr>
        <w:t>Akcizai</w:t>
      </w:r>
    </w:p>
    <w:p w:rsidR="00935CA1" w:rsidRPr="00400BD6" w:rsidRDefault="00935CA1" w:rsidP="00935CA1">
      <w:pPr>
        <w:pStyle w:val="Antrat33"/>
        <w:spacing w:line="240" w:lineRule="auto"/>
        <w:rPr>
          <w:rFonts w:eastAsia="SimSun"/>
          <w:color w:val="auto"/>
          <w:highlight w:val="magenta"/>
        </w:rPr>
      </w:pPr>
    </w:p>
    <w:p w:rsidR="00654BFA" w:rsidRDefault="00654BFA" w:rsidP="00654BFA">
      <w:pPr>
        <w:ind w:firstLine="567"/>
        <w:jc w:val="both"/>
        <w:rPr>
          <w:color w:val="auto"/>
          <w:szCs w:val="20"/>
        </w:rPr>
      </w:pPr>
      <w:r>
        <w:rPr>
          <w:color w:val="auto"/>
          <w:szCs w:val="20"/>
        </w:rPr>
        <w:t>Per 2020</w:t>
      </w:r>
      <w:r w:rsidRPr="00F7310F">
        <w:rPr>
          <w:color w:val="auto"/>
          <w:szCs w:val="20"/>
        </w:rPr>
        <w:t xml:space="preserve"> metus į valstybės biudžetą surinkta </w:t>
      </w:r>
      <w:r>
        <w:rPr>
          <w:b/>
          <w:color w:val="auto"/>
          <w:szCs w:val="20"/>
        </w:rPr>
        <w:t>1 558,9</w:t>
      </w:r>
      <w:r w:rsidRPr="00F7310F">
        <w:rPr>
          <w:b/>
          <w:color w:val="auto"/>
          <w:szCs w:val="20"/>
        </w:rPr>
        <w:t xml:space="preserve"> mln. eurų</w:t>
      </w:r>
      <w:r w:rsidRPr="00F7310F">
        <w:rPr>
          <w:color w:val="auto"/>
          <w:szCs w:val="20"/>
        </w:rPr>
        <w:t xml:space="preserve"> akcizų. Palyginti su 201</w:t>
      </w:r>
      <w:r>
        <w:rPr>
          <w:color w:val="auto"/>
          <w:szCs w:val="20"/>
        </w:rPr>
        <w:t>9</w:t>
      </w:r>
      <w:r w:rsidRPr="00F7310F">
        <w:rPr>
          <w:color w:val="auto"/>
          <w:szCs w:val="20"/>
        </w:rPr>
        <w:t xml:space="preserve"> metais į valstybės biudžetą pervesta </w:t>
      </w:r>
      <w:r>
        <w:rPr>
          <w:color w:val="auto"/>
          <w:szCs w:val="20"/>
        </w:rPr>
        <w:t>71,</w:t>
      </w:r>
      <w:r w:rsidR="00271D12">
        <w:rPr>
          <w:color w:val="auto"/>
          <w:szCs w:val="20"/>
        </w:rPr>
        <w:t>9</w:t>
      </w:r>
      <w:r w:rsidRPr="00F7310F">
        <w:rPr>
          <w:color w:val="auto"/>
          <w:szCs w:val="20"/>
        </w:rPr>
        <w:t xml:space="preserve"> mln. eurų, arba </w:t>
      </w:r>
      <w:r>
        <w:rPr>
          <w:color w:val="auto"/>
          <w:szCs w:val="20"/>
        </w:rPr>
        <w:t>4,8</w:t>
      </w:r>
      <w:r w:rsidRPr="00F7310F">
        <w:rPr>
          <w:color w:val="auto"/>
          <w:szCs w:val="20"/>
        </w:rPr>
        <w:t xml:space="preserve"> proc. daugiau pajamų iš akcizų. </w:t>
      </w:r>
      <w:r w:rsidRPr="00F7310F">
        <w:rPr>
          <w:color w:val="auto"/>
          <w:szCs w:val="20"/>
        </w:rPr>
        <w:lastRenderedPageBreak/>
        <w:t>20</w:t>
      </w:r>
      <w:r>
        <w:rPr>
          <w:color w:val="auto"/>
          <w:szCs w:val="20"/>
        </w:rPr>
        <w:t>20</w:t>
      </w:r>
      <w:r w:rsidRPr="00F7310F">
        <w:rPr>
          <w:color w:val="auto"/>
          <w:szCs w:val="20"/>
        </w:rPr>
        <w:t xml:space="preserve"> m. pajamų iš akcizų planas vykdytas </w:t>
      </w:r>
      <w:r>
        <w:rPr>
          <w:color w:val="auto"/>
          <w:szCs w:val="20"/>
        </w:rPr>
        <w:t>96,8</w:t>
      </w:r>
      <w:r w:rsidRPr="00F7310F">
        <w:rPr>
          <w:color w:val="auto"/>
          <w:szCs w:val="20"/>
        </w:rPr>
        <w:t xml:space="preserve"> proc. ir į biudžetą gauta </w:t>
      </w:r>
      <w:r>
        <w:rPr>
          <w:color w:val="auto"/>
          <w:szCs w:val="20"/>
        </w:rPr>
        <w:t>51,9</w:t>
      </w:r>
      <w:r w:rsidRPr="00F7310F">
        <w:rPr>
          <w:color w:val="auto"/>
          <w:szCs w:val="20"/>
        </w:rPr>
        <w:t xml:space="preserve"> mln. eurų pajamų mažiau nei planuota.</w:t>
      </w:r>
      <w:r>
        <w:rPr>
          <w:color w:val="auto"/>
          <w:szCs w:val="20"/>
        </w:rPr>
        <w:t xml:space="preserve"> </w:t>
      </w:r>
    </w:p>
    <w:p w:rsidR="00654BFA" w:rsidRDefault="00654BFA" w:rsidP="00654BFA">
      <w:pPr>
        <w:jc w:val="both"/>
        <w:rPr>
          <w:rFonts w:eastAsia="SimSun"/>
          <w:b/>
        </w:rPr>
      </w:pPr>
    </w:p>
    <w:p w:rsidR="00654BFA" w:rsidRPr="00044564" w:rsidRDefault="00654BFA" w:rsidP="00654BFA">
      <w:pPr>
        <w:jc w:val="both"/>
        <w:rPr>
          <w:rFonts w:eastAsia="SimSun"/>
        </w:rPr>
      </w:pPr>
      <w:r>
        <w:rPr>
          <w:rFonts w:eastAsia="SimSun"/>
          <w:b/>
        </w:rPr>
        <w:t>5</w:t>
      </w:r>
      <w:r w:rsidRPr="00044564">
        <w:rPr>
          <w:rFonts w:eastAsia="SimSun"/>
          <w:b/>
        </w:rPr>
        <w:t xml:space="preserve"> lentelė. </w:t>
      </w:r>
      <w:r w:rsidRPr="00044564">
        <w:rPr>
          <w:rFonts w:eastAsia="SimSun"/>
        </w:rPr>
        <w:t>VMI ir Muitinės administruojamos pajamos iš akcizų, mln. eurų ir proc.</w:t>
      </w:r>
    </w:p>
    <w:tbl>
      <w:tblPr>
        <w:tblW w:w="9602" w:type="dxa"/>
        <w:tblInd w:w="93" w:type="dxa"/>
        <w:tblLayout w:type="fixed"/>
        <w:tblLook w:val="04A0" w:firstRow="1" w:lastRow="0" w:firstColumn="1" w:lastColumn="0" w:noHBand="0" w:noVBand="1"/>
      </w:tblPr>
      <w:tblGrid>
        <w:gridCol w:w="1149"/>
        <w:gridCol w:w="1418"/>
        <w:gridCol w:w="1276"/>
        <w:gridCol w:w="1275"/>
        <w:gridCol w:w="993"/>
        <w:gridCol w:w="1275"/>
        <w:gridCol w:w="1134"/>
        <w:gridCol w:w="1082"/>
      </w:tblGrid>
      <w:tr w:rsidR="00654BFA" w:rsidRPr="00044564" w:rsidTr="00646EFE">
        <w:trPr>
          <w:trHeight w:val="307"/>
        </w:trPr>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654BFA" w:rsidRPr="00044564" w:rsidRDefault="00654BFA" w:rsidP="00646EFE">
            <w:pPr>
              <w:jc w:val="center"/>
              <w:rPr>
                <w:b/>
                <w:bCs/>
                <w:color w:val="auto"/>
                <w:sz w:val="20"/>
                <w:szCs w:val="20"/>
              </w:rPr>
            </w:pPr>
            <w:r w:rsidRPr="00044564">
              <w:rPr>
                <w:color w:val="auto"/>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54BFA" w:rsidRPr="00044564" w:rsidRDefault="00654BFA" w:rsidP="00646EFE">
            <w:pPr>
              <w:jc w:val="center"/>
              <w:rPr>
                <w:b/>
                <w:bCs/>
                <w:iCs/>
                <w:color w:val="auto"/>
                <w:sz w:val="20"/>
                <w:szCs w:val="20"/>
              </w:rPr>
            </w:pPr>
            <w:r>
              <w:rPr>
                <w:b/>
                <w:bCs/>
                <w:iCs/>
                <w:color w:val="auto"/>
                <w:sz w:val="20"/>
                <w:szCs w:val="20"/>
              </w:rPr>
              <w:t>2019</w:t>
            </w:r>
            <w:r w:rsidRPr="00044564">
              <w:rPr>
                <w:b/>
                <w:bCs/>
                <w:iCs/>
                <w:color w:val="auto"/>
                <w:sz w:val="20"/>
                <w:szCs w:val="20"/>
              </w:rPr>
              <w:t xml:space="preserve"> m. faktas</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54BFA" w:rsidRPr="00044564" w:rsidRDefault="00654BFA" w:rsidP="00646EFE">
            <w:pPr>
              <w:jc w:val="center"/>
              <w:rPr>
                <w:b/>
                <w:bCs/>
                <w:iCs/>
                <w:color w:val="auto"/>
                <w:sz w:val="20"/>
                <w:szCs w:val="20"/>
              </w:rPr>
            </w:pPr>
            <w:r w:rsidRPr="00044564">
              <w:rPr>
                <w:b/>
                <w:bCs/>
                <w:iCs/>
                <w:color w:val="auto"/>
                <w:sz w:val="20"/>
                <w:szCs w:val="20"/>
              </w:rPr>
              <w:t>20</w:t>
            </w:r>
            <w:r>
              <w:rPr>
                <w:b/>
                <w:bCs/>
                <w:iCs/>
                <w:color w:val="auto"/>
                <w:sz w:val="20"/>
                <w:szCs w:val="20"/>
              </w:rPr>
              <w:t>20</w:t>
            </w:r>
            <w:r w:rsidRPr="00044564">
              <w:rPr>
                <w:b/>
                <w:bCs/>
                <w:iCs/>
                <w:color w:val="auto"/>
                <w:sz w:val="20"/>
                <w:szCs w:val="20"/>
              </w:rPr>
              <w:t xml:space="preserve"> m. planas</w:t>
            </w:r>
          </w:p>
        </w:tc>
        <w:tc>
          <w:tcPr>
            <w:tcW w:w="12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54BFA" w:rsidRPr="00044564" w:rsidRDefault="00654BFA" w:rsidP="00646EFE">
            <w:pPr>
              <w:jc w:val="center"/>
              <w:rPr>
                <w:b/>
                <w:bCs/>
                <w:iCs/>
                <w:color w:val="auto"/>
                <w:sz w:val="20"/>
                <w:szCs w:val="20"/>
              </w:rPr>
            </w:pPr>
            <w:r>
              <w:rPr>
                <w:b/>
                <w:bCs/>
                <w:iCs/>
                <w:color w:val="auto"/>
                <w:sz w:val="20"/>
                <w:szCs w:val="20"/>
              </w:rPr>
              <w:t>2020</w:t>
            </w:r>
            <w:r w:rsidRPr="00044564">
              <w:rPr>
                <w:b/>
                <w:bCs/>
                <w:iCs/>
                <w:color w:val="auto"/>
                <w:sz w:val="20"/>
                <w:szCs w:val="20"/>
              </w:rPr>
              <w:t xml:space="preserve"> m. faktas</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654BFA" w:rsidRPr="00044564" w:rsidRDefault="00654BFA" w:rsidP="00646EFE">
            <w:pPr>
              <w:jc w:val="center"/>
              <w:rPr>
                <w:b/>
                <w:iCs/>
                <w:color w:val="auto"/>
                <w:sz w:val="20"/>
                <w:szCs w:val="20"/>
              </w:rPr>
            </w:pPr>
            <w:r w:rsidRPr="00044564">
              <w:rPr>
                <w:b/>
                <w:iCs/>
                <w:color w:val="auto"/>
                <w:sz w:val="20"/>
                <w:szCs w:val="20"/>
              </w:rPr>
              <w:t>Fakto pokytis</w:t>
            </w:r>
          </w:p>
        </w:tc>
        <w:tc>
          <w:tcPr>
            <w:tcW w:w="2216" w:type="dxa"/>
            <w:gridSpan w:val="2"/>
            <w:tcBorders>
              <w:top w:val="single" w:sz="4" w:space="0" w:color="auto"/>
              <w:left w:val="nil"/>
              <w:bottom w:val="single" w:sz="4" w:space="0" w:color="auto"/>
              <w:right w:val="single" w:sz="4" w:space="0" w:color="auto"/>
            </w:tcBorders>
            <w:shd w:val="clear" w:color="000000" w:fill="FFFFFF"/>
            <w:vAlign w:val="center"/>
            <w:hideMark/>
          </w:tcPr>
          <w:p w:rsidR="00654BFA" w:rsidRPr="00044564" w:rsidRDefault="00654BFA" w:rsidP="00646EFE">
            <w:pPr>
              <w:jc w:val="center"/>
              <w:rPr>
                <w:b/>
                <w:iCs/>
                <w:color w:val="auto"/>
                <w:sz w:val="20"/>
                <w:szCs w:val="20"/>
              </w:rPr>
            </w:pPr>
            <w:r w:rsidRPr="00044564">
              <w:rPr>
                <w:b/>
                <w:iCs/>
                <w:color w:val="auto"/>
                <w:sz w:val="20"/>
                <w:szCs w:val="20"/>
              </w:rPr>
              <w:t>Plano įvykdymas</w:t>
            </w:r>
          </w:p>
        </w:tc>
      </w:tr>
      <w:tr w:rsidR="00654BFA" w:rsidRPr="00044564" w:rsidTr="00646EFE">
        <w:trPr>
          <w:trHeight w:val="283"/>
        </w:trPr>
        <w:tc>
          <w:tcPr>
            <w:tcW w:w="1149" w:type="dxa"/>
            <w:vMerge/>
            <w:tcBorders>
              <w:top w:val="single" w:sz="4" w:space="0" w:color="auto"/>
              <w:left w:val="single" w:sz="4" w:space="0" w:color="auto"/>
              <w:bottom w:val="single" w:sz="4" w:space="0" w:color="auto"/>
              <w:right w:val="single" w:sz="4" w:space="0" w:color="auto"/>
            </w:tcBorders>
            <w:vAlign w:val="center"/>
            <w:hideMark/>
          </w:tcPr>
          <w:p w:rsidR="00654BFA" w:rsidRPr="00044564" w:rsidRDefault="00654BFA" w:rsidP="00646EFE">
            <w:pPr>
              <w:rPr>
                <w:b/>
                <w:bCs/>
                <w:color w:val="auto"/>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54BFA" w:rsidRPr="00044564" w:rsidRDefault="00654BFA" w:rsidP="00646EFE">
            <w:pPr>
              <w:rPr>
                <w:b/>
                <w:bCs/>
                <w:i/>
                <w:iCs/>
                <w:color w:val="auto"/>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54BFA" w:rsidRPr="00044564" w:rsidRDefault="00654BFA" w:rsidP="00646EFE">
            <w:pPr>
              <w:rPr>
                <w:b/>
                <w:bCs/>
                <w:i/>
                <w:iCs/>
                <w:color w:val="auto"/>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654BFA" w:rsidRPr="00044564" w:rsidRDefault="00654BFA" w:rsidP="00646EFE">
            <w:pPr>
              <w:rPr>
                <w:b/>
                <w:bCs/>
                <w:i/>
                <w:iCs/>
                <w:color w:val="auto"/>
                <w:sz w:val="20"/>
                <w:szCs w:val="20"/>
              </w:rPr>
            </w:pPr>
          </w:p>
        </w:tc>
        <w:tc>
          <w:tcPr>
            <w:tcW w:w="993"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center"/>
              <w:rPr>
                <w:color w:val="auto"/>
                <w:sz w:val="20"/>
                <w:szCs w:val="20"/>
              </w:rPr>
            </w:pPr>
            <w:r w:rsidRPr="00044564">
              <w:rPr>
                <w:color w:val="auto"/>
                <w:sz w:val="20"/>
                <w:szCs w:val="20"/>
              </w:rPr>
              <w:t>(+,-)</w:t>
            </w:r>
          </w:p>
        </w:tc>
        <w:tc>
          <w:tcPr>
            <w:tcW w:w="1275"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center"/>
              <w:rPr>
                <w:color w:val="auto"/>
                <w:sz w:val="20"/>
                <w:szCs w:val="20"/>
              </w:rPr>
            </w:pPr>
            <w:r w:rsidRPr="00044564">
              <w:rPr>
                <w:color w:val="auto"/>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center"/>
              <w:rPr>
                <w:color w:val="auto"/>
                <w:sz w:val="20"/>
                <w:szCs w:val="20"/>
              </w:rPr>
            </w:pPr>
            <w:r w:rsidRPr="00044564">
              <w:rPr>
                <w:color w:val="auto"/>
                <w:sz w:val="20"/>
                <w:szCs w:val="20"/>
              </w:rPr>
              <w:t>(+,-)</w:t>
            </w:r>
          </w:p>
        </w:tc>
        <w:tc>
          <w:tcPr>
            <w:tcW w:w="1082"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center"/>
              <w:rPr>
                <w:color w:val="auto"/>
                <w:sz w:val="20"/>
                <w:szCs w:val="20"/>
              </w:rPr>
            </w:pPr>
            <w:r w:rsidRPr="00044564">
              <w:rPr>
                <w:color w:val="auto"/>
                <w:sz w:val="20"/>
                <w:szCs w:val="20"/>
              </w:rPr>
              <w:t>%</w:t>
            </w:r>
          </w:p>
        </w:tc>
      </w:tr>
      <w:tr w:rsidR="00654BFA" w:rsidRPr="00044564" w:rsidTr="00646EFE">
        <w:trPr>
          <w:trHeight w:val="273"/>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54BFA" w:rsidRPr="00044564" w:rsidRDefault="00654BFA" w:rsidP="00646EFE">
            <w:pPr>
              <w:rPr>
                <w:b/>
                <w:bCs/>
                <w:color w:val="auto"/>
                <w:sz w:val="20"/>
                <w:szCs w:val="20"/>
              </w:rPr>
            </w:pPr>
            <w:r w:rsidRPr="00044564">
              <w:rPr>
                <w:b/>
                <w:bCs/>
                <w:color w:val="auto"/>
                <w:sz w:val="20"/>
                <w:szCs w:val="20"/>
              </w:rPr>
              <w:t>VMI</w:t>
            </w:r>
            <w:r w:rsidRPr="00044564">
              <w:rPr>
                <w:color w:val="auto"/>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sz w:val="20"/>
                <w:szCs w:val="20"/>
              </w:rPr>
            </w:pPr>
            <w:r w:rsidRPr="00044564">
              <w:rPr>
                <w:sz w:val="20"/>
                <w:szCs w:val="20"/>
              </w:rPr>
              <w:t>1 465,5</w:t>
            </w:r>
          </w:p>
        </w:tc>
        <w:tc>
          <w:tcPr>
            <w:tcW w:w="1276"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sz w:val="20"/>
                <w:szCs w:val="20"/>
              </w:rPr>
            </w:pPr>
            <w:r w:rsidRPr="00044564">
              <w:rPr>
                <w:sz w:val="20"/>
                <w:szCs w:val="20"/>
              </w:rPr>
              <w:t>1 587,5</w:t>
            </w:r>
          </w:p>
        </w:tc>
        <w:tc>
          <w:tcPr>
            <w:tcW w:w="1275"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sz w:val="20"/>
                <w:szCs w:val="20"/>
              </w:rPr>
            </w:pPr>
            <w:r w:rsidRPr="00044564">
              <w:rPr>
                <w:sz w:val="20"/>
                <w:szCs w:val="20"/>
              </w:rPr>
              <w:t>1 537,7</w:t>
            </w:r>
          </w:p>
        </w:tc>
        <w:tc>
          <w:tcPr>
            <w:tcW w:w="993"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sidRPr="00044564">
              <w:rPr>
                <w:sz w:val="20"/>
                <w:szCs w:val="20"/>
              </w:rPr>
              <w:t>72,2</w:t>
            </w:r>
          </w:p>
        </w:tc>
        <w:tc>
          <w:tcPr>
            <w:tcW w:w="1275"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sidRPr="00044564">
              <w:rPr>
                <w:sz w:val="20"/>
                <w:szCs w:val="20"/>
              </w:rPr>
              <w:t>4,9</w:t>
            </w:r>
          </w:p>
        </w:tc>
        <w:tc>
          <w:tcPr>
            <w:tcW w:w="1134"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sidRPr="00044564">
              <w:rPr>
                <w:sz w:val="20"/>
                <w:szCs w:val="20"/>
              </w:rPr>
              <w:t>-49,7</w:t>
            </w:r>
          </w:p>
        </w:tc>
        <w:tc>
          <w:tcPr>
            <w:tcW w:w="1082"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Pr>
                <w:sz w:val="20"/>
                <w:szCs w:val="20"/>
              </w:rPr>
              <w:t>96,9</w:t>
            </w:r>
          </w:p>
        </w:tc>
      </w:tr>
      <w:tr w:rsidR="00654BFA" w:rsidRPr="00044564" w:rsidTr="00646EFE">
        <w:trPr>
          <w:trHeight w:val="277"/>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54BFA" w:rsidRPr="00044564" w:rsidRDefault="00654BFA" w:rsidP="00646EFE">
            <w:pPr>
              <w:rPr>
                <w:b/>
                <w:bCs/>
                <w:color w:val="auto"/>
                <w:sz w:val="20"/>
                <w:szCs w:val="20"/>
              </w:rPr>
            </w:pPr>
            <w:r w:rsidRPr="00044564">
              <w:rPr>
                <w:b/>
                <w:bCs/>
                <w:color w:val="auto"/>
                <w:sz w:val="20"/>
                <w:szCs w:val="20"/>
              </w:rPr>
              <w:t>Muitinė</w:t>
            </w:r>
            <w:r w:rsidRPr="00044564">
              <w:rPr>
                <w:color w:val="auto"/>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sz w:val="20"/>
                <w:szCs w:val="20"/>
              </w:rPr>
            </w:pPr>
            <w:r w:rsidRPr="00044564">
              <w:rPr>
                <w:sz w:val="20"/>
                <w:szCs w:val="20"/>
              </w:rPr>
              <w:t>21,5</w:t>
            </w:r>
          </w:p>
        </w:tc>
        <w:tc>
          <w:tcPr>
            <w:tcW w:w="1276"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sz w:val="20"/>
                <w:szCs w:val="20"/>
              </w:rPr>
            </w:pPr>
            <w:r w:rsidRPr="00044564">
              <w:rPr>
                <w:sz w:val="20"/>
                <w:szCs w:val="20"/>
              </w:rPr>
              <w:t>23,3</w:t>
            </w:r>
          </w:p>
        </w:tc>
        <w:tc>
          <w:tcPr>
            <w:tcW w:w="1275"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sz w:val="20"/>
                <w:szCs w:val="20"/>
              </w:rPr>
            </w:pPr>
            <w:r w:rsidRPr="00044564">
              <w:rPr>
                <w:sz w:val="20"/>
                <w:szCs w:val="20"/>
              </w:rPr>
              <w:t>21,2</w:t>
            </w:r>
          </w:p>
        </w:tc>
        <w:tc>
          <w:tcPr>
            <w:tcW w:w="993"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sidRPr="00044564">
              <w:rPr>
                <w:sz w:val="20"/>
                <w:szCs w:val="20"/>
              </w:rPr>
              <w:t>-0,4</w:t>
            </w:r>
          </w:p>
        </w:tc>
        <w:tc>
          <w:tcPr>
            <w:tcW w:w="1275"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sidRPr="00044564">
              <w:rPr>
                <w:sz w:val="20"/>
                <w:szCs w:val="20"/>
              </w:rPr>
              <w:t>-1,6</w:t>
            </w:r>
          </w:p>
        </w:tc>
        <w:tc>
          <w:tcPr>
            <w:tcW w:w="1134"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sidRPr="00044564">
              <w:rPr>
                <w:sz w:val="20"/>
                <w:szCs w:val="20"/>
              </w:rPr>
              <w:t>-2,1</w:t>
            </w:r>
          </w:p>
        </w:tc>
        <w:tc>
          <w:tcPr>
            <w:tcW w:w="1082"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sz w:val="20"/>
                <w:szCs w:val="20"/>
              </w:rPr>
            </w:pPr>
            <w:r>
              <w:rPr>
                <w:sz w:val="20"/>
                <w:szCs w:val="20"/>
              </w:rPr>
              <w:t>90,8</w:t>
            </w:r>
          </w:p>
        </w:tc>
      </w:tr>
      <w:tr w:rsidR="00654BFA" w:rsidRPr="00044564" w:rsidTr="00646EFE">
        <w:trPr>
          <w:trHeight w:val="268"/>
        </w:trPr>
        <w:tc>
          <w:tcPr>
            <w:tcW w:w="1149" w:type="dxa"/>
            <w:tcBorders>
              <w:top w:val="nil"/>
              <w:left w:val="single" w:sz="4" w:space="0" w:color="auto"/>
              <w:bottom w:val="single" w:sz="4" w:space="0" w:color="auto"/>
              <w:right w:val="single" w:sz="4" w:space="0" w:color="auto"/>
            </w:tcBorders>
            <w:shd w:val="clear" w:color="000000" w:fill="FFFFFF"/>
            <w:vAlign w:val="center"/>
            <w:hideMark/>
          </w:tcPr>
          <w:p w:rsidR="00654BFA" w:rsidRPr="00044564" w:rsidRDefault="00654BFA" w:rsidP="00646EFE">
            <w:pPr>
              <w:rPr>
                <w:b/>
                <w:bCs/>
                <w:color w:val="auto"/>
                <w:sz w:val="20"/>
                <w:szCs w:val="20"/>
              </w:rPr>
            </w:pPr>
            <w:r w:rsidRPr="00044564">
              <w:rPr>
                <w:b/>
                <w:bCs/>
                <w:color w:val="auto"/>
                <w:sz w:val="20"/>
                <w:szCs w:val="20"/>
              </w:rPr>
              <w:t>Iš viso</w:t>
            </w:r>
            <w:r w:rsidRPr="00044564">
              <w:rPr>
                <w:color w:val="auto"/>
                <w:sz w:val="20"/>
                <w:szCs w:val="20"/>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b/>
                <w:bCs/>
                <w:sz w:val="20"/>
                <w:szCs w:val="20"/>
              </w:rPr>
            </w:pPr>
            <w:r w:rsidRPr="00044564">
              <w:rPr>
                <w:b/>
                <w:bCs/>
                <w:sz w:val="20"/>
                <w:szCs w:val="20"/>
              </w:rPr>
              <w:t>1 487,1</w:t>
            </w:r>
          </w:p>
        </w:tc>
        <w:tc>
          <w:tcPr>
            <w:tcW w:w="1276"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b/>
                <w:bCs/>
                <w:sz w:val="20"/>
                <w:szCs w:val="20"/>
              </w:rPr>
            </w:pPr>
            <w:r w:rsidRPr="00044564">
              <w:rPr>
                <w:b/>
                <w:bCs/>
                <w:sz w:val="20"/>
                <w:szCs w:val="20"/>
              </w:rPr>
              <w:t>1 610,8</w:t>
            </w:r>
          </w:p>
        </w:tc>
        <w:tc>
          <w:tcPr>
            <w:tcW w:w="1275"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b/>
                <w:bCs/>
                <w:sz w:val="20"/>
                <w:szCs w:val="20"/>
              </w:rPr>
            </w:pPr>
            <w:r w:rsidRPr="00044564">
              <w:rPr>
                <w:b/>
                <w:bCs/>
                <w:sz w:val="20"/>
                <w:szCs w:val="20"/>
              </w:rPr>
              <w:t>1 558,9</w:t>
            </w:r>
          </w:p>
        </w:tc>
        <w:tc>
          <w:tcPr>
            <w:tcW w:w="993"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271D12">
            <w:pPr>
              <w:jc w:val="right"/>
              <w:rPr>
                <w:b/>
                <w:bCs/>
                <w:sz w:val="20"/>
                <w:szCs w:val="20"/>
              </w:rPr>
            </w:pPr>
            <w:r w:rsidRPr="00044564">
              <w:rPr>
                <w:b/>
                <w:bCs/>
                <w:sz w:val="20"/>
                <w:szCs w:val="20"/>
              </w:rPr>
              <w:t>71,</w:t>
            </w:r>
            <w:r w:rsidR="00271D12">
              <w:rPr>
                <w:b/>
                <w:bCs/>
                <w:sz w:val="20"/>
                <w:szCs w:val="20"/>
              </w:rPr>
              <w:t>9</w:t>
            </w:r>
          </w:p>
        </w:tc>
        <w:tc>
          <w:tcPr>
            <w:tcW w:w="1275"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b/>
                <w:bCs/>
                <w:sz w:val="20"/>
                <w:szCs w:val="20"/>
              </w:rPr>
            </w:pPr>
            <w:r w:rsidRPr="00044564">
              <w:rPr>
                <w:b/>
                <w:bCs/>
                <w:sz w:val="20"/>
                <w:szCs w:val="20"/>
              </w:rPr>
              <w:t>4,8</w:t>
            </w:r>
          </w:p>
        </w:tc>
        <w:tc>
          <w:tcPr>
            <w:tcW w:w="1134" w:type="dxa"/>
            <w:tcBorders>
              <w:top w:val="nil"/>
              <w:left w:val="nil"/>
              <w:bottom w:val="single" w:sz="4" w:space="0" w:color="auto"/>
              <w:right w:val="single" w:sz="4" w:space="0" w:color="auto"/>
            </w:tcBorders>
            <w:shd w:val="clear" w:color="auto" w:fill="auto"/>
            <w:vAlign w:val="center"/>
            <w:hideMark/>
          </w:tcPr>
          <w:p w:rsidR="00654BFA" w:rsidRPr="00044564" w:rsidRDefault="00654BFA" w:rsidP="00646EFE">
            <w:pPr>
              <w:jc w:val="right"/>
              <w:rPr>
                <w:b/>
                <w:bCs/>
                <w:sz w:val="20"/>
                <w:szCs w:val="20"/>
              </w:rPr>
            </w:pPr>
            <w:r w:rsidRPr="00044564">
              <w:rPr>
                <w:b/>
                <w:bCs/>
                <w:sz w:val="20"/>
                <w:szCs w:val="20"/>
              </w:rPr>
              <w:t>-51,9</w:t>
            </w:r>
          </w:p>
        </w:tc>
        <w:tc>
          <w:tcPr>
            <w:tcW w:w="1082" w:type="dxa"/>
            <w:tcBorders>
              <w:top w:val="nil"/>
              <w:left w:val="nil"/>
              <w:bottom w:val="single" w:sz="4" w:space="0" w:color="auto"/>
              <w:right w:val="single" w:sz="4" w:space="0" w:color="auto"/>
            </w:tcBorders>
            <w:shd w:val="clear" w:color="000000" w:fill="FFFFFF"/>
            <w:vAlign w:val="center"/>
            <w:hideMark/>
          </w:tcPr>
          <w:p w:rsidR="00654BFA" w:rsidRPr="00044564" w:rsidRDefault="00654BFA" w:rsidP="00646EFE">
            <w:pPr>
              <w:jc w:val="right"/>
              <w:rPr>
                <w:b/>
                <w:bCs/>
                <w:sz w:val="20"/>
                <w:szCs w:val="20"/>
              </w:rPr>
            </w:pPr>
            <w:r>
              <w:rPr>
                <w:b/>
                <w:bCs/>
                <w:sz w:val="20"/>
                <w:szCs w:val="20"/>
              </w:rPr>
              <w:t>96,8</w:t>
            </w:r>
          </w:p>
        </w:tc>
      </w:tr>
    </w:tbl>
    <w:p w:rsidR="00654BFA" w:rsidRPr="00044564" w:rsidRDefault="00654BFA" w:rsidP="00654BFA">
      <w:pPr>
        <w:jc w:val="both"/>
        <w:rPr>
          <w:i/>
          <w:color w:val="auto"/>
          <w:sz w:val="20"/>
          <w:szCs w:val="20"/>
        </w:rPr>
      </w:pPr>
      <w:r w:rsidRPr="00044564">
        <w:rPr>
          <w:i/>
          <w:color w:val="auto"/>
          <w:sz w:val="20"/>
          <w:szCs w:val="20"/>
        </w:rPr>
        <w:t>Šaltinis –  Finansų ministerija.</w:t>
      </w:r>
    </w:p>
    <w:p w:rsidR="00654BFA" w:rsidRPr="00DD1578" w:rsidRDefault="00654BFA" w:rsidP="00654BFA">
      <w:pPr>
        <w:ind w:right="16" w:firstLine="720"/>
        <w:jc w:val="both"/>
        <w:rPr>
          <w:rFonts w:eastAsia="SimSun"/>
          <w:b/>
          <w:highlight w:val="yellow"/>
        </w:rPr>
      </w:pPr>
    </w:p>
    <w:p w:rsidR="00654BFA" w:rsidRDefault="00654BFA" w:rsidP="00654BFA">
      <w:pPr>
        <w:ind w:firstLine="567"/>
        <w:jc w:val="both"/>
        <w:rPr>
          <w:color w:val="auto"/>
          <w:szCs w:val="20"/>
        </w:rPr>
      </w:pPr>
      <w:r w:rsidRPr="004B7A4E">
        <w:rPr>
          <w:rFonts w:cs="Calibri"/>
        </w:rPr>
        <w:t xml:space="preserve">Nors pirmuosius tris mėnesius akcizų pajamų planas buvo vykdomas, tačiau dėl COVID-19 viruso plitimo įvestas karantinas ir verslo apribojimai turėjo neigiamą poveikį balandžio–birželio mėn. pajamoms (gauta 61,8 mln. eurų, arba 16 proc. mažiau nei planuota). </w:t>
      </w:r>
      <w:r>
        <w:rPr>
          <w:rFonts w:cs="Calibri"/>
        </w:rPr>
        <w:t>L</w:t>
      </w:r>
      <w:r w:rsidRPr="004B7A4E">
        <w:rPr>
          <w:rFonts w:cs="Calibri"/>
        </w:rPr>
        <w:t xml:space="preserve">iepos–gruodžio mėn. akcizų pajamų gauta 6,7 mln. eurų (0,8 proc.) daugiau nei planuota. </w:t>
      </w:r>
      <w:r>
        <w:rPr>
          <w:color w:val="auto"/>
          <w:szCs w:val="20"/>
        </w:rPr>
        <w:t xml:space="preserve"> </w:t>
      </w:r>
    </w:p>
    <w:p w:rsidR="002E5E01" w:rsidRPr="00382EE7" w:rsidRDefault="002E5E01" w:rsidP="002E5E01">
      <w:pPr>
        <w:widowControl w:val="0"/>
        <w:autoSpaceDE w:val="0"/>
        <w:autoSpaceDN w:val="0"/>
        <w:adjustRightInd w:val="0"/>
        <w:ind w:firstLine="567"/>
        <w:jc w:val="both"/>
        <w:rPr>
          <w:rFonts w:eastAsia="SimSun"/>
          <w:sz w:val="20"/>
          <w:szCs w:val="20"/>
          <w:highlight w:val="yellow"/>
        </w:rPr>
      </w:pPr>
    </w:p>
    <w:p w:rsidR="00654BFA" w:rsidRPr="004B7A4E" w:rsidRDefault="00654BFA" w:rsidP="00654BFA">
      <w:pPr>
        <w:ind w:firstLine="709"/>
        <w:jc w:val="both"/>
      </w:pPr>
      <w:r w:rsidRPr="00683C48">
        <w:rPr>
          <w:b/>
        </w:rPr>
        <w:t>P</w:t>
      </w:r>
      <w:r w:rsidRPr="002614A7">
        <w:rPr>
          <w:b/>
        </w:rPr>
        <w:t>agrindiniai veiksniai, turėję įtakos pajamų iš akcizų surinkimui, yra:</w:t>
      </w:r>
    </w:p>
    <w:p w:rsidR="00654BFA" w:rsidRPr="004B7A4E" w:rsidRDefault="00654BFA" w:rsidP="00654BFA">
      <w:pPr>
        <w:ind w:firstLine="709"/>
        <w:jc w:val="both"/>
      </w:pPr>
    </w:p>
    <w:p w:rsidR="00654BFA" w:rsidRDefault="00654BFA" w:rsidP="00654BFA">
      <w:pPr>
        <w:pStyle w:val="Sraopastraipa"/>
        <w:numPr>
          <w:ilvl w:val="0"/>
          <w:numId w:val="27"/>
        </w:numPr>
        <w:tabs>
          <w:tab w:val="left" w:pos="993"/>
        </w:tabs>
        <w:autoSpaceDE w:val="0"/>
        <w:autoSpaceDN w:val="0"/>
        <w:adjustRightInd w:val="0"/>
        <w:ind w:left="0" w:firstLine="709"/>
        <w:jc w:val="both"/>
      </w:pPr>
      <w:r w:rsidRPr="00E07926">
        <w:rPr>
          <w:rFonts w:eastAsia="Calibri"/>
          <w:bCs/>
        </w:rPr>
        <w:t>Mažesnės nei buvo prognozuota variklių benzino, dyzelinių degalų, suskystintų automobilių dujų bei cigarečių pardavimų didmeninėje rinkoje apimtys</w:t>
      </w:r>
      <w:r w:rsidRPr="00E07926">
        <w:rPr>
          <w:bCs/>
        </w:rPr>
        <w:t>.</w:t>
      </w:r>
      <w:r w:rsidRPr="004B7A4E">
        <w:t xml:space="preserve"> </w:t>
      </w:r>
      <w:r w:rsidRPr="00512FD7">
        <w:t xml:space="preserve">Ypač ženklus neigiamas poveikis pardavimo apimtims buvo </w:t>
      </w:r>
      <w:r w:rsidRPr="00512FD7">
        <w:rPr>
          <w:rFonts w:eastAsia="Calibri"/>
        </w:rPr>
        <w:t xml:space="preserve">įvedus karantiną pavasarį: </w:t>
      </w:r>
      <w:r w:rsidRPr="00512FD7">
        <w:t xml:space="preserve">2020 m. kovo–gegužės mėn., palyginti su 2019 m. kovo–gegužės mėn., benzino </w:t>
      </w:r>
      <w:r w:rsidR="00750477" w:rsidRPr="00512FD7">
        <w:t>pardavimo</w:t>
      </w:r>
      <w:r w:rsidRPr="00512FD7">
        <w:t xml:space="preserve"> apimtys susitraukė </w:t>
      </w:r>
      <w:r w:rsidRPr="004B7A4E">
        <w:t xml:space="preserve">19,6  proc., dyzelinių degalų – 10,9 proc., suskystintų dujų – 25,5 proc., cigarečių – 20,6 proc. Pasibaigus karantinui, benzino ir dyzelinių degalų pardavimai ėmė </w:t>
      </w:r>
      <w:r w:rsidRPr="00512FD7">
        <w:t xml:space="preserve">augti, o cigarečių ir suskystintų dujų – krito nuosaikiau. Dėl lapkričio mėnesį įvesto karantino ženklesnių pokyčių nebuvo stebima: 2020 m. birželio–lapkričio mėn., palyginti su atitinkamu laikotarpiu pernai, benzino pardavimai </w:t>
      </w:r>
      <w:r w:rsidRPr="004B7A4E">
        <w:t xml:space="preserve">didėjo 5 proc., dyzelinių degalų – 3,8 proc.; cigarečių pardavimai mažėjo 0,1 proc., suskystintų dujų – 7,3 proc. Bendram cigarečių pardavimų mažėjimui nagrinėjamu laikotarpiu reikšmingos įtakos taip pat turėjo ir pakaitumą turinčių alternatyvių kaitinamojo tabako produktų populiarumo augimas: nagrinėjamu laikotarpiu jų pardavimai išaugo 1,5 karto, o perskaičiavus augimą vienetais, iš dalies kompensavo kritusią cigarečių pardavimų apimtį. </w:t>
      </w:r>
    </w:p>
    <w:p w:rsidR="00654BFA" w:rsidRDefault="00654BFA" w:rsidP="00654BFA">
      <w:pPr>
        <w:pStyle w:val="Sraopastraipa"/>
        <w:numPr>
          <w:ilvl w:val="0"/>
          <w:numId w:val="27"/>
        </w:numPr>
        <w:tabs>
          <w:tab w:val="left" w:pos="993"/>
        </w:tabs>
        <w:autoSpaceDE w:val="0"/>
        <w:autoSpaceDN w:val="0"/>
        <w:adjustRightInd w:val="0"/>
        <w:ind w:left="0" w:firstLine="709"/>
        <w:jc w:val="both"/>
      </w:pPr>
      <w:r w:rsidRPr="00E07926">
        <w:rPr>
          <w:bCs/>
        </w:rPr>
        <w:t>COVID-19 paveiktų mokesčių mokėtojų sprendimai atidėti akcizų mokėjimus.</w:t>
      </w:r>
      <w:r w:rsidRPr="004B7A4E">
        <w:t xml:space="preserve"> Mokesčių mokėtojų, kuriems buvo suteikta galimybė atidėti </w:t>
      </w:r>
      <w:r>
        <w:t xml:space="preserve">VMI administruojamų </w:t>
      </w:r>
      <w:r w:rsidRPr="004B7A4E">
        <w:t>akcizų prievolių, susidariusių nuo 2020 m. kovo 16 d. iki gruodžio 31 d., mokėjimus be delspinigių ir neatliekant išieškojimo veiksmų, šio mokesčio atidėjimai 2021 m. sausio 1 d. sudarė 24,4 mln. eurų.</w:t>
      </w:r>
    </w:p>
    <w:p w:rsidR="00654BFA" w:rsidRPr="004B7A4E" w:rsidRDefault="00654BFA" w:rsidP="00654BFA">
      <w:pPr>
        <w:pStyle w:val="Sraopastraipa"/>
        <w:numPr>
          <w:ilvl w:val="0"/>
          <w:numId w:val="27"/>
        </w:numPr>
        <w:tabs>
          <w:tab w:val="left" w:pos="993"/>
        </w:tabs>
        <w:autoSpaceDE w:val="0"/>
        <w:autoSpaceDN w:val="0"/>
        <w:adjustRightInd w:val="0"/>
        <w:ind w:left="0" w:firstLine="709"/>
        <w:jc w:val="both"/>
      </w:pPr>
      <w:r w:rsidRPr="00E07926">
        <w:rPr>
          <w:rFonts w:eastAsia="Calibri"/>
          <w:bCs/>
        </w:rPr>
        <w:t>Didesni akcizų tarifai ir pardavimai. Nagrinėjamu</w:t>
      </w:r>
      <w:r w:rsidRPr="00044564">
        <w:rPr>
          <w:rFonts w:eastAsia="Calibri"/>
        </w:rPr>
        <w:t xml:space="preserve"> laikotarpiu pajamų iš akcizų surinkimui teigiamos įtakos turėjo </w:t>
      </w:r>
      <w:r w:rsidRPr="004B7A4E">
        <w:t xml:space="preserve">padidinti akcizų tarifai benzinui, dyzeliniams degalams, žemės ūkyje naudojamam žymėtam dyzelinui (nuo 2020 m. sausio 1 d.), tabako produktams ir etilo alkoholiui (nuo 2020 m. kovo 1 d.) bei </w:t>
      </w:r>
      <w:r w:rsidRPr="00044564">
        <w:rPr>
          <w:rFonts w:eastAsia="Calibri"/>
        </w:rPr>
        <w:t xml:space="preserve">2019 m. gruodžio mėn.–2020 m. lapkričio mėn., palyginti su 2018 m. gruodžio mėn.–2019 m. lapkričio mėn., augę vyno ir kitų fermentuotų gėrimų, etilo alkoholio, cigarų ir cigarilių, rūkomojo tabako ir kaitinamojo tabako produktų, elektroninių cigarečių skysčio, dyzelino, žemės ūkyje naudojamo žymėto dyzelino pardavimai didmeninėje rinkoje. </w:t>
      </w:r>
    </w:p>
    <w:p w:rsidR="00654BFA" w:rsidRDefault="00654BFA" w:rsidP="008E1C9F">
      <w:pPr>
        <w:spacing w:line="276" w:lineRule="auto"/>
        <w:rPr>
          <w:rFonts w:eastAsia="Calibri"/>
          <w:b/>
        </w:rPr>
      </w:pPr>
    </w:p>
    <w:p w:rsidR="00654BFA" w:rsidRPr="004B7A4E" w:rsidRDefault="00654BFA" w:rsidP="00654BFA">
      <w:pPr>
        <w:spacing w:line="276" w:lineRule="auto"/>
        <w:rPr>
          <w:rFonts w:eastAsia="Calibri"/>
        </w:rPr>
      </w:pPr>
      <w:r>
        <w:rPr>
          <w:rFonts w:eastAsia="Calibri"/>
          <w:b/>
          <w:shd w:val="clear" w:color="auto" w:fill="FFFFFF" w:themeFill="background1"/>
        </w:rPr>
        <w:t>6</w:t>
      </w:r>
      <w:r w:rsidRPr="004B7A4E">
        <w:rPr>
          <w:rFonts w:eastAsia="Calibri"/>
          <w:b/>
          <w:shd w:val="clear" w:color="auto" w:fill="FFFFFF" w:themeFill="background1"/>
        </w:rPr>
        <w:t xml:space="preserve"> lentelė. </w:t>
      </w:r>
      <w:r w:rsidRPr="004B7A4E">
        <w:rPr>
          <w:rFonts w:eastAsia="Calibri"/>
          <w:shd w:val="clear" w:color="auto" w:fill="FFFFFF" w:themeFill="background1"/>
        </w:rPr>
        <w:t>Pa</w:t>
      </w:r>
      <w:r w:rsidRPr="004B7A4E">
        <w:rPr>
          <w:rFonts w:eastAsia="Calibri"/>
        </w:rPr>
        <w:t>jamų iš akcizų surinkimas pagal akcizais apmokestinamų prekių grupes, mln. eurų</w:t>
      </w:r>
    </w:p>
    <w:tbl>
      <w:tblPr>
        <w:tblW w:w="9488" w:type="dxa"/>
        <w:tblInd w:w="108" w:type="dxa"/>
        <w:tblLayout w:type="fixed"/>
        <w:tblLook w:val="04A0" w:firstRow="1" w:lastRow="0" w:firstColumn="1" w:lastColumn="0" w:noHBand="0" w:noVBand="1"/>
      </w:tblPr>
      <w:tblGrid>
        <w:gridCol w:w="3969"/>
        <w:gridCol w:w="1701"/>
        <w:gridCol w:w="1560"/>
        <w:gridCol w:w="1173"/>
        <w:gridCol w:w="1085"/>
      </w:tblGrid>
      <w:tr w:rsidR="00654BFA" w:rsidRPr="004B7A4E" w:rsidTr="00646EFE">
        <w:trPr>
          <w:trHeight w:val="419"/>
          <w:tblHeader/>
        </w:trPr>
        <w:tc>
          <w:tcPr>
            <w:tcW w:w="3969" w:type="dxa"/>
            <w:vMerge w:val="restart"/>
            <w:tcBorders>
              <w:top w:val="single" w:sz="8" w:space="0" w:color="auto"/>
              <w:left w:val="single" w:sz="8" w:space="0" w:color="auto"/>
              <w:bottom w:val="single" w:sz="8" w:space="0" w:color="000000"/>
              <w:right w:val="single" w:sz="8" w:space="0" w:color="auto"/>
            </w:tcBorders>
            <w:vAlign w:val="center"/>
            <w:hideMark/>
          </w:tcPr>
          <w:p w:rsidR="00654BFA" w:rsidRPr="004B7A4E" w:rsidRDefault="00654BFA" w:rsidP="00646EFE">
            <w:pPr>
              <w:spacing w:line="276" w:lineRule="auto"/>
              <w:ind w:left="34" w:hanging="34"/>
              <w:rPr>
                <w:sz w:val="20"/>
              </w:rPr>
            </w:pPr>
            <w:r w:rsidRPr="004B7A4E">
              <w:rPr>
                <w:sz w:val="20"/>
              </w:rPr>
              <w:t>Akci</w:t>
            </w:r>
            <w:r>
              <w:rPr>
                <w:sz w:val="20"/>
              </w:rPr>
              <w:t>zais apmokestinamų prekių grupė</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rsidR="00654BFA" w:rsidRPr="004B7A4E" w:rsidRDefault="00654BFA" w:rsidP="00646EFE">
            <w:pPr>
              <w:spacing w:line="276" w:lineRule="auto"/>
              <w:jc w:val="center"/>
              <w:rPr>
                <w:b/>
                <w:sz w:val="20"/>
              </w:rPr>
            </w:pPr>
            <w:r w:rsidRPr="004B7A4E">
              <w:rPr>
                <w:b/>
                <w:sz w:val="20"/>
              </w:rPr>
              <w:t>2019 m. faktas</w:t>
            </w:r>
          </w:p>
        </w:tc>
        <w:tc>
          <w:tcPr>
            <w:tcW w:w="1560" w:type="dxa"/>
            <w:vMerge w:val="restart"/>
            <w:tcBorders>
              <w:top w:val="single" w:sz="8" w:space="0" w:color="auto"/>
              <w:left w:val="single" w:sz="8" w:space="0" w:color="auto"/>
              <w:bottom w:val="single" w:sz="8" w:space="0" w:color="000000"/>
              <w:right w:val="single" w:sz="8" w:space="0" w:color="auto"/>
            </w:tcBorders>
            <w:vAlign w:val="center"/>
            <w:hideMark/>
          </w:tcPr>
          <w:p w:rsidR="00654BFA" w:rsidRPr="004B7A4E" w:rsidRDefault="00654BFA" w:rsidP="00646EFE">
            <w:pPr>
              <w:spacing w:line="276" w:lineRule="auto"/>
              <w:jc w:val="center"/>
              <w:rPr>
                <w:b/>
                <w:sz w:val="20"/>
              </w:rPr>
            </w:pPr>
            <w:r w:rsidRPr="004B7A4E">
              <w:rPr>
                <w:b/>
                <w:sz w:val="20"/>
              </w:rPr>
              <w:t xml:space="preserve">2020 m. faktas </w:t>
            </w:r>
          </w:p>
        </w:tc>
        <w:tc>
          <w:tcPr>
            <w:tcW w:w="2258" w:type="dxa"/>
            <w:gridSpan w:val="2"/>
            <w:tcBorders>
              <w:top w:val="single" w:sz="8" w:space="0" w:color="auto"/>
              <w:left w:val="nil"/>
              <w:bottom w:val="single" w:sz="8" w:space="0" w:color="auto"/>
              <w:right w:val="single" w:sz="8" w:space="0" w:color="000000"/>
            </w:tcBorders>
            <w:vAlign w:val="center"/>
            <w:hideMark/>
          </w:tcPr>
          <w:p w:rsidR="00654BFA" w:rsidRPr="004B7A4E" w:rsidRDefault="00654BFA" w:rsidP="00646EFE">
            <w:pPr>
              <w:spacing w:line="276" w:lineRule="auto"/>
              <w:jc w:val="center"/>
              <w:rPr>
                <w:rFonts w:eastAsia="Calibri"/>
                <w:b/>
                <w:bCs/>
                <w:sz w:val="20"/>
              </w:rPr>
            </w:pPr>
            <w:r w:rsidRPr="004B7A4E">
              <w:rPr>
                <w:rFonts w:eastAsia="Calibri"/>
                <w:b/>
                <w:bCs/>
                <w:sz w:val="20"/>
              </w:rPr>
              <w:t>Fakto pokytis</w:t>
            </w:r>
          </w:p>
        </w:tc>
      </w:tr>
      <w:tr w:rsidR="00654BFA" w:rsidRPr="004B7A4E" w:rsidTr="00646EFE">
        <w:trPr>
          <w:trHeight w:val="60"/>
          <w:tblHeader/>
        </w:trPr>
        <w:tc>
          <w:tcPr>
            <w:tcW w:w="3969" w:type="dxa"/>
            <w:vMerge/>
            <w:tcBorders>
              <w:top w:val="single" w:sz="8" w:space="0" w:color="auto"/>
              <w:left w:val="single" w:sz="8" w:space="0" w:color="auto"/>
              <w:bottom w:val="single" w:sz="8" w:space="0" w:color="000000"/>
              <w:right w:val="single" w:sz="8" w:space="0" w:color="auto"/>
            </w:tcBorders>
            <w:vAlign w:val="center"/>
            <w:hideMark/>
          </w:tcPr>
          <w:p w:rsidR="00654BFA" w:rsidRPr="004B7A4E" w:rsidRDefault="00654BFA" w:rsidP="00646EFE">
            <w:pPr>
              <w:spacing w:line="276" w:lineRule="auto"/>
              <w:rPr>
                <w:sz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654BFA" w:rsidRPr="004B7A4E" w:rsidRDefault="00654BFA" w:rsidP="00646EFE">
            <w:pPr>
              <w:spacing w:line="276" w:lineRule="auto"/>
              <w:rPr>
                <w:b/>
                <w:sz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654BFA" w:rsidRPr="004B7A4E" w:rsidRDefault="00654BFA" w:rsidP="00646EFE">
            <w:pPr>
              <w:spacing w:line="276" w:lineRule="auto"/>
              <w:rPr>
                <w:b/>
                <w:sz w:val="20"/>
              </w:rPr>
            </w:pP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spacing w:line="276" w:lineRule="auto"/>
              <w:jc w:val="center"/>
              <w:rPr>
                <w:sz w:val="20"/>
              </w:rPr>
            </w:pPr>
            <w:r w:rsidRPr="004B7A4E">
              <w:rPr>
                <w:rFonts w:eastAsia="Calibri"/>
                <w:b/>
                <w:sz w:val="20"/>
              </w:rPr>
              <w:t>+ / -</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spacing w:line="276" w:lineRule="auto"/>
              <w:jc w:val="center"/>
              <w:rPr>
                <w:rFonts w:eastAsia="Calibri"/>
                <w:b/>
                <w:bCs/>
                <w:sz w:val="20"/>
              </w:rPr>
            </w:pPr>
            <w:r w:rsidRPr="004B7A4E">
              <w:rPr>
                <w:rFonts w:eastAsia="Calibri"/>
                <w:b/>
                <w:bCs/>
                <w:sz w:val="20"/>
              </w:rPr>
              <w:t>%</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
                <w:bCs/>
                <w:sz w:val="20"/>
              </w:rPr>
            </w:pPr>
            <w:r w:rsidRPr="004B7A4E">
              <w:rPr>
                <w:b/>
                <w:bCs/>
                <w:sz w:val="20"/>
              </w:rPr>
              <w:t xml:space="preserve">IŠ VISO AKCIZŲ, </w:t>
            </w:r>
            <w:r w:rsidRPr="004B7A4E">
              <w:rPr>
                <w:bCs/>
                <w:sz w:val="20"/>
              </w:rPr>
              <w:t>iš jų:</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1 487,1</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1 558,9</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71,9</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4,8</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
                <w:bCs/>
                <w:sz w:val="20"/>
              </w:rPr>
            </w:pPr>
            <w:r w:rsidRPr="004B7A4E">
              <w:rPr>
                <w:b/>
                <w:bCs/>
                <w:sz w:val="20"/>
              </w:rPr>
              <w:t xml:space="preserve">už etilo alkoholį ir alkoholinius gėrimus, </w:t>
            </w:r>
            <w:r w:rsidRPr="004B7A4E">
              <w:rPr>
                <w:bCs/>
                <w:sz w:val="20"/>
              </w:rPr>
              <w:t>iš jų:</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362,7</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384,0</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21,3</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5,9</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vyną ir kitus fermentuotus gėrimus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40,2</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43,2</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3,0</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7,4</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lastRenderedPageBreak/>
              <w:t>už tarpinius produktus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7,5</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6,8</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-0,7</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-9,3</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etilo alkoholį</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214,5</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235,6</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21,1</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9,8</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alų</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100,4</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98,4</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-2,0</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-2,0</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
                <w:bCs/>
                <w:sz w:val="20"/>
              </w:rPr>
            </w:pPr>
            <w:r w:rsidRPr="004B7A4E">
              <w:rPr>
                <w:b/>
                <w:bCs/>
                <w:sz w:val="20"/>
              </w:rPr>
              <w:t xml:space="preserve">už apdorotą tabaką ir </w:t>
            </w:r>
          </w:p>
          <w:p w:rsidR="00654BFA" w:rsidRPr="004B7A4E" w:rsidRDefault="00654BFA" w:rsidP="00646EFE">
            <w:pPr>
              <w:spacing w:line="276" w:lineRule="auto"/>
              <w:rPr>
                <w:b/>
                <w:bCs/>
                <w:sz w:val="20"/>
              </w:rPr>
            </w:pPr>
            <w:r w:rsidRPr="004B7A4E">
              <w:rPr>
                <w:b/>
                <w:bCs/>
                <w:sz w:val="20"/>
              </w:rPr>
              <w:t xml:space="preserve">už kaitinamojo tabako produktus*, </w:t>
            </w:r>
            <w:r w:rsidRPr="004B7A4E">
              <w:rPr>
                <w:bCs/>
                <w:sz w:val="20"/>
              </w:rPr>
              <w:t>iš jų:</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295,9</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307,0</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11,1</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3,7</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cigaretes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279,0</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275,4</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-3,7</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-1,3</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cigarus ir cigariles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3,5</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4,9</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1,4</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40,1</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Cs/>
                <w:sz w:val="20"/>
              </w:rPr>
            </w:pPr>
            <w:r w:rsidRPr="004B7A4E">
              <w:rPr>
                <w:bCs/>
                <w:sz w:val="20"/>
              </w:rPr>
              <w:t xml:space="preserve">už rūkomąjį tabaką ir </w:t>
            </w:r>
          </w:p>
          <w:p w:rsidR="00654BFA" w:rsidRPr="004B7A4E" w:rsidRDefault="00654BFA" w:rsidP="00646EFE">
            <w:pPr>
              <w:spacing w:line="276" w:lineRule="auto"/>
              <w:rPr>
                <w:bCs/>
                <w:sz w:val="20"/>
              </w:rPr>
            </w:pPr>
            <w:r w:rsidRPr="004B7A4E">
              <w:rPr>
                <w:bCs/>
                <w:sz w:val="20"/>
              </w:rPr>
              <w:t>už kaitinamojo tabako produktus*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13,4</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26,8</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13,4</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99,9</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
                <w:bCs/>
                <w:sz w:val="20"/>
              </w:rPr>
            </w:pPr>
            <w:r w:rsidRPr="004B7A4E">
              <w:rPr>
                <w:b/>
                <w:bCs/>
                <w:sz w:val="20"/>
              </w:rPr>
              <w:t>už elektroninių cigarečių skystį</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0,8**</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1,3</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0,4***</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 </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
                <w:bCs/>
                <w:sz w:val="20"/>
              </w:rPr>
            </w:pPr>
            <w:r w:rsidRPr="004B7A4E">
              <w:rPr>
                <w:b/>
                <w:bCs/>
                <w:sz w:val="20"/>
              </w:rPr>
              <w:t xml:space="preserve">už energinius produktus, </w:t>
            </w:r>
            <w:r w:rsidRPr="004B7A4E">
              <w:rPr>
                <w:bCs/>
                <w:sz w:val="20"/>
              </w:rPr>
              <w:t>iš jų:</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825,9</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865,1</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39,2</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4,7</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variklių benziną, jo pakaitalus ir priedus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144,5</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153,9</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9,3</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6,5</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gazolius, jų pakaitalus ir priedus (įskaitant žemės ūkio veikloje naudojamus gazolius)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648,6</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683,9</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35,3</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5,4</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suskystintas dujas, skirtas automobiliams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26,7</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21,6</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-5,1</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-19,2</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sz w:val="20"/>
              </w:rPr>
            </w:pPr>
            <w:r w:rsidRPr="004B7A4E">
              <w:rPr>
                <w:sz w:val="20"/>
              </w:rPr>
              <w:t>už kitus energinius produktus</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6,0</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5,7</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-0,3</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sz w:val="20"/>
              </w:rPr>
            </w:pPr>
            <w:r w:rsidRPr="004B7A4E">
              <w:rPr>
                <w:sz w:val="20"/>
              </w:rPr>
              <w:t>-4,4</w:t>
            </w:r>
          </w:p>
        </w:tc>
      </w:tr>
      <w:tr w:rsidR="00654BFA" w:rsidRPr="004B7A4E" w:rsidTr="00646EFE">
        <w:trPr>
          <w:trHeight w:val="227"/>
        </w:trPr>
        <w:tc>
          <w:tcPr>
            <w:tcW w:w="3969" w:type="dxa"/>
            <w:tcBorders>
              <w:top w:val="nil"/>
              <w:left w:val="single" w:sz="8" w:space="0" w:color="auto"/>
              <w:bottom w:val="single" w:sz="8" w:space="0" w:color="auto"/>
              <w:right w:val="single" w:sz="8" w:space="0" w:color="auto"/>
            </w:tcBorders>
            <w:vAlign w:val="center"/>
            <w:hideMark/>
          </w:tcPr>
          <w:p w:rsidR="00654BFA" w:rsidRPr="004B7A4E" w:rsidRDefault="00654BFA" w:rsidP="00646EFE">
            <w:pPr>
              <w:spacing w:line="276" w:lineRule="auto"/>
              <w:rPr>
                <w:b/>
                <w:bCs/>
                <w:sz w:val="20"/>
              </w:rPr>
            </w:pPr>
            <w:r w:rsidRPr="004B7A4E">
              <w:rPr>
                <w:b/>
                <w:bCs/>
                <w:sz w:val="20"/>
              </w:rPr>
              <w:t>už elektros energiją</w:t>
            </w:r>
          </w:p>
        </w:tc>
        <w:tc>
          <w:tcPr>
            <w:tcW w:w="1701"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1,8</w:t>
            </w:r>
          </w:p>
        </w:tc>
        <w:tc>
          <w:tcPr>
            <w:tcW w:w="1560"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1,5</w:t>
            </w:r>
          </w:p>
        </w:tc>
        <w:tc>
          <w:tcPr>
            <w:tcW w:w="1173"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-0,2</w:t>
            </w:r>
          </w:p>
        </w:tc>
        <w:tc>
          <w:tcPr>
            <w:tcW w:w="1085" w:type="dxa"/>
            <w:tcBorders>
              <w:top w:val="nil"/>
              <w:left w:val="nil"/>
              <w:bottom w:val="single" w:sz="8" w:space="0" w:color="auto"/>
              <w:right w:val="single" w:sz="8" w:space="0" w:color="auto"/>
            </w:tcBorders>
            <w:vAlign w:val="center"/>
            <w:hideMark/>
          </w:tcPr>
          <w:p w:rsidR="00654BFA" w:rsidRPr="004B7A4E" w:rsidRDefault="00654BFA" w:rsidP="00646EFE">
            <w:pPr>
              <w:jc w:val="right"/>
              <w:rPr>
                <w:b/>
                <w:bCs/>
                <w:sz w:val="20"/>
              </w:rPr>
            </w:pPr>
            <w:r w:rsidRPr="004B7A4E">
              <w:rPr>
                <w:b/>
                <w:bCs/>
                <w:sz w:val="20"/>
              </w:rPr>
              <w:t>-12,9</w:t>
            </w:r>
          </w:p>
        </w:tc>
      </w:tr>
    </w:tbl>
    <w:p w:rsidR="00654BFA" w:rsidRPr="004B7A4E" w:rsidRDefault="00654BFA" w:rsidP="00654BFA">
      <w:pPr>
        <w:jc w:val="both"/>
        <w:rPr>
          <w:sz w:val="18"/>
          <w:szCs w:val="18"/>
        </w:rPr>
      </w:pPr>
      <w:r w:rsidRPr="004B7A4E">
        <w:rPr>
          <w:rFonts w:eastAsia="SimSun"/>
          <w:i/>
          <w:sz w:val="18"/>
          <w:szCs w:val="18"/>
        </w:rPr>
        <w:t>Šaltinis – Finansų ministerija (suvestiniai VMI ir muitinės duomenys).</w:t>
      </w:r>
    </w:p>
    <w:p w:rsidR="00654BFA" w:rsidRPr="004B7A4E" w:rsidRDefault="00654BFA" w:rsidP="00654BFA">
      <w:pPr>
        <w:pStyle w:val="Sraopastraipa"/>
        <w:spacing w:line="276" w:lineRule="auto"/>
        <w:ind w:left="0"/>
        <w:rPr>
          <w:rFonts w:eastAsia="SimSun"/>
          <w:i/>
          <w:sz w:val="18"/>
          <w:szCs w:val="18"/>
        </w:rPr>
      </w:pPr>
      <w:r w:rsidRPr="004B7A4E">
        <w:rPr>
          <w:rFonts w:eastAsia="SimSun"/>
          <w:i/>
          <w:sz w:val="18"/>
          <w:szCs w:val="18"/>
        </w:rPr>
        <w:t>*Nuo 2019 m. kovo 1 d. įsigaliojusiomis Akcizų įstatymo pataisomis kaitinamojo tabako produktai išskirti  kaip atskira akcizinių prekių grupė (iki tol buvo priskirti apdoroto tabako grupei priklausančiam rūkomajam tabakui).</w:t>
      </w:r>
    </w:p>
    <w:p w:rsidR="00654BFA" w:rsidRPr="004B7A4E" w:rsidRDefault="00654BFA" w:rsidP="00654BFA">
      <w:pPr>
        <w:pStyle w:val="Sraopastraipa"/>
        <w:spacing w:line="276" w:lineRule="auto"/>
        <w:ind w:left="0"/>
        <w:rPr>
          <w:rFonts w:eastAsia="SimSun"/>
          <w:i/>
          <w:sz w:val="18"/>
          <w:szCs w:val="18"/>
        </w:rPr>
      </w:pPr>
      <w:r w:rsidRPr="004B7A4E">
        <w:rPr>
          <w:rFonts w:eastAsia="SimSun"/>
          <w:i/>
          <w:sz w:val="18"/>
          <w:szCs w:val="18"/>
        </w:rPr>
        <w:t xml:space="preserve">**Duomenys apima 2019 m. balandžio-gruodžio mėn. laikotarpį. </w:t>
      </w:r>
    </w:p>
    <w:p w:rsidR="00654BFA" w:rsidRPr="004B7A4E" w:rsidRDefault="00654BFA" w:rsidP="00654BFA">
      <w:pPr>
        <w:pStyle w:val="Sraopastraipa"/>
        <w:spacing w:line="276" w:lineRule="auto"/>
        <w:ind w:left="0"/>
        <w:rPr>
          <w:rFonts w:eastAsia="SimSun"/>
          <w:i/>
          <w:sz w:val="18"/>
          <w:szCs w:val="18"/>
        </w:rPr>
      </w:pPr>
      <w:r w:rsidRPr="004B7A4E">
        <w:rPr>
          <w:rFonts w:eastAsia="SimSun"/>
          <w:i/>
          <w:sz w:val="18"/>
          <w:szCs w:val="18"/>
        </w:rPr>
        <w:t>**</w:t>
      </w:r>
      <w:r>
        <w:rPr>
          <w:rFonts w:eastAsia="SimSun"/>
          <w:i/>
          <w:sz w:val="18"/>
          <w:szCs w:val="18"/>
        </w:rPr>
        <w:t xml:space="preserve">*2020 m. balandžio-gruodžio mėn. </w:t>
      </w:r>
      <w:r w:rsidRPr="004B7A4E">
        <w:rPr>
          <w:rFonts w:eastAsia="SimSun"/>
          <w:i/>
          <w:sz w:val="18"/>
          <w:szCs w:val="18"/>
        </w:rPr>
        <w:t xml:space="preserve"> palyginti su atitinkamu laikotarpiu 2019 m., pajamų gauta 0,2 mln. eurų daugiau.</w:t>
      </w:r>
    </w:p>
    <w:p w:rsidR="00654BFA" w:rsidRPr="004B7A4E" w:rsidRDefault="00654BFA" w:rsidP="00654BFA">
      <w:pPr>
        <w:spacing w:line="276" w:lineRule="auto"/>
        <w:ind w:left="426"/>
        <w:rPr>
          <w:rFonts w:eastAsia="SimSun"/>
          <w:i/>
          <w:sz w:val="18"/>
          <w:szCs w:val="18"/>
        </w:rPr>
      </w:pPr>
      <w:r w:rsidRPr="004B7A4E">
        <w:rPr>
          <w:rFonts w:eastAsia="SimSun"/>
          <w:i/>
          <w:sz w:val="18"/>
          <w:szCs w:val="18"/>
        </w:rPr>
        <w:t xml:space="preserve"> </w:t>
      </w:r>
    </w:p>
    <w:p w:rsidR="00654BFA" w:rsidRPr="004B7A4E" w:rsidRDefault="00654BFA" w:rsidP="00654BFA">
      <w:pPr>
        <w:spacing w:line="276" w:lineRule="auto"/>
      </w:pPr>
      <w:r>
        <w:rPr>
          <w:b/>
          <w:shd w:val="clear" w:color="auto" w:fill="FFFFFF" w:themeFill="background1"/>
        </w:rPr>
        <w:t>7</w:t>
      </w:r>
      <w:r w:rsidRPr="004B7A4E">
        <w:rPr>
          <w:b/>
          <w:shd w:val="clear" w:color="auto" w:fill="FFFFFF" w:themeFill="background1"/>
        </w:rPr>
        <w:t xml:space="preserve"> lentelė.</w:t>
      </w:r>
      <w:r w:rsidRPr="004B7A4E">
        <w:t xml:space="preserve"> Akcizais apmokestinamų prekių pardavimai </w:t>
      </w:r>
    </w:p>
    <w:tbl>
      <w:tblPr>
        <w:tblW w:w="9669" w:type="dxa"/>
        <w:tblInd w:w="108" w:type="dxa"/>
        <w:tblLayout w:type="fixed"/>
        <w:tblLook w:val="04A0" w:firstRow="1" w:lastRow="0" w:firstColumn="1" w:lastColumn="0" w:noHBand="0" w:noVBand="1"/>
      </w:tblPr>
      <w:tblGrid>
        <w:gridCol w:w="2763"/>
        <w:gridCol w:w="1842"/>
        <w:gridCol w:w="1534"/>
        <w:gridCol w:w="1544"/>
        <w:gridCol w:w="963"/>
        <w:gridCol w:w="1023"/>
      </w:tblGrid>
      <w:tr w:rsidR="00654BFA" w:rsidRPr="004B7A4E" w:rsidTr="00646EFE">
        <w:trPr>
          <w:trHeight w:val="292"/>
          <w:tblHeader/>
        </w:trPr>
        <w:tc>
          <w:tcPr>
            <w:tcW w:w="2763" w:type="dxa"/>
            <w:vMerge w:val="restart"/>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rPr>
                <w:b/>
                <w:sz w:val="20"/>
              </w:rPr>
            </w:pPr>
            <w:r w:rsidRPr="004B7A4E">
              <w:rPr>
                <w:sz w:val="20"/>
              </w:rPr>
              <w:t>Akci</w:t>
            </w:r>
            <w:r>
              <w:rPr>
                <w:sz w:val="20"/>
              </w:rPr>
              <w:t>zais apmokestinamų prekių grupė</w:t>
            </w:r>
          </w:p>
        </w:tc>
        <w:tc>
          <w:tcPr>
            <w:tcW w:w="1842" w:type="dxa"/>
            <w:vMerge w:val="restart"/>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jc w:val="center"/>
              <w:rPr>
                <w:b/>
                <w:sz w:val="20"/>
              </w:rPr>
            </w:pPr>
            <w:r w:rsidRPr="004B7A4E">
              <w:rPr>
                <w:b/>
                <w:sz w:val="20"/>
              </w:rPr>
              <w:t>Mato vienetai</w:t>
            </w:r>
          </w:p>
        </w:tc>
        <w:tc>
          <w:tcPr>
            <w:tcW w:w="1534" w:type="dxa"/>
            <w:vMerge w:val="restart"/>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jc w:val="center"/>
              <w:rPr>
                <w:b/>
                <w:sz w:val="20"/>
              </w:rPr>
            </w:pPr>
            <w:r w:rsidRPr="004B7A4E">
              <w:rPr>
                <w:b/>
                <w:sz w:val="20"/>
              </w:rPr>
              <w:t>2018 m.  gruodžio mėn.-2019 m. lapkričio mėn.</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jc w:val="center"/>
              <w:rPr>
                <w:b/>
                <w:sz w:val="20"/>
              </w:rPr>
            </w:pPr>
            <w:r w:rsidRPr="004B7A4E">
              <w:rPr>
                <w:b/>
                <w:sz w:val="20"/>
              </w:rPr>
              <w:t xml:space="preserve">2019 m. gruodžio mėn.-2020 m. lapkričio mėn. </w:t>
            </w:r>
          </w:p>
        </w:tc>
        <w:tc>
          <w:tcPr>
            <w:tcW w:w="1986" w:type="dxa"/>
            <w:gridSpan w:val="2"/>
            <w:tcBorders>
              <w:top w:val="single" w:sz="4" w:space="0" w:color="auto"/>
              <w:left w:val="nil"/>
              <w:bottom w:val="single" w:sz="4" w:space="0" w:color="auto"/>
              <w:right w:val="single" w:sz="4" w:space="0" w:color="auto"/>
            </w:tcBorders>
            <w:vAlign w:val="center"/>
            <w:hideMark/>
          </w:tcPr>
          <w:p w:rsidR="00654BFA" w:rsidRPr="004B7A4E" w:rsidRDefault="00654BFA" w:rsidP="00646EFE">
            <w:pPr>
              <w:spacing w:line="276" w:lineRule="auto"/>
              <w:jc w:val="center"/>
              <w:rPr>
                <w:b/>
                <w:bCs/>
                <w:sz w:val="20"/>
              </w:rPr>
            </w:pPr>
            <w:r w:rsidRPr="004B7A4E">
              <w:rPr>
                <w:b/>
                <w:bCs/>
                <w:sz w:val="20"/>
              </w:rPr>
              <w:t>Pokytis</w:t>
            </w:r>
          </w:p>
        </w:tc>
      </w:tr>
      <w:tr w:rsidR="00654BFA" w:rsidRPr="004B7A4E" w:rsidTr="00646EFE">
        <w:trPr>
          <w:trHeight w:val="413"/>
          <w:tblHeader/>
        </w:trPr>
        <w:tc>
          <w:tcPr>
            <w:tcW w:w="2763" w:type="dxa"/>
            <w:vMerge/>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rPr>
                <w:b/>
                <w:sz w:val="2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rPr>
                <w:b/>
                <w:sz w:val="20"/>
              </w:rPr>
            </w:pPr>
          </w:p>
        </w:tc>
        <w:tc>
          <w:tcPr>
            <w:tcW w:w="1534" w:type="dxa"/>
            <w:vMerge/>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rPr>
                <w:b/>
                <w:sz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rsidR="00654BFA" w:rsidRPr="004B7A4E" w:rsidRDefault="00654BFA" w:rsidP="00646EFE">
            <w:pPr>
              <w:spacing w:line="276" w:lineRule="auto"/>
              <w:rPr>
                <w:b/>
                <w:sz w:val="20"/>
              </w:rPr>
            </w:pPr>
          </w:p>
        </w:tc>
        <w:tc>
          <w:tcPr>
            <w:tcW w:w="963" w:type="dxa"/>
            <w:tcBorders>
              <w:top w:val="nil"/>
              <w:left w:val="nil"/>
              <w:bottom w:val="single" w:sz="4" w:space="0" w:color="auto"/>
              <w:right w:val="single" w:sz="4" w:space="0" w:color="auto"/>
            </w:tcBorders>
            <w:vAlign w:val="center"/>
            <w:hideMark/>
          </w:tcPr>
          <w:p w:rsidR="00654BFA" w:rsidRPr="004B7A4E" w:rsidRDefault="00654BFA" w:rsidP="00646EFE">
            <w:pPr>
              <w:spacing w:line="276" w:lineRule="auto"/>
              <w:jc w:val="center"/>
              <w:rPr>
                <w:b/>
                <w:sz w:val="20"/>
              </w:rPr>
            </w:pPr>
            <w:r w:rsidRPr="004B7A4E">
              <w:rPr>
                <w:rFonts w:eastAsia="Calibri"/>
                <w:b/>
                <w:sz w:val="20"/>
              </w:rPr>
              <w:t>+ / -</w:t>
            </w:r>
          </w:p>
        </w:tc>
        <w:tc>
          <w:tcPr>
            <w:tcW w:w="1023" w:type="dxa"/>
            <w:tcBorders>
              <w:top w:val="nil"/>
              <w:left w:val="nil"/>
              <w:bottom w:val="single" w:sz="4" w:space="0" w:color="auto"/>
              <w:right w:val="single" w:sz="4" w:space="0" w:color="auto"/>
            </w:tcBorders>
            <w:vAlign w:val="center"/>
            <w:hideMark/>
          </w:tcPr>
          <w:p w:rsidR="00654BFA" w:rsidRPr="004B7A4E" w:rsidRDefault="00654BFA" w:rsidP="00646EFE">
            <w:pPr>
              <w:spacing w:line="276" w:lineRule="auto"/>
              <w:jc w:val="center"/>
              <w:rPr>
                <w:b/>
                <w:sz w:val="20"/>
              </w:rPr>
            </w:pPr>
            <w:r w:rsidRPr="004B7A4E">
              <w:rPr>
                <w:b/>
                <w:sz w:val="20"/>
              </w:rPr>
              <w:t>%</w:t>
            </w:r>
          </w:p>
        </w:tc>
      </w:tr>
      <w:tr w:rsidR="00654BFA" w:rsidRPr="004B7A4E" w:rsidTr="00646EFE">
        <w:trPr>
          <w:trHeight w:val="228"/>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Vynas ir kiti fermentuoti gėrimai</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hektolitrais</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336 012</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378 534</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42 523</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12,7</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Tarpiniai produktai</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hektolitrais</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30 265</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28 267</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-1 998</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-6,6</w:t>
            </w:r>
          </w:p>
        </w:tc>
      </w:tr>
      <w:tr w:rsidR="00654BFA" w:rsidRPr="004B7A4E" w:rsidTr="00646EFE">
        <w:trPr>
          <w:trHeight w:val="404"/>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Etilo alkoholis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gryno alkoholio hektolitrais</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121 579</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123 363</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1 784</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1,5</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1% alus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hektolitrais</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11 820 246</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12 170 260</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350 014</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3,0</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Cigaretės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tūkst. vnt.</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2 625 843</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2 454 909</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-170 934</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-6,5</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Cigarai ir cigarilės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kg</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88 282</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110 831</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22 549</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25,5</w:t>
            </w:r>
          </w:p>
        </w:tc>
      </w:tr>
      <w:tr w:rsidR="00654BFA" w:rsidRPr="004B7A4E" w:rsidTr="00646EFE">
        <w:trPr>
          <w:trHeight w:val="360"/>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Rūkomasis tabakas ir kaitinamojo tabako produktai</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kg</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196 079</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262 518</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66 439</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33,9</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Elektroninių cigarečių skystis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litrais</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6 993*</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9 859</w:t>
            </w:r>
          </w:p>
        </w:tc>
        <w:tc>
          <w:tcPr>
            <w:tcW w:w="963" w:type="dxa"/>
            <w:tcBorders>
              <w:top w:val="nil"/>
              <w:left w:val="nil"/>
              <w:bottom w:val="single" w:sz="4" w:space="0" w:color="auto"/>
              <w:right w:val="single" w:sz="4" w:space="0" w:color="auto"/>
            </w:tcBorders>
            <w:shd w:val="clear" w:color="auto" w:fill="FFFFFF" w:themeFill="background1"/>
            <w:noWrap/>
            <w:vAlign w:val="center"/>
          </w:tcPr>
          <w:p w:rsidR="00654BFA" w:rsidRPr="004B7A4E" w:rsidRDefault="00654BFA" w:rsidP="00646EFE">
            <w:pPr>
              <w:jc w:val="right"/>
              <w:rPr>
                <w:sz w:val="20"/>
              </w:rPr>
            </w:pPr>
          </w:p>
        </w:tc>
        <w:tc>
          <w:tcPr>
            <w:tcW w:w="1023" w:type="dxa"/>
            <w:tcBorders>
              <w:top w:val="nil"/>
              <w:left w:val="nil"/>
              <w:bottom w:val="single" w:sz="4" w:space="0" w:color="auto"/>
              <w:right w:val="single" w:sz="4" w:space="0" w:color="auto"/>
            </w:tcBorders>
            <w:shd w:val="clear" w:color="auto" w:fill="FFFFFF" w:themeFill="background1"/>
            <w:noWrap/>
            <w:vAlign w:val="center"/>
          </w:tcPr>
          <w:p w:rsidR="00654BFA" w:rsidRPr="004B7A4E" w:rsidRDefault="00654BFA" w:rsidP="00646EFE">
            <w:pPr>
              <w:jc w:val="right"/>
              <w:rPr>
                <w:b/>
                <w:bCs/>
                <w:sz w:val="20"/>
              </w:rPr>
            </w:pPr>
            <w:r w:rsidRPr="004B7A4E">
              <w:rPr>
                <w:b/>
                <w:bCs/>
                <w:sz w:val="20"/>
              </w:rPr>
              <w:t>18,3**</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Variklių benzinas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tūkst. litrų</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332 572</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330 875</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-1 697</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-0,5</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Dyzelinas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tūkst. litrų</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1 824 634</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1 826 322</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1 688</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0,1</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Žymėtas dyzelinas žemės ūkio reikmėms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tūkst. litrų</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283 851</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298 110</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14 260</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5,0</w:t>
            </w:r>
          </w:p>
        </w:tc>
      </w:tr>
      <w:tr w:rsidR="00654BFA" w:rsidRPr="004B7A4E" w:rsidTr="00646EFE">
        <w:trPr>
          <w:trHeight w:val="207"/>
        </w:trPr>
        <w:tc>
          <w:tcPr>
            <w:tcW w:w="2763" w:type="dxa"/>
            <w:tcBorders>
              <w:top w:val="nil"/>
              <w:left w:val="single" w:sz="4" w:space="0" w:color="auto"/>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Suskystintos automobilių dujos</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654BFA" w:rsidRPr="004B7A4E" w:rsidRDefault="00654BFA" w:rsidP="00646EFE">
            <w:pPr>
              <w:spacing w:line="276" w:lineRule="auto"/>
              <w:rPr>
                <w:sz w:val="20"/>
              </w:rPr>
            </w:pPr>
            <w:r w:rsidRPr="004B7A4E">
              <w:rPr>
                <w:sz w:val="20"/>
              </w:rPr>
              <w:t>Kiekis, tonomis</w:t>
            </w:r>
          </w:p>
        </w:tc>
        <w:tc>
          <w:tcPr>
            <w:tcW w:w="153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88 074</w:t>
            </w:r>
          </w:p>
        </w:tc>
        <w:tc>
          <w:tcPr>
            <w:tcW w:w="1544"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 xml:space="preserve">  78 591</w:t>
            </w:r>
          </w:p>
        </w:tc>
        <w:tc>
          <w:tcPr>
            <w:tcW w:w="96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sz w:val="20"/>
              </w:rPr>
            </w:pPr>
            <w:r w:rsidRPr="004B7A4E">
              <w:rPr>
                <w:sz w:val="20"/>
              </w:rPr>
              <w:t>-9 483</w:t>
            </w:r>
          </w:p>
        </w:tc>
        <w:tc>
          <w:tcPr>
            <w:tcW w:w="1023" w:type="dxa"/>
            <w:tcBorders>
              <w:top w:val="nil"/>
              <w:left w:val="nil"/>
              <w:bottom w:val="single" w:sz="4" w:space="0" w:color="auto"/>
              <w:right w:val="single" w:sz="4" w:space="0" w:color="auto"/>
            </w:tcBorders>
            <w:shd w:val="clear" w:color="auto" w:fill="FFFFFF" w:themeFill="background1"/>
            <w:noWrap/>
            <w:vAlign w:val="center"/>
            <w:hideMark/>
          </w:tcPr>
          <w:p w:rsidR="00654BFA" w:rsidRPr="004B7A4E" w:rsidRDefault="00654BFA" w:rsidP="00646EFE">
            <w:pPr>
              <w:jc w:val="right"/>
              <w:rPr>
                <w:b/>
                <w:bCs/>
                <w:sz w:val="20"/>
              </w:rPr>
            </w:pPr>
            <w:r w:rsidRPr="004B7A4E">
              <w:rPr>
                <w:b/>
                <w:bCs/>
                <w:sz w:val="20"/>
              </w:rPr>
              <w:t>-10,8</w:t>
            </w:r>
          </w:p>
        </w:tc>
      </w:tr>
    </w:tbl>
    <w:p w:rsidR="00654BFA" w:rsidRPr="004B7A4E" w:rsidRDefault="00654BFA" w:rsidP="00654BFA">
      <w:pPr>
        <w:jc w:val="both"/>
        <w:rPr>
          <w:i/>
          <w:sz w:val="18"/>
          <w:szCs w:val="18"/>
        </w:rPr>
      </w:pPr>
      <w:r w:rsidRPr="004B7A4E">
        <w:rPr>
          <w:i/>
          <w:sz w:val="18"/>
          <w:szCs w:val="18"/>
        </w:rPr>
        <w:t>Šaltinis – VMI.</w:t>
      </w:r>
    </w:p>
    <w:p w:rsidR="00654BFA" w:rsidRPr="004B7A4E" w:rsidRDefault="00654BFA" w:rsidP="00654BFA">
      <w:pPr>
        <w:pStyle w:val="Sraopastraipa"/>
        <w:spacing w:line="276" w:lineRule="auto"/>
        <w:ind w:left="0"/>
        <w:rPr>
          <w:rFonts w:eastAsia="SimSun"/>
          <w:i/>
          <w:sz w:val="18"/>
          <w:szCs w:val="18"/>
        </w:rPr>
      </w:pPr>
      <w:r w:rsidRPr="004B7A4E">
        <w:rPr>
          <w:rFonts w:eastAsia="SimSun"/>
          <w:i/>
          <w:sz w:val="18"/>
          <w:szCs w:val="18"/>
        </w:rPr>
        <w:t>*Duomenys apima 2019 m. kovo-lapkričio mėn. laikotarpį.</w:t>
      </w:r>
    </w:p>
    <w:p w:rsidR="00654BFA" w:rsidRPr="004B7A4E" w:rsidRDefault="00654BFA" w:rsidP="00654BFA">
      <w:pPr>
        <w:pStyle w:val="Sraopastraipa"/>
        <w:spacing w:line="276" w:lineRule="auto"/>
        <w:ind w:left="0"/>
        <w:rPr>
          <w:rFonts w:eastAsia="SimSun"/>
          <w:i/>
          <w:sz w:val="18"/>
          <w:szCs w:val="18"/>
        </w:rPr>
      </w:pPr>
      <w:r w:rsidRPr="004B7A4E">
        <w:rPr>
          <w:rFonts w:eastAsia="SimSun"/>
          <w:i/>
          <w:sz w:val="18"/>
          <w:szCs w:val="18"/>
        </w:rPr>
        <w:t>**Palyginamosiomis sąlygomis (2020 m. kovo-lapkričio mėn., palyginti su 2019 m. kovo-lapkričio mėn.)</w:t>
      </w:r>
    </w:p>
    <w:p w:rsidR="00A533BE" w:rsidRPr="00654BFA" w:rsidRDefault="00A533BE" w:rsidP="008E1C9F">
      <w:pPr>
        <w:jc w:val="both"/>
        <w:rPr>
          <w:color w:val="auto"/>
          <w:sz w:val="20"/>
          <w:szCs w:val="20"/>
        </w:rPr>
      </w:pPr>
    </w:p>
    <w:p w:rsidR="00654BFA" w:rsidRPr="00120133" w:rsidRDefault="00654BFA" w:rsidP="008E1C9F">
      <w:pPr>
        <w:jc w:val="both"/>
        <w:rPr>
          <w:i/>
          <w:color w:val="auto"/>
          <w:sz w:val="20"/>
          <w:szCs w:val="20"/>
        </w:rPr>
      </w:pPr>
    </w:p>
    <w:p w:rsidR="008E21F2" w:rsidRDefault="008E21F2" w:rsidP="00654BFA">
      <w:pPr>
        <w:pStyle w:val="Antrat33"/>
        <w:ind w:right="-266"/>
        <w:rPr>
          <w:rFonts w:eastAsia="SimSun"/>
          <w:color w:val="auto"/>
          <w:sz w:val="26"/>
          <w:szCs w:val="26"/>
        </w:rPr>
      </w:pPr>
    </w:p>
    <w:p w:rsidR="008E21F2" w:rsidRDefault="008E21F2" w:rsidP="00654BFA">
      <w:pPr>
        <w:pStyle w:val="Antrat33"/>
        <w:ind w:right="-266"/>
        <w:rPr>
          <w:rFonts w:eastAsia="SimSun"/>
          <w:color w:val="auto"/>
          <w:sz w:val="26"/>
          <w:szCs w:val="26"/>
        </w:rPr>
      </w:pPr>
    </w:p>
    <w:p w:rsidR="00654BFA" w:rsidRPr="00E90A71" w:rsidRDefault="00654BFA" w:rsidP="00654BFA">
      <w:pPr>
        <w:pStyle w:val="Antrat33"/>
        <w:ind w:right="-266"/>
        <w:rPr>
          <w:rFonts w:eastAsia="SimSun"/>
          <w:color w:val="auto"/>
          <w:sz w:val="26"/>
          <w:szCs w:val="26"/>
        </w:rPr>
      </w:pPr>
      <w:r w:rsidRPr="00E90A71">
        <w:rPr>
          <w:rFonts w:eastAsia="SimSun"/>
          <w:color w:val="auto"/>
          <w:sz w:val="26"/>
          <w:szCs w:val="26"/>
        </w:rPr>
        <w:t>Pelno mokestis</w:t>
      </w:r>
    </w:p>
    <w:p w:rsidR="00654BFA" w:rsidRPr="00631456" w:rsidRDefault="00654BFA" w:rsidP="00654BFA">
      <w:pPr>
        <w:ind w:firstLine="709"/>
        <w:jc w:val="both"/>
      </w:pPr>
      <w:r w:rsidRPr="002321BD">
        <w:t>Pelno mokesčio į valstybės biudžetą</w:t>
      </w:r>
      <w:r w:rsidRPr="002321BD">
        <w:rPr>
          <w:b/>
        </w:rPr>
        <w:t xml:space="preserve"> </w:t>
      </w:r>
      <w:r w:rsidRPr="002321BD">
        <w:t>per 20</w:t>
      </w:r>
      <w:r>
        <w:t>20</w:t>
      </w:r>
      <w:r w:rsidRPr="002321BD">
        <w:t xml:space="preserve"> m</w:t>
      </w:r>
      <w:r>
        <w:t>etus</w:t>
      </w:r>
      <w:r w:rsidRPr="002321BD">
        <w:t xml:space="preserve"> gauta </w:t>
      </w:r>
      <w:r>
        <w:rPr>
          <w:b/>
        </w:rPr>
        <w:t>779,7</w:t>
      </w:r>
      <w:r w:rsidRPr="002321BD">
        <w:rPr>
          <w:b/>
          <w:bCs/>
        </w:rPr>
        <w:t> </w:t>
      </w:r>
      <w:r w:rsidRPr="002321BD">
        <w:rPr>
          <w:b/>
        </w:rPr>
        <w:t>mln. eurų</w:t>
      </w:r>
      <w:r w:rsidRPr="002321BD">
        <w:t xml:space="preserve">. Palyginti su planu, gauta </w:t>
      </w:r>
      <w:r>
        <w:t xml:space="preserve">81,6 mln. eurų, arba 9,5 </w:t>
      </w:r>
      <w:r w:rsidRPr="002321BD">
        <w:t>pro</w:t>
      </w:r>
      <w:r>
        <w:t xml:space="preserve">c., mažiau. Palyginti su 2019 metais pelno mokesčio </w:t>
      </w:r>
      <w:r w:rsidRPr="002321BD">
        <w:t xml:space="preserve">gauta </w:t>
      </w:r>
      <w:r>
        <w:t>20,</w:t>
      </w:r>
      <w:r w:rsidR="00271D12">
        <w:t>5</w:t>
      </w:r>
      <w:r w:rsidRPr="002321BD">
        <w:t xml:space="preserve"> mln. eurų, arba </w:t>
      </w:r>
      <w:r>
        <w:t>2,7</w:t>
      </w:r>
      <w:r w:rsidRPr="002321BD">
        <w:t xml:space="preserve"> proc., </w:t>
      </w:r>
      <w:r>
        <w:t>daugiau</w:t>
      </w:r>
      <w:r w:rsidRPr="002321BD">
        <w:t>.</w:t>
      </w:r>
    </w:p>
    <w:p w:rsidR="00654BFA" w:rsidRDefault="00654BFA" w:rsidP="00654BFA">
      <w:pPr>
        <w:tabs>
          <w:tab w:val="left" w:pos="2685"/>
        </w:tabs>
        <w:jc w:val="both"/>
        <w:rPr>
          <w:bCs/>
        </w:rPr>
      </w:pPr>
      <w:r>
        <w:rPr>
          <w:bCs/>
        </w:rPr>
        <w:tab/>
      </w:r>
    </w:p>
    <w:p w:rsidR="00654BFA" w:rsidRPr="00A62919" w:rsidRDefault="00654BFA" w:rsidP="00654BFA">
      <w:pPr>
        <w:ind w:firstLine="567"/>
        <w:jc w:val="both"/>
        <w:rPr>
          <w:b/>
          <w:bCs/>
        </w:rPr>
      </w:pPr>
      <w:r w:rsidRPr="00A62919">
        <w:rPr>
          <w:b/>
          <w:bCs/>
        </w:rPr>
        <w:t>Pagrindiniai veiksniai, turėję įtakos pelno mokesčio pajamoms:</w:t>
      </w:r>
    </w:p>
    <w:p w:rsidR="00654BFA" w:rsidRPr="00A62919" w:rsidRDefault="00654BFA" w:rsidP="00654BFA">
      <w:pPr>
        <w:ind w:firstLine="567"/>
        <w:jc w:val="both"/>
        <w:rPr>
          <w:b/>
          <w:bCs/>
        </w:rPr>
      </w:pPr>
    </w:p>
    <w:p w:rsidR="00654BFA" w:rsidRPr="00A62919" w:rsidRDefault="00654BFA" w:rsidP="00C73B9E">
      <w:pPr>
        <w:numPr>
          <w:ilvl w:val="0"/>
          <w:numId w:val="24"/>
        </w:numPr>
        <w:tabs>
          <w:tab w:val="left" w:pos="851"/>
          <w:tab w:val="left" w:pos="993"/>
        </w:tabs>
        <w:autoSpaceDE w:val="0"/>
        <w:autoSpaceDN w:val="0"/>
        <w:adjustRightInd w:val="0"/>
        <w:ind w:left="0" w:firstLine="360"/>
        <w:contextualSpacing/>
        <w:jc w:val="both"/>
        <w:rPr>
          <w:rFonts w:eastAsia="SimSun"/>
        </w:rPr>
      </w:pPr>
      <w:r w:rsidRPr="00A62919">
        <w:rPr>
          <w:rFonts w:eastAsia="SimSun"/>
        </w:rPr>
        <w:t>Avansinio pelno mokesčio gauta mažiau nei planuota. Per kovo, birželio, rugsėjo ir gruodžio mėnesius, suėjus avansinių pelno mokesčio įmokų mokėjimo terminams (rugsėjo mėnesį – ir metinio pelno mokesčio už 2019 m. finansinius rezultatus terminui), gauta 742,8 mln. eurų pelno mokesčio, t.y. 11,2 proc. (93,9 mln. eurų) mažiau nei planuota dėl mažesnių nei tikėtasi avansinio pelno mokesčio įmokų. Prie mažesnių nei planuota pajamų iš avansinio pelno mokesčio prisidėjo dviem savaitėmis pavėlintas pirmosios avansinio pelno mokesčio deklaracijos pateikimo terminas. Pastarasis davė įmonėms laiko įsivertinti galimus 2020 metų pelningumo pasikeitimus ir optimizuoti avansinio pelno mokesčio įmokų mokėjimą pakeičiant pelno mokesčio avanso apskaičiavimą iš paremto ankstesnių metų veiklos rezultatais į apskaičiuotą pagal numatomą einamųjų metų pelną.</w:t>
      </w:r>
    </w:p>
    <w:p w:rsidR="00654BFA" w:rsidRPr="00A62919" w:rsidRDefault="00654BFA" w:rsidP="00C73B9E">
      <w:pPr>
        <w:numPr>
          <w:ilvl w:val="0"/>
          <w:numId w:val="24"/>
        </w:numPr>
        <w:tabs>
          <w:tab w:val="left" w:pos="851"/>
          <w:tab w:val="left" w:pos="993"/>
        </w:tabs>
        <w:autoSpaceDE w:val="0"/>
        <w:autoSpaceDN w:val="0"/>
        <w:adjustRightInd w:val="0"/>
        <w:ind w:left="0" w:firstLine="360"/>
        <w:contextualSpacing/>
        <w:jc w:val="both"/>
        <w:rPr>
          <w:rFonts w:eastAsia="SimSun"/>
        </w:rPr>
      </w:pPr>
      <w:r w:rsidRPr="00A62919">
        <w:rPr>
          <w:rFonts w:eastAsia="SimSun"/>
        </w:rPr>
        <w:t>COVID-19 paveiktų įmonių sprendimai atidėti pelno mokesčio mokėjimus. Įmonių, kurioms buvo suteikta galimybė atidėti pelno mokesčio prievolių, susidariusių nuo 2020 m. kovo 16 d. iki gruodžio 31 d., mokėjimus be delspinigių ir neatliekant išieškojimo veiksmų, šio mokesčio atidėjimai 2021 m. sausio 1 d. sudarė 62,4 mln. eurų.</w:t>
      </w:r>
    </w:p>
    <w:p w:rsidR="00654BFA" w:rsidRPr="00A62919" w:rsidRDefault="00654BFA" w:rsidP="00C73B9E">
      <w:pPr>
        <w:numPr>
          <w:ilvl w:val="0"/>
          <w:numId w:val="24"/>
        </w:numPr>
        <w:tabs>
          <w:tab w:val="left" w:pos="851"/>
          <w:tab w:val="left" w:pos="993"/>
        </w:tabs>
        <w:autoSpaceDE w:val="0"/>
        <w:autoSpaceDN w:val="0"/>
        <w:adjustRightInd w:val="0"/>
        <w:ind w:left="0" w:firstLine="360"/>
        <w:contextualSpacing/>
        <w:jc w:val="both"/>
        <w:rPr>
          <w:rFonts w:eastAsia="SimSun"/>
        </w:rPr>
      </w:pPr>
      <w:r w:rsidRPr="00A62919">
        <w:rPr>
          <w:rFonts w:eastAsia="SimSun"/>
        </w:rPr>
        <w:t>Papildomas kredito įstaigų pelno mokestis. Kovo ir rugsėjo mėnesiais kredito įstaigos deklaravo avansinio papildomo kredito įstaigų pelno mokesčio įmokas už 2020 metus. Iš viso deklaruota 17,6 mln. eurų šio mokesčio, t. y. tiek, kiek ir buvo planuota.</w:t>
      </w:r>
    </w:p>
    <w:p w:rsidR="00E90A71" w:rsidRPr="009807AA" w:rsidRDefault="00E90A71" w:rsidP="00E90A71">
      <w:pPr>
        <w:widowControl w:val="0"/>
        <w:autoSpaceDE w:val="0"/>
        <w:autoSpaceDN w:val="0"/>
        <w:adjustRightInd w:val="0"/>
        <w:jc w:val="both"/>
        <w:rPr>
          <w:rFonts w:eastAsia="SimSun"/>
          <w:b/>
          <w:color w:val="auto"/>
          <w:u w:val="single"/>
        </w:rPr>
      </w:pPr>
    </w:p>
    <w:p w:rsidR="00243B93" w:rsidRPr="00382EE7" w:rsidRDefault="00243B93" w:rsidP="00466DD3">
      <w:pPr>
        <w:pStyle w:val="Sraopastraipa"/>
        <w:ind w:left="1080"/>
        <w:jc w:val="both"/>
        <w:rPr>
          <w:rFonts w:eastAsia="Calibri"/>
          <w:highlight w:val="yellow"/>
        </w:rPr>
      </w:pPr>
    </w:p>
    <w:p w:rsidR="00466DD3" w:rsidRPr="00AF075A" w:rsidRDefault="00466DD3" w:rsidP="00C37266">
      <w:pPr>
        <w:pStyle w:val="Sraopastraipa"/>
        <w:ind w:left="1080" w:hanging="513"/>
        <w:jc w:val="both"/>
        <w:rPr>
          <w:b/>
          <w:bCs/>
        </w:rPr>
      </w:pPr>
      <w:r w:rsidRPr="00AF075A">
        <w:rPr>
          <w:bCs/>
        </w:rPr>
        <w:t xml:space="preserve"> </w:t>
      </w:r>
      <w:r w:rsidRPr="00AF075A">
        <w:rPr>
          <w:rFonts w:eastAsia="SimSun"/>
          <w:b/>
          <w:smallCaps/>
          <w:color w:val="auto"/>
          <w:sz w:val="26"/>
          <w:szCs w:val="26"/>
        </w:rPr>
        <w:t>Kiti mokesčiai ir kitos pajamos</w:t>
      </w:r>
    </w:p>
    <w:p w:rsidR="00466DD3" w:rsidRPr="00382EE7" w:rsidRDefault="00466DD3" w:rsidP="00466DD3">
      <w:pPr>
        <w:pStyle w:val="Sraopastraipa"/>
        <w:ind w:left="1080"/>
        <w:jc w:val="both"/>
        <w:rPr>
          <w:b/>
          <w:bCs/>
          <w:highlight w:val="yellow"/>
        </w:rPr>
      </w:pPr>
    </w:p>
    <w:p w:rsidR="00654BFA" w:rsidRPr="00EE7661" w:rsidRDefault="00654BFA" w:rsidP="00654BFA">
      <w:pPr>
        <w:ind w:firstLine="567"/>
        <w:jc w:val="both"/>
        <w:rPr>
          <w:color w:val="auto"/>
          <w:highlight w:val="magenta"/>
        </w:rPr>
      </w:pPr>
      <w:r>
        <w:rPr>
          <w:color w:val="auto"/>
        </w:rPr>
        <w:t>K</w:t>
      </w:r>
      <w:r w:rsidRPr="001324FE">
        <w:rPr>
          <w:color w:val="auto"/>
        </w:rPr>
        <w:t>itų</w:t>
      </w:r>
      <w:r w:rsidRPr="00693B8D">
        <w:rPr>
          <w:color w:val="auto"/>
        </w:rPr>
        <w:t xml:space="preserve"> mokesčių, kitų pajamų</w:t>
      </w:r>
      <w:r>
        <w:rPr>
          <w:color w:val="auto"/>
        </w:rPr>
        <w:t>, materialiojo ir nematerialiojo turto realizavimo, finansinio turto sumažėjimo ir finansinių įsipareigojimų prisiėmimo pajamų 2020 m. gauta</w:t>
      </w:r>
      <w:r w:rsidRPr="001324FE">
        <w:rPr>
          <w:color w:val="auto"/>
        </w:rPr>
        <w:t xml:space="preserve"> </w:t>
      </w:r>
      <w:r>
        <w:rPr>
          <w:b/>
          <w:color w:val="auto"/>
        </w:rPr>
        <w:t>864,5</w:t>
      </w:r>
      <w:r w:rsidRPr="001324FE">
        <w:rPr>
          <w:b/>
          <w:color w:val="auto"/>
        </w:rPr>
        <w:t xml:space="preserve"> mln. eurų</w:t>
      </w:r>
      <w:r>
        <w:rPr>
          <w:color w:val="auto"/>
        </w:rPr>
        <w:t>, 4,7  </w:t>
      </w:r>
      <w:r w:rsidRPr="00EE7661">
        <w:rPr>
          <w:color w:val="auto"/>
        </w:rPr>
        <w:t>mln. eurų (0,5 proc.) mažiau nei praėjusiais metais</w:t>
      </w:r>
      <w:r>
        <w:rPr>
          <w:color w:val="auto"/>
        </w:rPr>
        <w:t xml:space="preserve"> ir 64,6 mln. eurų (6,9 proc.) mažiau nei planuota</w:t>
      </w:r>
      <w:r w:rsidRPr="00EE7661">
        <w:rPr>
          <w:color w:val="auto"/>
        </w:rPr>
        <w:t xml:space="preserve">. </w:t>
      </w:r>
    </w:p>
    <w:p w:rsidR="00AE7778" w:rsidRDefault="00AE7778" w:rsidP="00794BD9">
      <w:pPr>
        <w:pStyle w:val="Antrat33"/>
        <w:spacing w:line="240" w:lineRule="auto"/>
        <w:ind w:right="-266"/>
        <w:rPr>
          <w:rFonts w:eastAsia="SimSun"/>
          <w:color w:val="auto"/>
          <w:sz w:val="26"/>
          <w:szCs w:val="26"/>
        </w:rPr>
      </w:pPr>
    </w:p>
    <w:p w:rsidR="002E5E01" w:rsidRPr="00AF075A" w:rsidRDefault="002E5E01" w:rsidP="00794BD9">
      <w:pPr>
        <w:pStyle w:val="Antrat33"/>
        <w:spacing w:line="240" w:lineRule="auto"/>
        <w:ind w:right="-266"/>
        <w:rPr>
          <w:rFonts w:eastAsia="SimSun"/>
          <w:color w:val="auto"/>
          <w:sz w:val="26"/>
          <w:szCs w:val="26"/>
        </w:rPr>
      </w:pPr>
      <w:r w:rsidRPr="00AF075A">
        <w:rPr>
          <w:rFonts w:eastAsia="SimSun"/>
          <w:color w:val="auto"/>
          <w:sz w:val="26"/>
          <w:szCs w:val="26"/>
        </w:rPr>
        <w:t>20</w:t>
      </w:r>
      <w:r w:rsidR="00654BFA">
        <w:rPr>
          <w:rFonts w:eastAsia="SimSun"/>
          <w:color w:val="auto"/>
          <w:sz w:val="26"/>
          <w:szCs w:val="26"/>
        </w:rPr>
        <w:t>20</w:t>
      </w:r>
      <w:r w:rsidRPr="00AF075A">
        <w:rPr>
          <w:rFonts w:eastAsia="SimSun"/>
          <w:color w:val="auto"/>
          <w:sz w:val="26"/>
          <w:szCs w:val="26"/>
        </w:rPr>
        <w:t xml:space="preserve"> metų </w:t>
      </w:r>
      <w:r w:rsidR="00040625" w:rsidRPr="00AF075A">
        <w:rPr>
          <w:rFonts w:eastAsia="SimSun"/>
          <w:color w:val="auto"/>
          <w:sz w:val="26"/>
          <w:szCs w:val="26"/>
        </w:rPr>
        <w:t xml:space="preserve">pajamų </w:t>
      </w:r>
      <w:r w:rsidR="0069265C" w:rsidRPr="00AF075A">
        <w:rPr>
          <w:rFonts w:eastAsia="SimSun"/>
          <w:color w:val="auto"/>
          <w:sz w:val="26"/>
          <w:szCs w:val="26"/>
        </w:rPr>
        <w:t>netekima</w:t>
      </w:r>
      <w:r w:rsidR="0069265C">
        <w:rPr>
          <w:rFonts w:eastAsia="SimSun"/>
          <w:color w:val="auto"/>
          <w:sz w:val="26"/>
          <w:szCs w:val="26"/>
        </w:rPr>
        <w:t>i</w:t>
      </w:r>
      <w:r w:rsidR="0069265C" w:rsidRPr="00AF075A">
        <w:rPr>
          <w:rFonts w:eastAsia="SimSun"/>
          <w:color w:val="auto"/>
          <w:sz w:val="26"/>
          <w:szCs w:val="26"/>
        </w:rPr>
        <w:t xml:space="preserve"> </w:t>
      </w:r>
      <w:r w:rsidRPr="00AF075A">
        <w:rPr>
          <w:rFonts w:eastAsia="SimSun"/>
          <w:color w:val="auto"/>
          <w:sz w:val="26"/>
          <w:szCs w:val="26"/>
        </w:rPr>
        <w:t>dėl mokesčių lengvatų taikymo</w:t>
      </w:r>
    </w:p>
    <w:p w:rsidR="00794BD9" w:rsidRPr="00382EE7" w:rsidRDefault="00794BD9" w:rsidP="00794BD9">
      <w:pPr>
        <w:pStyle w:val="Antrat33"/>
        <w:spacing w:line="240" w:lineRule="auto"/>
        <w:ind w:right="-266"/>
        <w:rPr>
          <w:rFonts w:eastAsia="SimSun"/>
          <w:color w:val="auto"/>
          <w:sz w:val="26"/>
          <w:szCs w:val="26"/>
          <w:highlight w:val="yellow"/>
        </w:rPr>
      </w:pPr>
    </w:p>
    <w:p w:rsidR="00F5647A" w:rsidRPr="0089254E" w:rsidRDefault="00F5647A" w:rsidP="00F5647A">
      <w:pPr>
        <w:widowControl w:val="0"/>
        <w:autoSpaceDE w:val="0"/>
        <w:autoSpaceDN w:val="0"/>
        <w:adjustRightInd w:val="0"/>
        <w:ind w:right="27" w:firstLine="567"/>
        <w:jc w:val="both"/>
        <w:rPr>
          <w:rFonts w:eastAsia="SimSun"/>
          <w:color w:val="auto"/>
        </w:rPr>
      </w:pPr>
      <w:r w:rsidRPr="002328F3">
        <w:rPr>
          <w:rFonts w:eastAsia="SimSun"/>
          <w:color w:val="auto"/>
        </w:rPr>
        <w:t>Dėl 20</w:t>
      </w:r>
      <w:r>
        <w:rPr>
          <w:rFonts w:eastAsia="SimSun"/>
          <w:color w:val="auto"/>
        </w:rPr>
        <w:t>20</w:t>
      </w:r>
      <w:r w:rsidRPr="002328F3">
        <w:rPr>
          <w:rFonts w:eastAsia="SimSun"/>
          <w:color w:val="auto"/>
        </w:rPr>
        <w:t xml:space="preserve"> m. galiojusių keturių pagrindinių mokesčių </w:t>
      </w:r>
      <w:r w:rsidRPr="0089254E">
        <w:rPr>
          <w:rFonts w:eastAsia="SimSun"/>
          <w:color w:val="auto"/>
        </w:rPr>
        <w:t>lengvatų</w:t>
      </w:r>
      <w:r w:rsidRPr="0089254E">
        <w:rPr>
          <w:rFonts w:eastAsia="SimSun"/>
        </w:rPr>
        <w:t xml:space="preserve"> ir specialiųjų sąlygų</w:t>
      </w:r>
      <w:r w:rsidRPr="0089254E">
        <w:rPr>
          <w:rFonts w:eastAsia="SimSun"/>
          <w:color w:val="auto"/>
        </w:rPr>
        <w:t xml:space="preserve">, kurios nėra privalomos pagal Europos Sąjungos teisę ir kurioms įvertinti yra duomenys, valstybės biudžetas (GPM atveju </w:t>
      </w:r>
      <w:r w:rsidR="008A23C5" w:rsidRPr="00044564">
        <w:rPr>
          <w:rFonts w:eastAsia="Calibri"/>
        </w:rPr>
        <w:t>–</w:t>
      </w:r>
      <w:r w:rsidR="008A23C5">
        <w:rPr>
          <w:rFonts w:eastAsia="Calibri"/>
        </w:rPr>
        <w:t xml:space="preserve"> </w:t>
      </w:r>
      <w:r w:rsidRPr="0089254E">
        <w:rPr>
          <w:rFonts w:eastAsia="SimSun"/>
          <w:color w:val="auto"/>
        </w:rPr>
        <w:t>ir savivaldybių biudžetai) neteko apie  2 070,</w:t>
      </w:r>
      <w:r w:rsidR="00271D12">
        <w:rPr>
          <w:rFonts w:eastAsia="SimSun"/>
          <w:color w:val="auto"/>
        </w:rPr>
        <w:t>5</w:t>
      </w:r>
      <w:r w:rsidRPr="0089254E">
        <w:rPr>
          <w:rFonts w:eastAsia="SimSun"/>
          <w:color w:val="auto"/>
        </w:rPr>
        <w:t xml:space="preserve"> mln. eurų pajamų.</w:t>
      </w:r>
    </w:p>
    <w:p w:rsidR="00431DA2" w:rsidRDefault="00431DA2" w:rsidP="002E5E01">
      <w:pPr>
        <w:widowControl w:val="0"/>
        <w:autoSpaceDE w:val="0"/>
        <w:autoSpaceDN w:val="0"/>
        <w:adjustRightInd w:val="0"/>
        <w:ind w:right="27"/>
        <w:jc w:val="both"/>
        <w:rPr>
          <w:rFonts w:eastAsia="SimSun"/>
          <w:b/>
          <w:color w:val="auto"/>
        </w:rPr>
      </w:pPr>
    </w:p>
    <w:p w:rsidR="00D62310" w:rsidRPr="00B065C5" w:rsidRDefault="00961919" w:rsidP="00D62310">
      <w:pPr>
        <w:widowControl w:val="0"/>
        <w:autoSpaceDE w:val="0"/>
        <w:autoSpaceDN w:val="0"/>
        <w:adjustRightInd w:val="0"/>
        <w:ind w:right="27"/>
        <w:jc w:val="both"/>
        <w:rPr>
          <w:rFonts w:eastAsia="SimSun"/>
          <w:color w:val="auto"/>
        </w:rPr>
      </w:pPr>
      <w:r>
        <w:rPr>
          <w:rFonts w:eastAsia="SimSun"/>
          <w:b/>
          <w:color w:val="auto"/>
        </w:rPr>
        <w:t>8</w:t>
      </w:r>
      <w:r w:rsidR="00D62310" w:rsidRPr="0089254E">
        <w:rPr>
          <w:rFonts w:eastAsia="SimSun"/>
          <w:b/>
          <w:color w:val="auto"/>
        </w:rPr>
        <w:t xml:space="preserve"> lentelė. </w:t>
      </w:r>
      <w:r w:rsidR="00D62310" w:rsidRPr="0089254E">
        <w:rPr>
          <w:rFonts w:eastAsia="SimSun"/>
          <w:color w:val="auto"/>
        </w:rPr>
        <w:t xml:space="preserve">2020 metų </w:t>
      </w:r>
      <w:bookmarkStart w:id="0" w:name="_Hlk63689963"/>
      <w:r w:rsidR="00D62310" w:rsidRPr="0089254E">
        <w:rPr>
          <w:rFonts w:eastAsia="SimSun"/>
          <w:color w:val="auto"/>
        </w:rPr>
        <w:t xml:space="preserve">valstybės biudžeto (GPM atveju </w:t>
      </w:r>
      <w:r w:rsidR="008A23C5" w:rsidRPr="00044564">
        <w:rPr>
          <w:rFonts w:eastAsia="Calibri"/>
        </w:rPr>
        <w:t>–</w:t>
      </w:r>
      <w:r w:rsidR="008A23C5">
        <w:rPr>
          <w:rFonts w:eastAsia="Calibri"/>
        </w:rPr>
        <w:t xml:space="preserve"> </w:t>
      </w:r>
      <w:r w:rsidR="00D62310" w:rsidRPr="0089254E">
        <w:rPr>
          <w:rFonts w:eastAsia="SimSun"/>
          <w:color w:val="auto"/>
        </w:rPr>
        <w:t xml:space="preserve">ir savivaldybių biudžetų) </w:t>
      </w:r>
      <w:bookmarkEnd w:id="0"/>
      <w:r w:rsidR="00D62310" w:rsidRPr="0089254E">
        <w:rPr>
          <w:rFonts w:eastAsia="SimSun"/>
          <w:color w:val="auto"/>
        </w:rPr>
        <w:t>pajamų netekimai dėl pagrindinių mokesčių lengvatų</w:t>
      </w:r>
      <w:r w:rsidR="00D62310" w:rsidRPr="0089254E">
        <w:rPr>
          <w:rFonts w:eastAsia="SimSun"/>
        </w:rPr>
        <w:t xml:space="preserve"> ir specialiųjų sąlygų</w:t>
      </w:r>
      <w:r w:rsidR="00D62310" w:rsidRPr="0089254E">
        <w:rPr>
          <w:rFonts w:eastAsia="SimSun"/>
          <w:color w:val="auto"/>
        </w:rPr>
        <w:t>, mln. eurų</w:t>
      </w:r>
    </w:p>
    <w:tbl>
      <w:tblPr>
        <w:tblW w:w="9637" w:type="dxa"/>
        <w:tblInd w:w="98" w:type="dxa"/>
        <w:tblLook w:val="04A0" w:firstRow="1" w:lastRow="0" w:firstColumn="1" w:lastColumn="0" w:noHBand="0" w:noVBand="1"/>
      </w:tblPr>
      <w:tblGrid>
        <w:gridCol w:w="8050"/>
        <w:gridCol w:w="1587"/>
      </w:tblGrid>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D62310" w:rsidRPr="00126574" w:rsidRDefault="00D62310" w:rsidP="00646EFE">
            <w:pPr>
              <w:rPr>
                <w:b/>
                <w:bCs/>
                <w:color w:val="auto"/>
                <w:sz w:val="22"/>
                <w:szCs w:val="22"/>
              </w:rPr>
            </w:pPr>
            <w:r w:rsidRPr="00126574">
              <w:rPr>
                <w:b/>
                <w:bCs/>
                <w:color w:val="auto"/>
                <w:sz w:val="22"/>
                <w:szCs w:val="22"/>
              </w:rPr>
              <w:t>PRIDĖTINĖS VERTĖS MOKESTIS iš viso:</w:t>
            </w:r>
          </w:p>
        </w:tc>
        <w:tc>
          <w:tcPr>
            <w:tcW w:w="1587" w:type="dxa"/>
            <w:tcBorders>
              <w:top w:val="single" w:sz="4" w:space="0" w:color="auto"/>
              <w:left w:val="nil"/>
              <w:bottom w:val="single" w:sz="4" w:space="0" w:color="auto"/>
              <w:right w:val="single" w:sz="4" w:space="0" w:color="auto"/>
            </w:tcBorders>
            <w:shd w:val="clear" w:color="000000" w:fill="FFFF99"/>
            <w:vAlign w:val="center"/>
          </w:tcPr>
          <w:p w:rsidR="00D62310" w:rsidRPr="00126574" w:rsidRDefault="00D62310" w:rsidP="00271D12">
            <w:pPr>
              <w:jc w:val="center"/>
              <w:rPr>
                <w:b/>
                <w:bCs/>
                <w:color w:val="auto"/>
                <w:sz w:val="22"/>
                <w:szCs w:val="22"/>
              </w:rPr>
            </w:pPr>
            <w:r>
              <w:rPr>
                <w:b/>
                <w:bCs/>
                <w:color w:val="auto"/>
                <w:sz w:val="22"/>
                <w:szCs w:val="22"/>
              </w:rPr>
              <w:t>23</w:t>
            </w:r>
            <w:r w:rsidR="00271D12">
              <w:rPr>
                <w:b/>
                <w:bCs/>
                <w:color w:val="auto"/>
                <w:sz w:val="22"/>
                <w:szCs w:val="22"/>
              </w:rPr>
              <w:t>1</w:t>
            </w:r>
            <w:r>
              <w:rPr>
                <w:b/>
                <w:bCs/>
                <w:color w:val="auto"/>
                <w:sz w:val="22"/>
                <w:szCs w:val="22"/>
              </w:rPr>
              <w:t>,</w:t>
            </w:r>
            <w:r w:rsidR="00271D12">
              <w:rPr>
                <w:b/>
                <w:bCs/>
                <w:color w:val="auto"/>
                <w:sz w:val="22"/>
                <w:szCs w:val="22"/>
              </w:rPr>
              <w:t>7</w:t>
            </w:r>
          </w:p>
        </w:tc>
      </w:tr>
      <w:tr w:rsidR="00D62310" w:rsidRPr="009D445E" w:rsidTr="00646EFE">
        <w:trPr>
          <w:trHeight w:val="875"/>
        </w:trPr>
        <w:tc>
          <w:tcPr>
            <w:tcW w:w="8050"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hideMark/>
          </w:tcPr>
          <w:p w:rsidR="00D62310" w:rsidRPr="00126574" w:rsidRDefault="00D62310" w:rsidP="00646EFE">
            <w:pPr>
              <w:rPr>
                <w:color w:val="auto"/>
                <w:sz w:val="22"/>
                <w:szCs w:val="22"/>
              </w:rPr>
            </w:pPr>
            <w:r w:rsidRPr="00126574">
              <w:rPr>
                <w:color w:val="auto"/>
                <w:sz w:val="22"/>
                <w:szCs w:val="22"/>
              </w:rPr>
              <w:t>Dėl lengvatinio 5 proc. PVM tarifo taikomo vaistams ir medicinos pagalbos priemonėms, kai šių prekių įsigijimo išlaidos visiškai ar iš dalies kompensuojamos Lietuvos Respublikos sveikatos draudimo įstatymo nustatyta tvarka;</w:t>
            </w:r>
            <w:r>
              <w:rPr>
                <w:color w:val="auto"/>
                <w:sz w:val="22"/>
                <w:szCs w:val="22"/>
              </w:rPr>
              <w:t xml:space="preserve"> </w:t>
            </w:r>
            <w:r w:rsidRPr="00126574">
              <w:rPr>
                <w:color w:val="auto"/>
                <w:sz w:val="22"/>
                <w:szCs w:val="22"/>
              </w:rPr>
              <w:t>neįgaliųjų techninės pagalbos priemonėms ir jų remontui;</w:t>
            </w:r>
            <w:r>
              <w:rPr>
                <w:color w:val="auto"/>
                <w:sz w:val="22"/>
                <w:szCs w:val="22"/>
              </w:rPr>
              <w:t xml:space="preserve"> </w:t>
            </w:r>
            <w:r w:rsidRPr="00126574">
              <w:rPr>
                <w:color w:val="auto"/>
                <w:sz w:val="22"/>
                <w:szCs w:val="22"/>
              </w:rPr>
              <w:t>receptiniams nekompensuojamiems vaistams.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271D12">
            <w:pPr>
              <w:jc w:val="center"/>
              <w:rPr>
                <w:color w:val="auto"/>
                <w:sz w:val="22"/>
                <w:szCs w:val="22"/>
              </w:rPr>
            </w:pPr>
            <w:r>
              <w:rPr>
                <w:color w:val="auto"/>
                <w:sz w:val="22"/>
                <w:szCs w:val="22"/>
              </w:rPr>
              <w:t>13</w:t>
            </w:r>
            <w:r w:rsidR="00271D12">
              <w:rPr>
                <w:color w:val="auto"/>
                <w:sz w:val="22"/>
                <w:szCs w:val="22"/>
              </w:rPr>
              <w:t>5</w:t>
            </w:r>
            <w:r>
              <w:rPr>
                <w:color w:val="auto"/>
                <w:sz w:val="22"/>
                <w:szCs w:val="22"/>
              </w:rPr>
              <w:t>,</w:t>
            </w:r>
            <w:r w:rsidR="00271D12">
              <w:rPr>
                <w:color w:val="auto"/>
                <w:sz w:val="22"/>
                <w:szCs w:val="22"/>
              </w:rPr>
              <w:t>7</w:t>
            </w:r>
          </w:p>
        </w:tc>
      </w:tr>
      <w:tr w:rsidR="00D62310" w:rsidRPr="009D445E" w:rsidTr="00646EFE">
        <w:trPr>
          <w:trHeight w:val="965"/>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310" w:rsidRPr="00126574" w:rsidRDefault="00D62310" w:rsidP="00646EFE">
            <w:pPr>
              <w:rPr>
                <w:sz w:val="22"/>
                <w:szCs w:val="22"/>
              </w:rPr>
            </w:pPr>
            <w:r w:rsidRPr="00126574">
              <w:rPr>
                <w:sz w:val="22"/>
                <w:szCs w:val="22"/>
              </w:rPr>
              <w:lastRenderedPageBreak/>
              <w:t>Dėl lengvatinio 9 proc. PVM tarifo taikomo šilumos energijai, tiekiamai gyvenamosioms patalpoms šildyti, į gyvenamąsias patalpas tiekiamam karštam vandeniui arba šaltam vandeniui karštam vandeniui paruošti ir šilumos energijai, sunaudotai šiam vandeniui pašildyti</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Pr>
                <w:color w:val="auto"/>
                <w:sz w:val="22"/>
                <w:szCs w:val="22"/>
              </w:rPr>
              <w:t>30,8</w:t>
            </w:r>
          </w:p>
        </w:tc>
      </w:tr>
      <w:tr w:rsidR="00D62310" w:rsidRPr="009D445E" w:rsidTr="00646EFE">
        <w:trPr>
          <w:trHeight w:val="164"/>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310" w:rsidRPr="00126574" w:rsidRDefault="00D62310" w:rsidP="00646EFE">
            <w:pPr>
              <w:rPr>
                <w:color w:val="auto"/>
                <w:sz w:val="22"/>
                <w:szCs w:val="22"/>
              </w:rPr>
            </w:pPr>
            <w:r w:rsidRPr="00126574">
              <w:rPr>
                <w:color w:val="auto"/>
                <w:sz w:val="22"/>
                <w:szCs w:val="22"/>
              </w:rPr>
              <w:t xml:space="preserve">Dėl lengvatinio 9 proc. PVM tarifo taikomo </w:t>
            </w:r>
            <w:r w:rsidRPr="00126574">
              <w:rPr>
                <w:sz w:val="22"/>
                <w:szCs w:val="22"/>
              </w:rPr>
              <w:t>buitiniams energijos vartotojams tiekiamoms malkoms ir medienos produktams, skirtiems kūrenti</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Pr>
                <w:color w:val="auto"/>
                <w:sz w:val="22"/>
                <w:szCs w:val="22"/>
              </w:rPr>
              <w:t>1,9</w:t>
            </w:r>
          </w:p>
        </w:tc>
      </w:tr>
      <w:tr w:rsidR="00D62310" w:rsidRPr="009D445E" w:rsidTr="00646EFE">
        <w:trPr>
          <w:trHeight w:val="376"/>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310" w:rsidRPr="00126574" w:rsidRDefault="00D62310" w:rsidP="00646EFE">
            <w:pPr>
              <w:rPr>
                <w:color w:val="auto"/>
                <w:sz w:val="22"/>
                <w:szCs w:val="22"/>
              </w:rPr>
            </w:pPr>
            <w:r w:rsidRPr="00126574">
              <w:rPr>
                <w:color w:val="auto"/>
                <w:sz w:val="22"/>
                <w:szCs w:val="22"/>
              </w:rPr>
              <w:t>Dėl lengvatinio 9 proc. PVM tarifo taikomo keleivių vežimo nustatytais reguliaraus susisiekimo maršrutais paslaugoms, taip pat keleivių bagažo vežimo paslaugoms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Pr>
                <w:color w:val="auto"/>
                <w:sz w:val="22"/>
                <w:szCs w:val="22"/>
              </w:rPr>
              <w:t>21,3</w:t>
            </w:r>
          </w:p>
        </w:tc>
      </w:tr>
      <w:tr w:rsidR="00D62310" w:rsidRPr="009D445E" w:rsidTr="00646EFE">
        <w:trPr>
          <w:trHeight w:val="164"/>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310" w:rsidRPr="00126574" w:rsidRDefault="00D62310" w:rsidP="00646EFE">
            <w:pPr>
              <w:rPr>
                <w:color w:val="auto"/>
                <w:sz w:val="22"/>
                <w:szCs w:val="22"/>
              </w:rPr>
            </w:pPr>
            <w:r w:rsidRPr="00126574">
              <w:rPr>
                <w:color w:val="auto"/>
                <w:sz w:val="22"/>
                <w:szCs w:val="22"/>
              </w:rPr>
              <w:t>Dėl lengvatinio 9 proc. PVM tarifo taikomo apgyvendinimo paslaugoms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Pr>
                <w:color w:val="auto"/>
                <w:sz w:val="22"/>
                <w:szCs w:val="22"/>
              </w:rPr>
              <w:t>11,1</w:t>
            </w:r>
          </w:p>
        </w:tc>
      </w:tr>
      <w:tr w:rsidR="00D62310" w:rsidRPr="009D445E" w:rsidTr="00646EFE">
        <w:trPr>
          <w:trHeight w:val="467"/>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310" w:rsidRPr="00126574" w:rsidRDefault="00D62310" w:rsidP="00646EFE">
            <w:pPr>
              <w:rPr>
                <w:color w:val="auto"/>
                <w:sz w:val="22"/>
                <w:szCs w:val="22"/>
              </w:rPr>
            </w:pPr>
            <w:r w:rsidRPr="00126574">
              <w:rPr>
                <w:color w:val="auto"/>
                <w:sz w:val="22"/>
                <w:szCs w:val="22"/>
              </w:rPr>
              <w:t>Dėl lengvatinio 9 proc. PVM tarifo taikomo knygoms ir neperiodiniams informaciniams leidiniams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Pr>
                <w:color w:val="auto"/>
                <w:sz w:val="22"/>
                <w:szCs w:val="22"/>
              </w:rPr>
              <w:t>8,6</w:t>
            </w:r>
          </w:p>
        </w:tc>
      </w:tr>
      <w:tr w:rsidR="00D62310" w:rsidRPr="009D445E" w:rsidTr="00646EFE">
        <w:trPr>
          <w:trHeight w:val="675"/>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310" w:rsidRPr="00126574" w:rsidRDefault="00D62310" w:rsidP="00646EFE">
            <w:pPr>
              <w:rPr>
                <w:color w:val="auto"/>
                <w:sz w:val="22"/>
                <w:szCs w:val="22"/>
              </w:rPr>
            </w:pPr>
            <w:r w:rsidRPr="00126574">
              <w:rPr>
                <w:color w:val="auto"/>
                <w:sz w:val="22"/>
                <w:szCs w:val="22"/>
              </w:rPr>
              <w:t>Dėl lengvatinio 5 proc. PVM tarifo taikomo laikraščiams, žurnalams ir kitiems periodiniams leidiniams, išskyrus erotinio ir (ar) smurtinio pobūdžio arba profesinės etikos nesilaikančius leidinius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Pr>
                <w:color w:val="auto"/>
                <w:sz w:val="22"/>
                <w:szCs w:val="22"/>
              </w:rPr>
              <w:t>6,0</w:t>
            </w:r>
          </w:p>
        </w:tc>
      </w:tr>
      <w:tr w:rsidR="00D62310" w:rsidRPr="009D445E" w:rsidTr="00646EFE">
        <w:trPr>
          <w:trHeight w:val="675"/>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A53DB0" w:rsidRDefault="00D62310" w:rsidP="00646EFE">
            <w:pPr>
              <w:rPr>
                <w:color w:val="auto"/>
                <w:sz w:val="22"/>
                <w:szCs w:val="22"/>
              </w:rPr>
            </w:pPr>
            <w:r w:rsidRPr="00A53DB0">
              <w:rPr>
                <w:sz w:val="22"/>
                <w:szCs w:val="22"/>
              </w:rPr>
              <w:t>Dėl specialios tvarkos taikymo kai apmokestinamasis asmuo neprivalo pateikti prašymo įregistruoti jį 1) PVM mokėtoju ir už tiekiamas ir teikiamas paslaugas skaičiuoti PVM ir mokėti jį į biudžetą, jeigu bendra atlygio už vykdant ekonominę veiklą šalies teritorijoje suma per paskutinius 12 mėnesių neviršijo 45 000 eurų (palyginti su Direktyvoje Lietuvai numatyta 29 000 eurų riba) ar 2) įsiregistravimo PVM mokėtoju  pagal PVMĮ 71-1 straipsnį dėl šalies teritorijoje įsigytų prekių iš kitos šalies sumos, kuri neviršijo 14 000 eurų ribos (palyginti su Direktyvoje numatyta 10 000 eurų riba)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Default="00D62310" w:rsidP="00271D12">
            <w:pPr>
              <w:jc w:val="center"/>
              <w:rPr>
                <w:color w:val="auto"/>
                <w:sz w:val="22"/>
                <w:szCs w:val="22"/>
              </w:rPr>
            </w:pPr>
            <w:r>
              <w:rPr>
                <w:color w:val="auto"/>
                <w:sz w:val="22"/>
                <w:szCs w:val="22"/>
              </w:rPr>
              <w:t>1</w:t>
            </w:r>
            <w:r w:rsidR="00271D12">
              <w:rPr>
                <w:color w:val="auto"/>
                <w:sz w:val="22"/>
                <w:szCs w:val="22"/>
              </w:rPr>
              <w:t>5</w:t>
            </w:r>
            <w:r>
              <w:rPr>
                <w:color w:val="auto"/>
                <w:sz w:val="22"/>
                <w:szCs w:val="22"/>
              </w:rPr>
              <w:t>,</w:t>
            </w:r>
            <w:r w:rsidR="00271D12">
              <w:rPr>
                <w:color w:val="auto"/>
                <w:sz w:val="22"/>
                <w:szCs w:val="22"/>
              </w:rPr>
              <w:t>6</w:t>
            </w:r>
          </w:p>
        </w:tc>
      </w:tr>
      <w:tr w:rsidR="00D62310" w:rsidRPr="009D445E" w:rsidTr="00646EFE">
        <w:trPr>
          <w:trHeight w:val="675"/>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A53DB0" w:rsidRDefault="00D62310" w:rsidP="00646EFE">
            <w:pPr>
              <w:rPr>
                <w:color w:val="auto"/>
                <w:sz w:val="22"/>
                <w:szCs w:val="22"/>
              </w:rPr>
            </w:pPr>
            <w:r w:rsidRPr="00A53DB0">
              <w:rPr>
                <w:color w:val="auto"/>
                <w:sz w:val="22"/>
                <w:szCs w:val="22"/>
              </w:rPr>
              <w:t xml:space="preserve">Dėl </w:t>
            </w:r>
            <w:r w:rsidRPr="00A53DB0">
              <w:rPr>
                <w:sz w:val="22"/>
                <w:szCs w:val="22"/>
              </w:rPr>
              <w:t>kompensacinio PVM tarifo ūkininkams schemos taikymo (darant prielaidą, kad nesant schemos, ūkininkai nesirinktų registruotis PVM mokėtojais)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Default="00D62310" w:rsidP="00646EFE">
            <w:pPr>
              <w:jc w:val="center"/>
              <w:rPr>
                <w:color w:val="auto"/>
                <w:sz w:val="22"/>
                <w:szCs w:val="22"/>
              </w:rPr>
            </w:pPr>
            <w:r>
              <w:rPr>
                <w:color w:val="auto"/>
                <w:sz w:val="22"/>
                <w:szCs w:val="22"/>
              </w:rPr>
              <w:t>0,7</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D62310" w:rsidRPr="00126574" w:rsidRDefault="00D62310" w:rsidP="00646EFE">
            <w:pPr>
              <w:rPr>
                <w:b/>
                <w:bCs/>
                <w:color w:val="auto"/>
                <w:sz w:val="22"/>
                <w:szCs w:val="22"/>
              </w:rPr>
            </w:pPr>
            <w:r w:rsidRPr="00126574">
              <w:rPr>
                <w:b/>
                <w:bCs/>
                <w:color w:val="auto"/>
                <w:sz w:val="22"/>
                <w:szCs w:val="22"/>
              </w:rPr>
              <w:t>AKCIZŲ MOKESTIS iš viso:</w:t>
            </w:r>
          </w:p>
        </w:tc>
        <w:tc>
          <w:tcPr>
            <w:tcW w:w="1587" w:type="dxa"/>
            <w:tcBorders>
              <w:top w:val="single" w:sz="4" w:space="0" w:color="auto"/>
              <w:left w:val="nil"/>
              <w:bottom w:val="single" w:sz="4" w:space="0" w:color="auto"/>
              <w:right w:val="single" w:sz="4" w:space="0" w:color="auto"/>
            </w:tcBorders>
            <w:shd w:val="clear" w:color="000000" w:fill="FFFF99"/>
            <w:noWrap/>
            <w:vAlign w:val="center"/>
          </w:tcPr>
          <w:p w:rsidR="00D62310" w:rsidRPr="00126574" w:rsidRDefault="00D62310" w:rsidP="00271D12">
            <w:pPr>
              <w:jc w:val="center"/>
              <w:rPr>
                <w:b/>
                <w:bCs/>
                <w:color w:val="auto"/>
                <w:sz w:val="22"/>
                <w:szCs w:val="22"/>
              </w:rPr>
            </w:pPr>
            <w:r>
              <w:rPr>
                <w:b/>
                <w:bCs/>
                <w:color w:val="auto"/>
                <w:sz w:val="22"/>
                <w:szCs w:val="22"/>
              </w:rPr>
              <w:t>39</w:t>
            </w:r>
            <w:r w:rsidR="00271D12">
              <w:rPr>
                <w:b/>
                <w:bCs/>
                <w:color w:val="auto"/>
                <w:sz w:val="22"/>
                <w:szCs w:val="22"/>
              </w:rPr>
              <w:t>6</w:t>
            </w:r>
            <w:r>
              <w:rPr>
                <w:b/>
                <w:bCs/>
                <w:color w:val="auto"/>
                <w:sz w:val="22"/>
                <w:szCs w:val="22"/>
              </w:rPr>
              <w:t>,</w:t>
            </w:r>
            <w:r w:rsidR="00271D12">
              <w:rPr>
                <w:b/>
                <w:bCs/>
                <w:color w:val="auto"/>
                <w:sz w:val="22"/>
                <w:szCs w:val="22"/>
              </w:rPr>
              <w:t>0</w:t>
            </w:r>
          </w:p>
        </w:tc>
      </w:tr>
      <w:tr w:rsidR="00D62310" w:rsidRPr="00DD76F9" w:rsidTr="00646EFE">
        <w:trPr>
          <w:trHeight w:val="393"/>
        </w:trPr>
        <w:tc>
          <w:tcPr>
            <w:tcW w:w="8050" w:type="dxa"/>
            <w:tcBorders>
              <w:top w:val="nil"/>
              <w:left w:val="single" w:sz="8" w:space="0" w:color="auto"/>
              <w:bottom w:val="single" w:sz="8" w:space="0" w:color="auto"/>
              <w:right w:val="single" w:sz="8" w:space="0" w:color="auto"/>
            </w:tcBorders>
            <w:shd w:val="clear" w:color="auto" w:fill="auto"/>
            <w:vAlign w:val="center"/>
          </w:tcPr>
          <w:p w:rsidR="00D62310" w:rsidRPr="00DD76F9" w:rsidRDefault="00D62310" w:rsidP="00646EFE">
            <w:pPr>
              <w:rPr>
                <w:sz w:val="22"/>
                <w:szCs w:val="22"/>
              </w:rPr>
            </w:pPr>
            <w:r w:rsidRPr="00DD76F9">
              <w:rPr>
                <w:sz w:val="22"/>
                <w:szCs w:val="22"/>
              </w:rPr>
              <w:t>Dėl mažesnio akcizų tarifo gamtinėms dujoms, naudojamoms kaip šildymui skirtas kuras, verslo reikmėms</w:t>
            </w:r>
          </w:p>
        </w:tc>
        <w:tc>
          <w:tcPr>
            <w:tcW w:w="1587" w:type="dxa"/>
            <w:tcBorders>
              <w:top w:val="nil"/>
              <w:left w:val="nil"/>
              <w:bottom w:val="single" w:sz="8" w:space="0" w:color="auto"/>
              <w:right w:val="single" w:sz="8" w:space="0" w:color="auto"/>
            </w:tcBorders>
            <w:shd w:val="clear" w:color="auto" w:fill="auto"/>
            <w:noWrap/>
            <w:vAlign w:val="center"/>
          </w:tcPr>
          <w:p w:rsidR="00D62310" w:rsidRPr="00DD76F9" w:rsidRDefault="00D62310" w:rsidP="00646EFE">
            <w:pPr>
              <w:jc w:val="center"/>
              <w:rPr>
                <w:sz w:val="22"/>
                <w:szCs w:val="22"/>
              </w:rPr>
            </w:pPr>
            <w:r>
              <w:rPr>
                <w:sz w:val="22"/>
                <w:szCs w:val="22"/>
              </w:rPr>
              <w:t>131,0</w:t>
            </w:r>
          </w:p>
        </w:tc>
      </w:tr>
      <w:tr w:rsidR="00D62310" w:rsidRPr="00DD76F9" w:rsidTr="00646EFE">
        <w:trPr>
          <w:trHeight w:val="393"/>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sumažinto akcizų tarifo žemės ūkio veikloje naudojamiems gazoliams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92,2</w:t>
            </w:r>
          </w:p>
        </w:tc>
      </w:tr>
      <w:tr w:rsidR="00D62310" w:rsidRPr="00DD76F9" w:rsidTr="00646EFE">
        <w:trPr>
          <w:trHeight w:val="315"/>
        </w:trPr>
        <w:tc>
          <w:tcPr>
            <w:tcW w:w="8050" w:type="dxa"/>
            <w:tcBorders>
              <w:top w:val="nil"/>
              <w:left w:val="single" w:sz="8" w:space="0" w:color="auto"/>
              <w:bottom w:val="single" w:sz="8" w:space="0" w:color="auto"/>
              <w:right w:val="single" w:sz="8" w:space="0" w:color="auto"/>
            </w:tcBorders>
            <w:shd w:val="clear" w:color="auto" w:fill="auto"/>
            <w:vAlign w:val="center"/>
          </w:tcPr>
          <w:p w:rsidR="00D62310" w:rsidRPr="00DD76F9" w:rsidRDefault="00D62310" w:rsidP="00646EFE">
            <w:pPr>
              <w:rPr>
                <w:sz w:val="22"/>
                <w:szCs w:val="22"/>
              </w:rPr>
            </w:pPr>
            <w:r w:rsidRPr="00DD76F9">
              <w:rPr>
                <w:sz w:val="22"/>
                <w:szCs w:val="22"/>
              </w:rPr>
              <w:t>Dėl gamtinių dujų, tiekiamų buitiniams vartotojams</w:t>
            </w:r>
          </w:p>
        </w:tc>
        <w:tc>
          <w:tcPr>
            <w:tcW w:w="1587" w:type="dxa"/>
            <w:tcBorders>
              <w:top w:val="nil"/>
              <w:left w:val="nil"/>
              <w:bottom w:val="single" w:sz="8" w:space="0" w:color="auto"/>
              <w:right w:val="single" w:sz="8" w:space="0" w:color="auto"/>
            </w:tcBorders>
            <w:shd w:val="clear" w:color="auto" w:fill="auto"/>
            <w:noWrap/>
            <w:vAlign w:val="center"/>
          </w:tcPr>
          <w:p w:rsidR="00D62310" w:rsidRPr="00DD76F9" w:rsidRDefault="00D62310" w:rsidP="00646EFE">
            <w:pPr>
              <w:jc w:val="center"/>
              <w:rPr>
                <w:sz w:val="22"/>
                <w:szCs w:val="22"/>
              </w:rPr>
            </w:pPr>
            <w:r>
              <w:rPr>
                <w:sz w:val="22"/>
                <w:szCs w:val="22"/>
              </w:rPr>
              <w:t>53,2</w:t>
            </w:r>
          </w:p>
        </w:tc>
      </w:tr>
      <w:tr w:rsidR="00D62310" w:rsidRPr="00DD76F9" w:rsidTr="00646EFE">
        <w:trPr>
          <w:trHeight w:val="315"/>
        </w:trPr>
        <w:tc>
          <w:tcPr>
            <w:tcW w:w="8050" w:type="dxa"/>
            <w:tcBorders>
              <w:top w:val="nil"/>
              <w:left w:val="single" w:sz="8" w:space="0" w:color="auto"/>
              <w:bottom w:val="single" w:sz="8" w:space="0" w:color="auto"/>
              <w:right w:val="single" w:sz="8" w:space="0" w:color="auto"/>
            </w:tcBorders>
            <w:shd w:val="clear" w:color="auto" w:fill="auto"/>
            <w:vAlign w:val="center"/>
          </w:tcPr>
          <w:p w:rsidR="00D62310" w:rsidRPr="00DD76F9" w:rsidRDefault="00D62310" w:rsidP="00646EFE">
            <w:pPr>
              <w:rPr>
                <w:sz w:val="22"/>
                <w:szCs w:val="22"/>
              </w:rPr>
            </w:pPr>
            <w:r w:rsidRPr="00DD76F9">
              <w:rPr>
                <w:sz w:val="22"/>
                <w:szCs w:val="22"/>
              </w:rPr>
              <w:t>Dėl gamtinių dujų, naudojamų mišriai šilumos ir  elektros energijos gamybai, atleidimo nuo akcizų</w:t>
            </w:r>
          </w:p>
        </w:tc>
        <w:tc>
          <w:tcPr>
            <w:tcW w:w="1587" w:type="dxa"/>
            <w:tcBorders>
              <w:top w:val="nil"/>
              <w:left w:val="nil"/>
              <w:bottom w:val="single" w:sz="8" w:space="0" w:color="auto"/>
              <w:right w:val="single" w:sz="8" w:space="0" w:color="auto"/>
            </w:tcBorders>
            <w:shd w:val="clear" w:color="auto" w:fill="auto"/>
            <w:noWrap/>
            <w:vAlign w:val="center"/>
          </w:tcPr>
          <w:p w:rsidR="00D62310" w:rsidRPr="00DD76F9" w:rsidRDefault="00D62310" w:rsidP="00646EFE">
            <w:pPr>
              <w:jc w:val="center"/>
              <w:rPr>
                <w:sz w:val="22"/>
                <w:szCs w:val="22"/>
              </w:rPr>
            </w:pPr>
            <w:r>
              <w:rPr>
                <w:sz w:val="22"/>
                <w:szCs w:val="22"/>
              </w:rPr>
              <w:t>35,3*</w:t>
            </w:r>
          </w:p>
        </w:tc>
      </w:tr>
      <w:tr w:rsidR="00D62310" w:rsidRPr="00DD76F9" w:rsidTr="00646EFE">
        <w:trPr>
          <w:trHeight w:val="315"/>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sumažinto akcizų tarifo šildymui skirtiems gazoliams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22,7</w:t>
            </w:r>
          </w:p>
        </w:tc>
      </w:tr>
      <w:tr w:rsidR="00D62310" w:rsidRPr="00DD76F9" w:rsidTr="00646EFE">
        <w:trPr>
          <w:trHeight w:val="777"/>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sumažinto akcizų tarifo vynui ir kitiems fermentuotiems gėrimams, kurių faktinė tūrinė etilo alkoholio koncentracija (kitų fermentuotų gėrimų atveju – gauta tik fermentuojant) procentais yra ne didesnė kaip 8,5 procento</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17,1</w:t>
            </w:r>
          </w:p>
        </w:tc>
      </w:tr>
      <w:tr w:rsidR="00D62310" w:rsidRPr="00DD76F9" w:rsidTr="00646EFE">
        <w:trPr>
          <w:trHeight w:val="615"/>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apdoroto tabako, jeigu jis sunaikinamas prižiūrint kompetentingai institucijai, atleidimo nuo akcizų</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15,4</w:t>
            </w:r>
          </w:p>
        </w:tc>
      </w:tr>
      <w:tr w:rsidR="00D62310" w:rsidRPr="00DD76F9" w:rsidTr="00646EFE">
        <w:trPr>
          <w:trHeight w:val="487"/>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akcizų lengvatos naftos dujoms ir dujiniams angliavandeniliams, kai jie skirti buitinėms reikmėms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14,5</w:t>
            </w:r>
          </w:p>
        </w:tc>
      </w:tr>
      <w:tr w:rsidR="00D62310" w:rsidRPr="00DD76F9" w:rsidTr="00646EFE">
        <w:trPr>
          <w:trHeight w:val="523"/>
        </w:trPr>
        <w:tc>
          <w:tcPr>
            <w:tcW w:w="8050" w:type="dxa"/>
            <w:tcBorders>
              <w:top w:val="nil"/>
              <w:left w:val="single" w:sz="8" w:space="0" w:color="auto"/>
              <w:bottom w:val="single" w:sz="8" w:space="0" w:color="auto"/>
              <w:right w:val="single" w:sz="8" w:space="0" w:color="auto"/>
            </w:tcBorders>
            <w:shd w:val="clear" w:color="auto" w:fill="auto"/>
            <w:vAlign w:val="center"/>
          </w:tcPr>
          <w:p w:rsidR="00D62310" w:rsidRPr="00DD76F9" w:rsidRDefault="00D62310" w:rsidP="00646EFE">
            <w:pPr>
              <w:rPr>
                <w:sz w:val="22"/>
                <w:szCs w:val="22"/>
              </w:rPr>
            </w:pPr>
            <w:r w:rsidRPr="00DD76F9">
              <w:rPr>
                <w:sz w:val="22"/>
                <w:szCs w:val="22"/>
              </w:rPr>
              <w:t>Dėl elektros energijos atleidimo, kai ji pagaminta naudojant atsinaujinančius energijos šaltinius</w:t>
            </w:r>
          </w:p>
        </w:tc>
        <w:tc>
          <w:tcPr>
            <w:tcW w:w="1587" w:type="dxa"/>
            <w:tcBorders>
              <w:top w:val="nil"/>
              <w:left w:val="nil"/>
              <w:bottom w:val="single" w:sz="8" w:space="0" w:color="auto"/>
              <w:right w:val="single" w:sz="8" w:space="0" w:color="auto"/>
            </w:tcBorders>
            <w:shd w:val="clear" w:color="auto" w:fill="auto"/>
            <w:noWrap/>
            <w:vAlign w:val="center"/>
          </w:tcPr>
          <w:p w:rsidR="00D62310" w:rsidRPr="00CC4691" w:rsidRDefault="00271D12" w:rsidP="00646EFE">
            <w:pPr>
              <w:jc w:val="center"/>
              <w:rPr>
                <w:color w:val="auto"/>
                <w:sz w:val="22"/>
                <w:szCs w:val="22"/>
              </w:rPr>
            </w:pPr>
            <w:r>
              <w:rPr>
                <w:color w:val="auto"/>
                <w:sz w:val="22"/>
                <w:szCs w:val="22"/>
              </w:rPr>
              <w:t>4,8</w:t>
            </w:r>
          </w:p>
        </w:tc>
      </w:tr>
      <w:tr w:rsidR="00D62310" w:rsidRPr="00DD76F9" w:rsidTr="00646EFE">
        <w:trPr>
          <w:trHeight w:val="531"/>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elektros energijos, tiekiamos buitiniams vartotojams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CC4691" w:rsidRDefault="00D62310" w:rsidP="00646EFE">
            <w:pPr>
              <w:jc w:val="center"/>
              <w:rPr>
                <w:color w:val="auto"/>
                <w:sz w:val="22"/>
                <w:szCs w:val="22"/>
              </w:rPr>
            </w:pPr>
            <w:r>
              <w:rPr>
                <w:color w:val="auto"/>
                <w:sz w:val="22"/>
                <w:szCs w:val="22"/>
              </w:rPr>
              <w:t>2,</w:t>
            </w:r>
            <w:r w:rsidR="00271D12">
              <w:rPr>
                <w:color w:val="auto"/>
                <w:sz w:val="22"/>
                <w:szCs w:val="22"/>
              </w:rPr>
              <w:t>0</w:t>
            </w:r>
          </w:p>
        </w:tc>
      </w:tr>
      <w:tr w:rsidR="00D62310" w:rsidRPr="00DD76F9" w:rsidTr="00646EFE">
        <w:trPr>
          <w:trHeight w:val="429"/>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gamtinių dujų, naudojamų kaip variklių degalai, atleidimo nuo akcizų</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2,3</w:t>
            </w:r>
            <w:r>
              <w:rPr>
                <w:sz w:val="22"/>
                <w:szCs w:val="22"/>
              </w:rPr>
              <w:t>*</w:t>
            </w:r>
          </w:p>
        </w:tc>
      </w:tr>
      <w:tr w:rsidR="00D62310" w:rsidRPr="00DD76F9" w:rsidTr="00646EFE">
        <w:trPr>
          <w:trHeight w:val="393"/>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mažesnio akcizų tarifo elektros energijai, naudojamai verslo reikmėms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1,7</w:t>
            </w:r>
          </w:p>
        </w:tc>
      </w:tr>
      <w:tr w:rsidR="00D62310" w:rsidRPr="00DD76F9" w:rsidTr="00646EFE">
        <w:trPr>
          <w:trHeight w:val="411"/>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mažesnio akcizų tarifo gamtinėms dujoms, naudojamoms kaip šildymui skirtas kuras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1,</w:t>
            </w:r>
            <w:r>
              <w:rPr>
                <w:sz w:val="22"/>
                <w:szCs w:val="22"/>
              </w:rPr>
              <w:t>4</w:t>
            </w:r>
          </w:p>
        </w:tc>
      </w:tr>
      <w:tr w:rsidR="00D62310" w:rsidRPr="00DD76F9" w:rsidTr="00646EFE">
        <w:trPr>
          <w:trHeight w:val="615"/>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 xml:space="preserve">Dėl akcizais apmokestinamų prekių </w:t>
            </w:r>
            <w:r>
              <w:rPr>
                <w:sz w:val="22"/>
                <w:szCs w:val="22"/>
              </w:rPr>
              <w:t xml:space="preserve">(alkoholiniai gėrimų,  tabako produktų) </w:t>
            </w:r>
            <w:r w:rsidRPr="00DD76F9">
              <w:rPr>
                <w:sz w:val="22"/>
                <w:szCs w:val="22"/>
              </w:rPr>
              <w:t>atleidimo nuo akcizų, kai jos tiekiamos kaip atsargos laivams ir (arba) orlaiviams, vežantiems keleivius ir (arba) krovinius tarptautiniais maršrutas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1,0</w:t>
            </w:r>
          </w:p>
        </w:tc>
      </w:tr>
      <w:tr w:rsidR="00D62310" w:rsidRPr="00DD76F9" w:rsidTr="00646EFE">
        <w:trPr>
          <w:trHeight w:val="559"/>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sumažinto akcizų tarifo tarpiniams produktams, kurių faktinė tūrinė etilo alkoholio koncentracija procentais yra ne didesnė kaip 15 procentų</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0,7</w:t>
            </w:r>
          </w:p>
        </w:tc>
      </w:tr>
      <w:tr w:rsidR="00D62310" w:rsidRPr="00DD76F9" w:rsidTr="00646EFE">
        <w:trPr>
          <w:trHeight w:val="413"/>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lastRenderedPageBreak/>
              <w:t>Dėl mažesnio akcizų tarifo akmens anglims, koksui ir lignitui, naudojamiems verslo reikmėms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0,6</w:t>
            </w:r>
          </w:p>
        </w:tc>
      </w:tr>
      <w:tr w:rsidR="00D62310" w:rsidRPr="00DD76F9" w:rsidTr="00646EFE">
        <w:trPr>
          <w:trHeight w:val="315"/>
        </w:trPr>
        <w:tc>
          <w:tcPr>
            <w:tcW w:w="8050" w:type="dxa"/>
            <w:tcBorders>
              <w:top w:val="nil"/>
              <w:left w:val="single" w:sz="8" w:space="0" w:color="auto"/>
              <w:bottom w:val="single" w:sz="8" w:space="0" w:color="auto"/>
              <w:right w:val="single" w:sz="8" w:space="0" w:color="auto"/>
            </w:tcBorders>
            <w:shd w:val="clear" w:color="auto" w:fill="auto"/>
            <w:vAlign w:val="center"/>
            <w:hideMark/>
          </w:tcPr>
          <w:p w:rsidR="00D62310" w:rsidRPr="00DD76F9" w:rsidRDefault="00D62310" w:rsidP="00646EFE">
            <w:pPr>
              <w:rPr>
                <w:sz w:val="22"/>
                <w:szCs w:val="22"/>
              </w:rPr>
            </w:pPr>
            <w:r w:rsidRPr="00DD76F9">
              <w:rPr>
                <w:sz w:val="22"/>
                <w:szCs w:val="22"/>
              </w:rPr>
              <w:t>Dėl lengvatos biodegalams</w:t>
            </w:r>
          </w:p>
        </w:tc>
        <w:tc>
          <w:tcPr>
            <w:tcW w:w="1587" w:type="dxa"/>
            <w:tcBorders>
              <w:top w:val="nil"/>
              <w:left w:val="nil"/>
              <w:bottom w:val="single" w:sz="8" w:space="0" w:color="auto"/>
              <w:right w:val="single" w:sz="8" w:space="0" w:color="auto"/>
            </w:tcBorders>
            <w:shd w:val="clear" w:color="auto" w:fill="auto"/>
            <w:noWrap/>
            <w:vAlign w:val="center"/>
            <w:hideMark/>
          </w:tcPr>
          <w:p w:rsidR="00D62310" w:rsidRPr="00DD76F9" w:rsidRDefault="00D62310" w:rsidP="00646EFE">
            <w:pPr>
              <w:jc w:val="center"/>
              <w:rPr>
                <w:sz w:val="22"/>
                <w:szCs w:val="22"/>
              </w:rPr>
            </w:pPr>
            <w:r w:rsidRPr="00DD76F9">
              <w:rPr>
                <w:sz w:val="22"/>
                <w:szCs w:val="22"/>
              </w:rPr>
              <w:t>0,1</w:t>
            </w:r>
          </w:p>
        </w:tc>
      </w:tr>
      <w:tr w:rsidR="00D62310" w:rsidRPr="009D445E" w:rsidTr="00646EFE">
        <w:trPr>
          <w:trHeight w:val="290"/>
        </w:trPr>
        <w:tc>
          <w:tcPr>
            <w:tcW w:w="8050" w:type="dxa"/>
            <w:tcBorders>
              <w:top w:val="nil"/>
              <w:left w:val="single" w:sz="4" w:space="0" w:color="auto"/>
              <w:bottom w:val="single" w:sz="4" w:space="0" w:color="auto"/>
              <w:right w:val="single" w:sz="4" w:space="0" w:color="auto"/>
            </w:tcBorders>
            <w:shd w:val="clear" w:color="000000" w:fill="FFFF99"/>
            <w:noWrap/>
            <w:vAlign w:val="center"/>
            <w:hideMark/>
          </w:tcPr>
          <w:p w:rsidR="00D62310" w:rsidRPr="00126574" w:rsidRDefault="00D62310" w:rsidP="00646EFE">
            <w:pPr>
              <w:rPr>
                <w:b/>
                <w:bCs/>
                <w:color w:val="auto"/>
                <w:sz w:val="22"/>
                <w:szCs w:val="22"/>
              </w:rPr>
            </w:pPr>
            <w:r w:rsidRPr="00126574">
              <w:rPr>
                <w:b/>
                <w:bCs/>
                <w:color w:val="auto"/>
                <w:sz w:val="22"/>
                <w:szCs w:val="22"/>
              </w:rPr>
              <w:t>PELNO MOKESTIS iš viso:</w:t>
            </w:r>
          </w:p>
        </w:tc>
        <w:tc>
          <w:tcPr>
            <w:tcW w:w="1587" w:type="dxa"/>
            <w:tcBorders>
              <w:top w:val="nil"/>
              <w:left w:val="nil"/>
              <w:bottom w:val="single" w:sz="4" w:space="0" w:color="auto"/>
              <w:right w:val="single" w:sz="4" w:space="0" w:color="auto"/>
            </w:tcBorders>
            <w:shd w:val="clear" w:color="000000" w:fill="FFFF99"/>
            <w:noWrap/>
            <w:vAlign w:val="center"/>
          </w:tcPr>
          <w:p w:rsidR="00D62310" w:rsidRPr="00126574" w:rsidRDefault="00D62310" w:rsidP="00646EFE">
            <w:pPr>
              <w:jc w:val="center"/>
              <w:rPr>
                <w:b/>
                <w:bCs/>
                <w:color w:val="auto"/>
                <w:sz w:val="22"/>
                <w:szCs w:val="22"/>
              </w:rPr>
            </w:pPr>
            <w:r w:rsidRPr="00D536BD">
              <w:rPr>
                <w:b/>
                <w:bCs/>
              </w:rPr>
              <w:t>301,9</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apmokestinamojo pelno sumažinimo dėl investicijų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81,1</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pagal Pelno mokesčio įstatymo 12 straipsnį neapmokestinamo turto vertės padidėjimo pardavus akcijas (jei ne trumpiau kaip 2 metus turėta daugiau kaip 10 procentų balsus suteikiančių akcijų)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60,1</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0 proc. pelno mokesčio tarifo pirmuoju mokestiniu ir 5 proc. pelno mokesčio tarifo kitais mokestiniais laikotarpiais vienetams, kurių vidutinis darbuotojų skaičius neviršija 10 ir pajamos neviršija 300 tūkst. eurų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44,9</w:t>
            </w:r>
          </w:p>
        </w:tc>
      </w:tr>
      <w:tr w:rsidR="00D62310" w:rsidRPr="009D445E" w:rsidTr="00646EFE">
        <w:trPr>
          <w:trHeight w:val="268"/>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atskaitomos suteiktos paramos ir labdaros sumos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22,4</w:t>
            </w:r>
          </w:p>
        </w:tc>
      </w:tr>
      <w:tr w:rsidR="00D62310" w:rsidRPr="009D445E" w:rsidTr="00646EFE">
        <w:trPr>
          <w:trHeight w:val="305"/>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neapmokestinamų dividendų, Lietuvos įmonių gaunamų iš užsienio vienetų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18,9**</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neapmokestinamų dividendų, Lietuvos įmonių mokamų užsienio vienetams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15</w:t>
            </w:r>
          </w:p>
        </w:tc>
      </w:tr>
      <w:tr w:rsidR="00D62310" w:rsidRPr="009D445E" w:rsidTr="00646EFE">
        <w:trPr>
          <w:trHeight w:val="7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Pelno mokesčio lengvatos filmo ar jo dalies gamybai</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8,6</w:t>
            </w:r>
          </w:p>
        </w:tc>
      </w:tr>
      <w:tr w:rsidR="00D62310" w:rsidRPr="009D445E" w:rsidTr="00646EFE">
        <w:trPr>
          <w:trHeight w:val="345"/>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pagal Pelno mokesčio įstatymo 12 straipsnį neapmokestinamų kolektyvinio investavimo subjektų, rizikos ir privataus kapitalo subjektų pajamų, įskaitant dividendus ir kitą paskirstytąjį pelną, taip pat neapmokestinamų pajamų, įskaitant turto vertės padidėjimo pajamas, dividendus ir kitą paskirstytąjį pelną, gautų iš kolektyvinio investavimo subjektų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7,9</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pagal Pelno mokesčio įstatymo 12 straipsnį neapmokestinamo iš neribotos civilinės atsakomybės juridinių asmenų (t.t. rizikos ir privataus kapitalo subjektų ) gauto pelno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5,8</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pelno nesiekiančių vienetų apmokestinamojo pelno sumažinimo lėšomis, kurios tiesiogiai skiriamos viešuosius interesus tenkinančiai veiklai finansuoti</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5,8</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tris kartus atskaitomų sąnaudų, patirtų atliekant mokslinius tyrimus ir vykdant eksperimentinę plėtrą</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5,4</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laisvosios ekonominės zonos įmonių apmokestinamojo pelno sumai taikomų lengvatų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5,2</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pagal Pelno mokesčio įstatymo 12 straipsnį neapmokestinamų sveikatos priežiūros įstaigų pajamų už paslaugas, kurios finansuojamos iš Privalomojo sveikatos draudimo fondo lėšų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4</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pagal Pelno mokesčio įstatymo 12 straipsnį neapmokestinamų tiesioginių ir kitų kompensacinių išmokų pajamų lygiui palaikyti, kurias gauna žemės ūkio veiklą vykdančios įmonės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3,7</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rPr>
            </w:pPr>
            <w:r>
              <w:rPr>
                <w:sz w:val="22"/>
              </w:rPr>
              <w:t>Dėl 10 proc. pelno mokesčio tarifo, taikomo užsienio įmonėms išmokėtoms honorarų, palūkanų ir kompensacijų už autorių arba gretutinių teisių pažeidimą pajamoms, kurių šaltinis yra Lietuvos Respublikoje</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3,5</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Pagal Pelno mokesčio įstatymo 56-1 straipsnį suteiktos galimybės perimti grupės įmonių nuostolį (vertinant tik iš užsienio įmonių perimtą nuostolį)</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2,7</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5 proc. pelno mokesčio tarifo apmokestinamajam pelnui, gautam iš pagal autorių teisę saugomos kompiuterio programos ar patentabilumo kriterijus atitinkančio išradimo naudojimo, pardavimo ar kitokio perleidimo nuosavybėn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2,2</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Pelno mokesčio sumažinimo, kai dirba riboto darbingumo asmenys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1,6</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Pelno mokesčio įstatymo 12 straipsnio nuostatas atitinkančių neapmokestinamų draudimo įmonių gautų gyvybės draudimo įmokų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1,2</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neapmokestinamų užsienio įmonėms išmokėtų palūkanų pajamų, kurių šaltinis yra Lietuvos Respublikoje</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0,8</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kooperatinių bendrovių (kooperatyvų), kurių pajamos iš žemės ūkio veiklos sudaro daugiau kaip 50 proc. pajamų, apmokestinamajam pelnui taikomo 5 proc. tarifo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0,6</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sz w:val="22"/>
                <w:szCs w:val="22"/>
              </w:rPr>
            </w:pPr>
            <w:r>
              <w:rPr>
                <w:sz w:val="22"/>
              </w:rPr>
              <w:t>Dėl neapmokestinamų dividendų, Lietuvos įmonių mokamų kitoms Lietuvos įmonėms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sz w:val="22"/>
                <w:szCs w:val="22"/>
              </w:rPr>
            </w:pPr>
            <w:r>
              <w:rPr>
                <w:sz w:val="22"/>
              </w:rPr>
              <w:t>0,5</w:t>
            </w:r>
          </w:p>
        </w:tc>
      </w:tr>
      <w:tr w:rsidR="00D62310" w:rsidRPr="009D445E"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D62310" w:rsidRPr="00126574" w:rsidRDefault="00D62310" w:rsidP="00646EFE">
            <w:pPr>
              <w:rPr>
                <w:b/>
                <w:bCs/>
                <w:color w:val="auto"/>
                <w:sz w:val="22"/>
                <w:szCs w:val="22"/>
              </w:rPr>
            </w:pPr>
            <w:r w:rsidRPr="00126574">
              <w:rPr>
                <w:b/>
                <w:bCs/>
                <w:color w:val="auto"/>
                <w:sz w:val="22"/>
                <w:szCs w:val="22"/>
              </w:rPr>
              <w:t>GYVENTOJŲ PAJAMŲ MOKESTIS iš viso:</w:t>
            </w:r>
          </w:p>
        </w:tc>
        <w:tc>
          <w:tcPr>
            <w:tcW w:w="1587" w:type="dxa"/>
            <w:tcBorders>
              <w:top w:val="single" w:sz="4" w:space="0" w:color="auto"/>
              <w:left w:val="single" w:sz="4" w:space="0" w:color="auto"/>
              <w:bottom w:val="single" w:sz="4" w:space="0" w:color="auto"/>
              <w:right w:val="single" w:sz="4" w:space="0" w:color="auto"/>
            </w:tcBorders>
            <w:shd w:val="clear" w:color="000000" w:fill="FFFF99"/>
            <w:vAlign w:val="center"/>
          </w:tcPr>
          <w:p w:rsidR="00D62310" w:rsidRPr="00126574" w:rsidRDefault="00D62310" w:rsidP="00646EFE">
            <w:pPr>
              <w:jc w:val="center"/>
              <w:rPr>
                <w:b/>
                <w:bCs/>
                <w:color w:val="auto"/>
                <w:sz w:val="22"/>
                <w:szCs w:val="22"/>
              </w:rPr>
            </w:pPr>
            <w:r w:rsidRPr="000D22B4">
              <w:rPr>
                <w:b/>
                <w:bCs/>
              </w:rPr>
              <w:t>1 140,9</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metinio neapmokestinamųjų pajamų dydžio taikymo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700</w:t>
            </w:r>
            <w:r>
              <w:rPr>
                <w:sz w:val="22"/>
              </w:rPr>
              <w:t>*</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neapmokestinamų dienpinigių ir padidėjusių išlaidų kompensacijų darbuotojams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227,1</w:t>
            </w:r>
            <w:r>
              <w:rPr>
                <w:sz w:val="22"/>
              </w:rPr>
              <w:t>*</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lastRenderedPageBreak/>
              <w:t>Dėl GPM grąžinimų pagal gyventojų deklaruotas išlaidas pagal GPM 21straipsnį</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60,2</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neapmokestinamųjų dovanų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49,1</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GPM kredito, taikomo individualios veiklos pajamoms (t.t. ir vykdant apmokestinamąją žemės ūkio individualią veiklą)</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44,7</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neapmokestinamųjų gyvybės draudimo išmokų ir grąžinamų įmokų, atitinkančių tam tikras sąlygas (išmokos pagal ilgalaikes draudimo sutartis, taip pat sutartis, kai naudos gavėjas yra beveik pensinio amžiaus ar neįgalus), bei neapmokestinamųjų išmokų iš pensijų fondų ir sumos, išmokamos išstojus iš pensijų fondo, atitinkančios tam tikras sąlygas; neapmokestinamųjų pensijų, pensijų anuitetų, rentų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17</w:t>
            </w:r>
            <w:r>
              <w:rPr>
                <w:sz w:val="22"/>
              </w:rPr>
              <w:t>*</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neapmokestinamų pajamų iš žemės ūkio veiklos (kompensacijos, tiesioginės išmokos, neapmokestinamos ne PVM mokėtojų pajamos iš žemės ūkio veiklos)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12,5</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neapmokestinamųjų darbuotojo naudai darbdavio mokamų draudimo įmokų už papildomą (savanorišką) sveikatos draudimą bei gyvybės draudimo įmokų ir pensijų įmokų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7</w:t>
            </w:r>
            <w:r>
              <w:rPr>
                <w:sz w:val="22"/>
              </w:rPr>
              <w:t>*</w:t>
            </w:r>
          </w:p>
        </w:tc>
      </w:tr>
      <w:tr w:rsidR="00D62310" w:rsidRPr="007355C6"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126574" w:rsidRDefault="00D62310" w:rsidP="00646EFE">
            <w:pPr>
              <w:rPr>
                <w:color w:val="auto"/>
                <w:sz w:val="22"/>
                <w:szCs w:val="22"/>
                <w:highlight w:val="yellow"/>
              </w:rPr>
            </w:pPr>
            <w:r w:rsidRPr="000D22B4">
              <w:rPr>
                <w:sz w:val="22"/>
              </w:rPr>
              <w:t>Dėl 5 proc. tarifo ne individualios veiklos pajamoms, gautoms pardavus ar kitaip nuosavybėn perleidus netauriųjų metalų laužą</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126574" w:rsidRDefault="00D62310" w:rsidP="00646EFE">
            <w:pPr>
              <w:jc w:val="center"/>
              <w:rPr>
                <w:color w:val="auto"/>
                <w:sz w:val="22"/>
                <w:szCs w:val="22"/>
              </w:rPr>
            </w:pPr>
            <w:r w:rsidRPr="000D22B4">
              <w:rPr>
                <w:sz w:val="22"/>
              </w:rPr>
              <w:t>6</w:t>
            </w:r>
            <w:r>
              <w:rPr>
                <w:sz w:val="22"/>
              </w:rPr>
              <w:t>*</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9C7A78" w:rsidRDefault="00D62310" w:rsidP="00646EFE">
            <w:pPr>
              <w:rPr>
                <w:color w:val="auto"/>
                <w:sz w:val="22"/>
                <w:szCs w:val="22"/>
              </w:rPr>
            </w:pPr>
            <w:r w:rsidRPr="000D22B4">
              <w:rPr>
                <w:sz w:val="22"/>
              </w:rPr>
              <w:t>Dėl neapmokestinamųjų pajamų už Europos ekonominėje erdvėje parduotą turtą ir būstą</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9C7A78" w:rsidRDefault="00D62310" w:rsidP="00646EFE">
            <w:pPr>
              <w:jc w:val="center"/>
              <w:rPr>
                <w:color w:val="auto"/>
                <w:sz w:val="22"/>
                <w:szCs w:val="22"/>
              </w:rPr>
            </w:pPr>
            <w:r w:rsidRPr="000D22B4">
              <w:rPr>
                <w:sz w:val="22"/>
              </w:rPr>
              <w:t>5,3</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9C7A78" w:rsidRDefault="00D62310" w:rsidP="00646EFE">
            <w:pPr>
              <w:rPr>
                <w:color w:val="auto"/>
                <w:sz w:val="22"/>
                <w:szCs w:val="22"/>
              </w:rPr>
            </w:pPr>
            <w:r w:rsidRPr="000D22B4">
              <w:rPr>
                <w:sz w:val="22"/>
              </w:rPr>
              <w:t>Dėl neapmokestinamųjų jūrininkų pajamų už darbą laivo, įregistruoto EEE jūrų laivų registre</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9C7A78" w:rsidRDefault="00D62310" w:rsidP="00646EFE">
            <w:pPr>
              <w:jc w:val="center"/>
              <w:rPr>
                <w:color w:val="auto"/>
                <w:sz w:val="22"/>
                <w:szCs w:val="22"/>
              </w:rPr>
            </w:pPr>
            <w:r w:rsidRPr="000D22B4">
              <w:rPr>
                <w:sz w:val="22"/>
              </w:rPr>
              <w:t>4</w:t>
            </w:r>
            <w:r>
              <w:rPr>
                <w:sz w:val="22"/>
              </w:rPr>
              <w:t>*</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9C7A78" w:rsidRDefault="00D62310" w:rsidP="00646EFE">
            <w:pPr>
              <w:rPr>
                <w:color w:val="auto"/>
                <w:sz w:val="22"/>
                <w:szCs w:val="22"/>
              </w:rPr>
            </w:pPr>
            <w:r w:rsidRPr="000D22B4">
              <w:rPr>
                <w:sz w:val="22"/>
              </w:rPr>
              <w:t>Dėl verslo liudijimų lengvatų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9C7A78" w:rsidRDefault="00D62310" w:rsidP="00646EFE">
            <w:pPr>
              <w:jc w:val="center"/>
              <w:rPr>
                <w:color w:val="auto"/>
                <w:sz w:val="22"/>
                <w:szCs w:val="22"/>
              </w:rPr>
            </w:pPr>
            <w:r w:rsidRPr="000D22B4">
              <w:rPr>
                <w:sz w:val="22"/>
              </w:rPr>
              <w:t>2,9</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9C7A78" w:rsidRDefault="00D62310" w:rsidP="00646EFE">
            <w:pPr>
              <w:rPr>
                <w:color w:val="auto"/>
                <w:sz w:val="22"/>
                <w:szCs w:val="22"/>
              </w:rPr>
            </w:pPr>
            <w:r w:rsidRPr="000D22B4">
              <w:rPr>
                <w:sz w:val="22"/>
              </w:rPr>
              <w:t>Dėl neapmokestinamųjų palūkanų už vertybinius popierius, indėlius ir suteiktus alternatyvaus finansavimo kreditus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9C7A78" w:rsidRDefault="00D62310" w:rsidP="00646EFE">
            <w:pPr>
              <w:jc w:val="center"/>
              <w:rPr>
                <w:color w:val="auto"/>
                <w:sz w:val="22"/>
                <w:szCs w:val="22"/>
              </w:rPr>
            </w:pPr>
            <w:r w:rsidRPr="000D22B4">
              <w:rPr>
                <w:sz w:val="22"/>
              </w:rPr>
              <w:t>2,3</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9C7A78" w:rsidRDefault="00D62310" w:rsidP="00646EFE">
            <w:pPr>
              <w:rPr>
                <w:color w:val="auto"/>
                <w:sz w:val="22"/>
                <w:szCs w:val="22"/>
              </w:rPr>
            </w:pPr>
            <w:r w:rsidRPr="000D22B4">
              <w:rPr>
                <w:sz w:val="22"/>
              </w:rPr>
              <w:t>Dėl neapmokestinamųjų loterijų laimėjimų iš Europos ekonominės erdvės valstybių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9C7A78" w:rsidRDefault="00D62310" w:rsidP="00646EFE">
            <w:pPr>
              <w:jc w:val="center"/>
              <w:rPr>
                <w:color w:val="auto"/>
                <w:sz w:val="22"/>
                <w:szCs w:val="22"/>
              </w:rPr>
            </w:pPr>
            <w:r w:rsidRPr="000D22B4">
              <w:rPr>
                <w:sz w:val="22"/>
              </w:rPr>
              <w:t>1,2</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Dėl neapmokestinamųjų pajamų, gautų teikiant paslaugas pagal paslaugų kvitą</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0,7</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 xml:space="preserve">Dėl neapmokestinamų pajamų iš finansinių priemonių pardavimo ar kitokio perleidimo nuosavybėn ar išvestinių finansinių priemonių realizavimo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0,2</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 xml:space="preserve">Dėl neapmokestinamųjų pajamų už gyventojų surinktas miško gėrybes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0,2</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Dėl neapmokestinamųjų pajamų iš kooperatinės bendrovės pelno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0,2</w:t>
            </w:r>
            <w:r>
              <w:rPr>
                <w:sz w:val="22"/>
              </w:rPr>
              <w:t>*</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Sporto, meno ir kitų konkursų tvarka skirtos premijos, mokamos iš valstybės ar savivaldybių biudžetų, meno kūrėjų organizacijų lėšų ar inicijuotos ne pelno siekiančių organizacijų</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0,2</w:t>
            </w:r>
            <w:r>
              <w:rPr>
                <w:sz w:val="22"/>
              </w:rPr>
              <w:t>*</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Sporto varžybų prizai, kai juos skiria sporto organizacijos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0,1</w:t>
            </w:r>
            <w:r>
              <w:rPr>
                <w:sz w:val="22"/>
              </w:rPr>
              <w:t>*</w:t>
            </w:r>
          </w:p>
        </w:tc>
      </w:tr>
      <w:tr w:rsidR="00D62310" w:rsidRPr="009C7A78" w:rsidTr="00646EFE">
        <w:trPr>
          <w:trHeight w:val="290"/>
        </w:trPr>
        <w:tc>
          <w:tcPr>
            <w:tcW w:w="8050" w:type="dxa"/>
            <w:tcBorders>
              <w:top w:val="single" w:sz="4" w:space="0" w:color="auto"/>
              <w:left w:val="single" w:sz="4" w:space="0" w:color="auto"/>
              <w:bottom w:val="single" w:sz="4" w:space="0" w:color="auto"/>
              <w:right w:val="single" w:sz="4" w:space="0" w:color="auto"/>
            </w:tcBorders>
            <w:shd w:val="clear" w:color="auto" w:fill="auto"/>
            <w:vAlign w:val="center"/>
          </w:tcPr>
          <w:p w:rsidR="00D62310" w:rsidRPr="000D22B4" w:rsidRDefault="00D62310" w:rsidP="00646EFE">
            <w:pPr>
              <w:rPr>
                <w:sz w:val="22"/>
              </w:rPr>
            </w:pPr>
            <w:r w:rsidRPr="000D22B4">
              <w:rPr>
                <w:sz w:val="22"/>
              </w:rPr>
              <w:t>Dėl neapmokestinamųjų palūkanų už pavėluotą atsiskaitymą už žemės ūkio produkciją</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310" w:rsidRPr="000D22B4" w:rsidRDefault="00D62310" w:rsidP="00646EFE">
            <w:pPr>
              <w:jc w:val="center"/>
              <w:rPr>
                <w:sz w:val="22"/>
              </w:rPr>
            </w:pPr>
            <w:r w:rsidRPr="000D22B4">
              <w:rPr>
                <w:sz w:val="22"/>
              </w:rPr>
              <w:t>0,0003</w:t>
            </w:r>
          </w:p>
        </w:tc>
      </w:tr>
    </w:tbl>
    <w:p w:rsidR="00D62310" w:rsidRPr="009C7A78" w:rsidRDefault="00D62310" w:rsidP="00D62310">
      <w:pPr>
        <w:tabs>
          <w:tab w:val="right" w:pos="9638"/>
        </w:tabs>
        <w:jc w:val="both"/>
        <w:rPr>
          <w:i/>
        </w:rPr>
      </w:pPr>
      <w:r w:rsidRPr="009C7A78">
        <w:rPr>
          <w:i/>
        </w:rPr>
        <w:t>*Prognozuojami duomenys</w:t>
      </w:r>
    </w:p>
    <w:p w:rsidR="00D62310" w:rsidRPr="009C7A78" w:rsidRDefault="00D62310" w:rsidP="00D62310">
      <w:pPr>
        <w:tabs>
          <w:tab w:val="right" w:pos="9638"/>
        </w:tabs>
        <w:jc w:val="both"/>
        <w:rPr>
          <w:i/>
        </w:rPr>
      </w:pPr>
      <w:r w:rsidRPr="009C7A78">
        <w:rPr>
          <w:i/>
        </w:rPr>
        <w:t>** Lengvatos įvertis apima ir pagal ES teisę privalomos lengvatos dalį</w:t>
      </w:r>
    </w:p>
    <w:p w:rsidR="00D62310" w:rsidRPr="009D445E" w:rsidRDefault="00D62310" w:rsidP="00D62310">
      <w:pPr>
        <w:jc w:val="both"/>
        <w:rPr>
          <w:i/>
          <w:sz w:val="22"/>
        </w:rPr>
      </w:pPr>
      <w:r>
        <w:rPr>
          <w:i/>
          <w:sz w:val="22"/>
        </w:rPr>
        <w:t>Šaltinis – Finansų ministerija</w:t>
      </w:r>
    </w:p>
    <w:p w:rsidR="00370E63" w:rsidRDefault="00370E63" w:rsidP="00247C32">
      <w:pPr>
        <w:pStyle w:val="Antrat33"/>
        <w:spacing w:line="264" w:lineRule="auto"/>
        <w:ind w:right="-266"/>
        <w:jc w:val="center"/>
        <w:rPr>
          <w:sz w:val="28"/>
          <w:szCs w:val="20"/>
          <w:highlight w:val="yellow"/>
        </w:rPr>
      </w:pPr>
    </w:p>
    <w:p w:rsidR="00D62310" w:rsidRDefault="00D62310"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8E21F2" w:rsidRDefault="008E21F2" w:rsidP="00247C32">
      <w:pPr>
        <w:pStyle w:val="Antrat33"/>
        <w:spacing w:line="264" w:lineRule="auto"/>
        <w:ind w:right="-266"/>
        <w:jc w:val="center"/>
        <w:rPr>
          <w:sz w:val="28"/>
          <w:szCs w:val="20"/>
          <w:highlight w:val="yellow"/>
        </w:rPr>
      </w:pPr>
    </w:p>
    <w:p w:rsidR="000760CF" w:rsidRPr="00A30960" w:rsidRDefault="00727AF4" w:rsidP="00247C32">
      <w:pPr>
        <w:pStyle w:val="Antrat33"/>
        <w:spacing w:line="264" w:lineRule="auto"/>
        <w:ind w:right="-266"/>
        <w:jc w:val="center"/>
        <w:rPr>
          <w:sz w:val="28"/>
          <w:szCs w:val="20"/>
        </w:rPr>
      </w:pPr>
      <w:r w:rsidRPr="00A30960">
        <w:rPr>
          <w:sz w:val="28"/>
          <w:szCs w:val="20"/>
        </w:rPr>
        <w:lastRenderedPageBreak/>
        <w:t>IV skyrius</w:t>
      </w:r>
    </w:p>
    <w:p w:rsidR="00247C32" w:rsidRPr="00A30960" w:rsidRDefault="00AB2F45" w:rsidP="00247C32">
      <w:pPr>
        <w:pStyle w:val="Antrat33"/>
        <w:spacing w:line="264" w:lineRule="auto"/>
        <w:ind w:right="-266"/>
        <w:jc w:val="center"/>
        <w:rPr>
          <w:sz w:val="28"/>
          <w:szCs w:val="20"/>
        </w:rPr>
      </w:pPr>
      <w:r w:rsidRPr="00A30960">
        <w:rPr>
          <w:sz w:val="28"/>
          <w:szCs w:val="20"/>
        </w:rPr>
        <w:t>V</w:t>
      </w:r>
      <w:r w:rsidR="00247C32" w:rsidRPr="00A30960">
        <w:rPr>
          <w:sz w:val="28"/>
          <w:szCs w:val="20"/>
        </w:rPr>
        <w:t>alstybės biudžeto išlaidų plano vykdymas</w:t>
      </w:r>
    </w:p>
    <w:p w:rsidR="00D51786" w:rsidRPr="00A30960" w:rsidRDefault="00D51786" w:rsidP="00247C32">
      <w:pPr>
        <w:pStyle w:val="Antrat33"/>
        <w:spacing w:line="264" w:lineRule="auto"/>
        <w:ind w:right="-266"/>
        <w:jc w:val="center"/>
        <w:rPr>
          <w:sz w:val="28"/>
          <w:szCs w:val="20"/>
        </w:rPr>
      </w:pPr>
    </w:p>
    <w:p w:rsidR="00D51786" w:rsidRPr="00A30960" w:rsidRDefault="00E8017D" w:rsidP="00C05CCB">
      <w:pPr>
        <w:pStyle w:val="Antrat33"/>
        <w:spacing w:line="264" w:lineRule="auto"/>
        <w:ind w:right="-266" w:firstLine="0"/>
        <w:rPr>
          <w:color w:val="auto"/>
          <w:sz w:val="22"/>
        </w:rPr>
      </w:pPr>
      <w:r w:rsidRPr="00A30960">
        <w:rPr>
          <w:color w:val="auto"/>
          <w:sz w:val="22"/>
        </w:rPr>
        <w:t>INFORMACIJA APIE VALSTYBĖS BIUDŽETO ASIGNAVIMŲ PLANĄ IR JO PATIKS</w:t>
      </w:r>
      <w:r w:rsidR="003C1570">
        <w:rPr>
          <w:color w:val="auto"/>
          <w:sz w:val="22"/>
        </w:rPr>
        <w:t>L</w:t>
      </w:r>
      <w:r w:rsidRPr="00A30960">
        <w:rPr>
          <w:color w:val="auto"/>
          <w:sz w:val="22"/>
        </w:rPr>
        <w:t>INIMĄ</w:t>
      </w:r>
    </w:p>
    <w:p w:rsidR="00701F2A" w:rsidRPr="00FE3345" w:rsidRDefault="00701F2A" w:rsidP="00D07EFF">
      <w:pPr>
        <w:pStyle w:val="Pagrindiniotekstotrauka"/>
        <w:tabs>
          <w:tab w:val="left" w:pos="360"/>
        </w:tabs>
        <w:spacing w:after="0"/>
        <w:ind w:left="0" w:firstLine="539"/>
        <w:jc w:val="both"/>
        <w:rPr>
          <w:color w:val="auto"/>
        </w:rPr>
      </w:pPr>
    </w:p>
    <w:p w:rsidR="00D07EFF" w:rsidRPr="004272C9" w:rsidRDefault="002115D3" w:rsidP="00D07EFF">
      <w:pPr>
        <w:pStyle w:val="Pagrindiniotekstotrauka"/>
        <w:tabs>
          <w:tab w:val="left" w:pos="360"/>
        </w:tabs>
        <w:spacing w:after="0"/>
        <w:ind w:left="0" w:firstLine="539"/>
        <w:jc w:val="both"/>
        <w:rPr>
          <w:color w:val="auto"/>
          <w:highlight w:val="yellow"/>
        </w:rPr>
      </w:pPr>
      <w:r w:rsidRPr="00FE3345">
        <w:rPr>
          <w:color w:val="auto"/>
        </w:rPr>
        <w:t>Finansinių rodiklių patvirtinimo įstatymu 20</w:t>
      </w:r>
      <w:r w:rsidR="00FE3345" w:rsidRPr="00FE3345">
        <w:rPr>
          <w:color w:val="auto"/>
        </w:rPr>
        <w:t>20</w:t>
      </w:r>
      <w:r w:rsidRPr="00FE3345">
        <w:rPr>
          <w:color w:val="auto"/>
        </w:rPr>
        <w:t xml:space="preserve"> metais buvo patvirtinta </w:t>
      </w:r>
      <w:r w:rsidR="0002669C" w:rsidRPr="00FE3345">
        <w:rPr>
          <w:b/>
          <w:color w:val="auto"/>
        </w:rPr>
        <w:t>1</w:t>
      </w:r>
      <w:r w:rsidR="00FE3345" w:rsidRPr="00FE3345">
        <w:rPr>
          <w:b/>
          <w:color w:val="auto"/>
        </w:rPr>
        <w:t>2</w:t>
      </w:r>
      <w:r w:rsidR="0002669C" w:rsidRPr="00FE3345">
        <w:rPr>
          <w:b/>
          <w:color w:val="auto"/>
        </w:rPr>
        <w:t xml:space="preserve"> 7</w:t>
      </w:r>
      <w:r w:rsidR="00FE3345" w:rsidRPr="00FE3345">
        <w:rPr>
          <w:b/>
          <w:color w:val="auto"/>
        </w:rPr>
        <w:t>78</w:t>
      </w:r>
      <w:r w:rsidRPr="00FE3345">
        <w:rPr>
          <w:b/>
          <w:color w:val="auto"/>
        </w:rPr>
        <w:t>,</w:t>
      </w:r>
      <w:r w:rsidR="00FE3345" w:rsidRPr="00FE3345">
        <w:rPr>
          <w:b/>
          <w:color w:val="auto"/>
        </w:rPr>
        <w:t>5</w:t>
      </w:r>
      <w:r w:rsidRPr="00FE3345">
        <w:rPr>
          <w:b/>
          <w:color w:val="auto"/>
        </w:rPr>
        <w:t xml:space="preserve"> mln. eurų</w:t>
      </w:r>
      <w:r w:rsidRPr="00FE3345">
        <w:rPr>
          <w:color w:val="auto"/>
        </w:rPr>
        <w:t xml:space="preserve"> </w:t>
      </w:r>
      <w:r w:rsidRPr="000D3A94">
        <w:rPr>
          <w:color w:val="auto"/>
        </w:rPr>
        <w:t xml:space="preserve">asignavimų išlaidoms ir turtui įsigyti. </w:t>
      </w:r>
      <w:r w:rsidR="00D07EFF" w:rsidRPr="000D3A94">
        <w:rPr>
          <w:color w:val="auto"/>
        </w:rPr>
        <w:t>Iš viso 20</w:t>
      </w:r>
      <w:r w:rsidR="000D3A94" w:rsidRPr="000D3A94">
        <w:rPr>
          <w:color w:val="auto"/>
        </w:rPr>
        <w:t>20</w:t>
      </w:r>
      <w:r w:rsidR="00D07EFF" w:rsidRPr="000D3A94">
        <w:rPr>
          <w:color w:val="auto"/>
        </w:rPr>
        <w:t xml:space="preserve"> metais valstybės biudžeto asignavimai išlaidoms ir turtui įsigyti </w:t>
      </w:r>
      <w:r w:rsidR="00D07EFF" w:rsidRPr="00150832">
        <w:rPr>
          <w:color w:val="auto"/>
        </w:rPr>
        <w:t xml:space="preserve">su leistinais patikslinimais, kai viršijama įstatymu patvirtinta suma, sudarė </w:t>
      </w:r>
      <w:r w:rsidR="00920584" w:rsidRPr="00150832">
        <w:rPr>
          <w:b/>
          <w:color w:val="auto"/>
        </w:rPr>
        <w:t>1</w:t>
      </w:r>
      <w:r w:rsidR="000D3A94" w:rsidRPr="00150832">
        <w:rPr>
          <w:b/>
          <w:color w:val="auto"/>
        </w:rPr>
        <w:t>6</w:t>
      </w:r>
      <w:r w:rsidR="00D07EFF" w:rsidRPr="00150832">
        <w:rPr>
          <w:b/>
          <w:color w:val="auto"/>
        </w:rPr>
        <w:t xml:space="preserve"> </w:t>
      </w:r>
      <w:r w:rsidR="000D3A94" w:rsidRPr="00150832">
        <w:rPr>
          <w:b/>
          <w:color w:val="auto"/>
        </w:rPr>
        <w:t>394</w:t>
      </w:r>
      <w:r w:rsidR="00D07EFF" w:rsidRPr="00150832">
        <w:rPr>
          <w:b/>
          <w:color w:val="auto"/>
        </w:rPr>
        <w:t>,</w:t>
      </w:r>
      <w:r w:rsidR="000D3A94" w:rsidRPr="00150832">
        <w:rPr>
          <w:b/>
          <w:color w:val="auto"/>
        </w:rPr>
        <w:t>7</w:t>
      </w:r>
      <w:r w:rsidR="00D07EFF" w:rsidRPr="00150832">
        <w:rPr>
          <w:b/>
          <w:color w:val="auto"/>
        </w:rPr>
        <w:t xml:space="preserve"> mln. eurų</w:t>
      </w:r>
      <w:r w:rsidR="00E86C7E">
        <w:rPr>
          <w:b/>
          <w:color w:val="auto"/>
        </w:rPr>
        <w:t xml:space="preserve">. </w:t>
      </w:r>
      <w:r w:rsidR="00E86C7E">
        <w:rPr>
          <w:color w:val="auto"/>
        </w:rPr>
        <w:t>A</w:t>
      </w:r>
      <w:r w:rsidR="00D07EFF" w:rsidRPr="00150832">
        <w:rPr>
          <w:color w:val="auto"/>
        </w:rPr>
        <w:t xml:space="preserve">signavimų planas padidintas </w:t>
      </w:r>
      <w:r w:rsidR="00E10D4F" w:rsidRPr="00150832">
        <w:rPr>
          <w:b/>
          <w:color w:val="auto"/>
        </w:rPr>
        <w:t>3</w:t>
      </w:r>
      <w:r w:rsidR="00150832" w:rsidRPr="00150832">
        <w:rPr>
          <w:b/>
          <w:color w:val="auto"/>
        </w:rPr>
        <w:t xml:space="preserve"> 616</w:t>
      </w:r>
      <w:r w:rsidR="00D07EFF" w:rsidRPr="00150832">
        <w:rPr>
          <w:b/>
          <w:color w:val="auto"/>
        </w:rPr>
        <w:t>,</w:t>
      </w:r>
      <w:r w:rsidR="00255AB2" w:rsidRPr="00150832">
        <w:rPr>
          <w:b/>
          <w:color w:val="auto"/>
        </w:rPr>
        <w:t>2</w:t>
      </w:r>
      <w:r w:rsidR="00D07EFF" w:rsidRPr="00150832">
        <w:rPr>
          <w:b/>
          <w:color w:val="auto"/>
        </w:rPr>
        <w:t xml:space="preserve"> mln. eurų</w:t>
      </w:r>
      <w:r w:rsidR="00D07EFF" w:rsidRPr="00150832">
        <w:rPr>
          <w:color w:val="auto"/>
        </w:rPr>
        <w:t xml:space="preserve"> (detali informacija pateikta aiškinamojo rašto </w:t>
      </w:r>
      <w:r w:rsidR="00D07EFF" w:rsidRPr="00150832">
        <w:rPr>
          <w:b/>
          <w:color w:val="auto"/>
        </w:rPr>
        <w:t>4 priede</w:t>
      </w:r>
      <w:r w:rsidR="00D07EFF" w:rsidRPr="00150832">
        <w:rPr>
          <w:color w:val="auto"/>
        </w:rPr>
        <w:t>)</w:t>
      </w:r>
      <w:r w:rsidR="00450949">
        <w:rPr>
          <w:color w:val="auto"/>
        </w:rPr>
        <w:t xml:space="preserve"> </w:t>
      </w:r>
      <w:r w:rsidR="00E86C7E">
        <w:rPr>
          <w:color w:val="auto"/>
        </w:rPr>
        <w:t>dėl šių priežasčių:</w:t>
      </w:r>
    </w:p>
    <w:p w:rsidR="002115D3" w:rsidRPr="00D8155B" w:rsidRDefault="002115D3" w:rsidP="00C7472D">
      <w:pPr>
        <w:pStyle w:val="Pagrindiniotekstotrauka"/>
        <w:numPr>
          <w:ilvl w:val="0"/>
          <w:numId w:val="28"/>
        </w:numPr>
        <w:tabs>
          <w:tab w:val="left" w:pos="360"/>
        </w:tabs>
        <w:spacing w:after="0"/>
        <w:ind w:left="0" w:firstLine="899"/>
        <w:jc w:val="both"/>
        <w:rPr>
          <w:color w:val="auto"/>
        </w:rPr>
      </w:pPr>
      <w:r w:rsidRPr="00997FFE">
        <w:rPr>
          <w:color w:val="auto"/>
        </w:rPr>
        <w:t xml:space="preserve">Asignavimų valdytojai, vadovaudamiesi Biudžeto sandaros įstatymo </w:t>
      </w:r>
      <w:r w:rsidRPr="00546B20">
        <w:rPr>
          <w:color w:val="auto"/>
        </w:rPr>
        <w:t>14</w:t>
      </w:r>
      <w:r w:rsidR="00040625" w:rsidRPr="00546B20">
        <w:rPr>
          <w:color w:val="auto"/>
        </w:rPr>
        <w:t xml:space="preserve"> straipsnio </w:t>
      </w:r>
      <w:r w:rsidR="00040625" w:rsidRPr="00997FFE">
        <w:rPr>
          <w:color w:val="auto"/>
        </w:rPr>
        <w:t>nuostatomis, 201</w:t>
      </w:r>
      <w:r w:rsidR="00997FFE" w:rsidRPr="00997FFE">
        <w:rPr>
          <w:color w:val="auto"/>
        </w:rPr>
        <w:t>9</w:t>
      </w:r>
      <w:r w:rsidR="00040625" w:rsidRPr="00997FFE">
        <w:rPr>
          <w:color w:val="auto"/>
        </w:rPr>
        <w:t xml:space="preserve"> metais</w:t>
      </w:r>
      <w:r w:rsidRPr="00997FFE">
        <w:rPr>
          <w:color w:val="auto"/>
        </w:rPr>
        <w:t xml:space="preserve"> nepanaudotą valstybės biudžeto pajamų dalį, kurios panaudojimo apimtis ir paskirtis nurodyta įstatyme ar Vyriausybės nutarime, įmokėtas, bet nepanaudotas biudžetinių įstaigų pajamas, perkėlė į 20</w:t>
      </w:r>
      <w:r w:rsidR="00997FFE" w:rsidRPr="00997FFE">
        <w:rPr>
          <w:color w:val="auto"/>
        </w:rPr>
        <w:t>20</w:t>
      </w:r>
      <w:r w:rsidRPr="00997FFE">
        <w:rPr>
          <w:color w:val="auto"/>
        </w:rPr>
        <w:t xml:space="preserve"> metus</w:t>
      </w:r>
      <w:r w:rsidRPr="00C33421">
        <w:rPr>
          <w:color w:val="auto"/>
        </w:rPr>
        <w:t xml:space="preserve">. Einamųjų metų viršplanines biudžetinių įstaigų pajamų įmokas į biudžetą, skirtas programoms finansuoti, </w:t>
      </w:r>
      <w:r w:rsidR="00040625" w:rsidRPr="00C33421">
        <w:rPr>
          <w:color w:val="auto"/>
        </w:rPr>
        <w:t xml:space="preserve">asignavimų valdytojai </w:t>
      </w:r>
      <w:r w:rsidRPr="00C33421">
        <w:rPr>
          <w:color w:val="auto"/>
        </w:rPr>
        <w:t xml:space="preserve">taip pat naudojo viršydami įstatymu patvirtintas bendras asignavimų sumas. Dėl šių priežasčių bendras asignavimų planas su leistinais patikslinimais, kai viršijama </w:t>
      </w:r>
      <w:r w:rsidRPr="00D8155B">
        <w:rPr>
          <w:color w:val="auto"/>
        </w:rPr>
        <w:t xml:space="preserve">įstatymu patvirtinta suma, padidintas </w:t>
      </w:r>
      <w:r w:rsidR="00C45D60" w:rsidRPr="00D8155B">
        <w:rPr>
          <w:color w:val="auto"/>
        </w:rPr>
        <w:t>1</w:t>
      </w:r>
      <w:r w:rsidR="00B46789" w:rsidRPr="00D8155B">
        <w:rPr>
          <w:color w:val="auto"/>
        </w:rPr>
        <w:t>6</w:t>
      </w:r>
      <w:r w:rsidR="00C33421" w:rsidRPr="00D8155B">
        <w:rPr>
          <w:color w:val="auto"/>
        </w:rPr>
        <w:t>6</w:t>
      </w:r>
      <w:r w:rsidR="00C45D60" w:rsidRPr="00D8155B">
        <w:rPr>
          <w:color w:val="auto"/>
        </w:rPr>
        <w:t>,</w:t>
      </w:r>
      <w:r w:rsidR="00C33421" w:rsidRPr="00D8155B">
        <w:rPr>
          <w:color w:val="auto"/>
        </w:rPr>
        <w:t>9</w:t>
      </w:r>
      <w:r w:rsidRPr="00D8155B">
        <w:rPr>
          <w:color w:val="auto"/>
        </w:rPr>
        <w:t xml:space="preserve"> mln. eurų. </w:t>
      </w:r>
    </w:p>
    <w:p w:rsidR="00B864B1" w:rsidRPr="006F7914" w:rsidRDefault="00FC44D4" w:rsidP="00C7472D">
      <w:pPr>
        <w:pStyle w:val="Sraopastraipa"/>
        <w:numPr>
          <w:ilvl w:val="0"/>
          <w:numId w:val="28"/>
        </w:numPr>
        <w:ind w:left="0" w:firstLine="899"/>
        <w:jc w:val="both"/>
        <w:rPr>
          <w:color w:val="auto"/>
        </w:rPr>
      </w:pPr>
      <w:r w:rsidRPr="00C7472D">
        <w:rPr>
          <w:color w:val="auto"/>
        </w:rPr>
        <w:t xml:space="preserve">Vadovaudamasi </w:t>
      </w:r>
      <w:r w:rsidR="002115D3" w:rsidRPr="00C7472D">
        <w:rPr>
          <w:color w:val="auto"/>
        </w:rPr>
        <w:t>Finansinių rodiklių patvirtinimo įstatymo 1</w:t>
      </w:r>
      <w:r w:rsidR="00C07B4C" w:rsidRPr="00C7472D">
        <w:rPr>
          <w:color w:val="auto"/>
        </w:rPr>
        <w:t>3</w:t>
      </w:r>
      <w:r w:rsidR="002115D3" w:rsidRPr="00C7472D">
        <w:rPr>
          <w:color w:val="auto"/>
        </w:rPr>
        <w:t xml:space="preserve"> straipsnio 1 dalies </w:t>
      </w:r>
      <w:r w:rsidR="00027717" w:rsidRPr="00C7472D">
        <w:rPr>
          <w:color w:val="auto"/>
        </w:rPr>
        <w:t>5</w:t>
      </w:r>
      <w:r w:rsidR="002115D3" w:rsidRPr="00C7472D">
        <w:rPr>
          <w:color w:val="auto"/>
        </w:rPr>
        <w:t xml:space="preserve"> punktu suteikta teise, Vyriausybė skyrė asignavimų valdytojams </w:t>
      </w:r>
      <w:r w:rsidR="00D8155B" w:rsidRPr="00C7472D">
        <w:rPr>
          <w:b/>
          <w:color w:val="auto"/>
        </w:rPr>
        <w:t>3 438</w:t>
      </w:r>
      <w:r w:rsidR="002215C7" w:rsidRPr="00C7472D">
        <w:rPr>
          <w:b/>
          <w:color w:val="auto"/>
        </w:rPr>
        <w:t>,</w:t>
      </w:r>
      <w:r w:rsidR="00D8155B" w:rsidRPr="00C7472D">
        <w:rPr>
          <w:b/>
          <w:color w:val="auto"/>
        </w:rPr>
        <w:t>4</w:t>
      </w:r>
      <w:r w:rsidR="002115D3" w:rsidRPr="00C7472D">
        <w:rPr>
          <w:b/>
          <w:color w:val="auto"/>
        </w:rPr>
        <w:t xml:space="preserve"> mln. eurų</w:t>
      </w:r>
      <w:r w:rsidR="002115D3" w:rsidRPr="00C7472D">
        <w:rPr>
          <w:color w:val="auto"/>
        </w:rPr>
        <w:t xml:space="preserve"> valstybės vardu pasiskolintų lėšų, kurios buvo naudojamos viršijant Seimo patvirtintas bendras asignavimų sumas</w:t>
      </w:r>
      <w:r w:rsidR="005F418D" w:rsidRPr="00B03193">
        <w:rPr>
          <w:rStyle w:val="Puslapioinaosnuoroda"/>
        </w:rPr>
        <w:footnoteReference w:id="13"/>
      </w:r>
      <w:r w:rsidR="002115D3" w:rsidRPr="00C7472D">
        <w:rPr>
          <w:color w:val="auto"/>
        </w:rPr>
        <w:t xml:space="preserve">. </w:t>
      </w:r>
      <w:r w:rsidR="00A867B1" w:rsidRPr="00C7472D">
        <w:rPr>
          <w:color w:val="auto"/>
        </w:rPr>
        <w:lastRenderedPageBreak/>
        <w:t>A</w:t>
      </w:r>
      <w:r w:rsidR="005730D1" w:rsidRPr="00C7472D">
        <w:rPr>
          <w:color w:val="auto"/>
        </w:rPr>
        <w:t>tsižvelgiant į Lietuvos Respublikos Vyriausybės 2020 m. vasario 26 d. nutarimą Nr. 152 „Dėl valstybės lygio ekstremaliosios situacijos paskelbimo“</w:t>
      </w:r>
      <w:r w:rsidR="00E109B0" w:rsidRPr="00C7472D">
        <w:rPr>
          <w:color w:val="auto"/>
        </w:rPr>
        <w:t>,</w:t>
      </w:r>
      <w:r w:rsidR="00E5584F" w:rsidRPr="00C7472D">
        <w:rPr>
          <w:color w:val="auto"/>
        </w:rPr>
        <w:t xml:space="preserve"> </w:t>
      </w:r>
      <w:r w:rsidR="005F418D" w:rsidRPr="00C7472D">
        <w:rPr>
          <w:color w:val="auto"/>
        </w:rPr>
        <w:t>3 294,3</w:t>
      </w:r>
      <w:r w:rsidR="00A93DC1" w:rsidRPr="00C7472D">
        <w:rPr>
          <w:color w:val="auto"/>
        </w:rPr>
        <w:t xml:space="preserve"> mln. eurų</w:t>
      </w:r>
      <w:r w:rsidR="00A867B1" w:rsidRPr="00C7472D">
        <w:rPr>
          <w:color w:val="auto"/>
        </w:rPr>
        <w:t xml:space="preserve"> skirta</w:t>
      </w:r>
      <w:r w:rsidR="00E5584F" w:rsidRPr="00C7472D">
        <w:rPr>
          <w:color w:val="auto"/>
        </w:rPr>
        <w:t xml:space="preserve"> </w:t>
      </w:r>
      <w:r w:rsidR="00A867B1" w:rsidRPr="00C7472D">
        <w:rPr>
          <w:color w:val="auto"/>
        </w:rPr>
        <w:t>įgyvendinti</w:t>
      </w:r>
      <w:r w:rsidR="00E5584F" w:rsidRPr="00C7472D">
        <w:rPr>
          <w:color w:val="auto"/>
        </w:rPr>
        <w:t xml:space="preserve"> Ekonomikos skatinimo ir koronaviruso (COVID-19) plitimo sukeltų pasekmių mažinimo priemonių plan</w:t>
      </w:r>
      <w:r w:rsidR="00647523" w:rsidRPr="00C7472D">
        <w:rPr>
          <w:color w:val="auto"/>
        </w:rPr>
        <w:t>ą</w:t>
      </w:r>
      <w:r w:rsidR="00E5584F" w:rsidRPr="00C7472D">
        <w:rPr>
          <w:color w:val="auto"/>
        </w:rPr>
        <w:t>, kuriam pritarta Lietuvos Respublikos Vyriausybės 2020 m. kovo 16 d. pasitarime (pasitarimo pr</w:t>
      </w:r>
      <w:r w:rsidR="009B6CAA" w:rsidRPr="00C7472D">
        <w:rPr>
          <w:color w:val="auto"/>
        </w:rPr>
        <w:t>otokolas Nr. 14) ir kurio naujausiai</w:t>
      </w:r>
      <w:r w:rsidR="00E5584F" w:rsidRPr="00C7472D">
        <w:rPr>
          <w:color w:val="auto"/>
        </w:rPr>
        <w:t xml:space="preserve"> redakcijai pritarta Lietuvos Respublikos Vyriausybės 2020 m. </w:t>
      </w:r>
      <w:r w:rsidR="009B6CAA" w:rsidRPr="00C7472D">
        <w:rPr>
          <w:color w:val="auto"/>
        </w:rPr>
        <w:t>gruodžio 9</w:t>
      </w:r>
      <w:r w:rsidR="00E5584F" w:rsidRPr="00C7472D">
        <w:rPr>
          <w:color w:val="auto"/>
        </w:rPr>
        <w:t xml:space="preserve"> d. pasitarime (</w:t>
      </w:r>
      <w:r w:rsidR="009B6CAA" w:rsidRPr="00C7472D">
        <w:rPr>
          <w:color w:val="auto"/>
        </w:rPr>
        <w:t>pasitarimo protokolas Nr. 54</w:t>
      </w:r>
      <w:r w:rsidR="00C93D60" w:rsidRPr="00C7472D">
        <w:rPr>
          <w:color w:val="auto"/>
        </w:rPr>
        <w:t>) (toliau – Priemonių planas)</w:t>
      </w:r>
      <w:r w:rsidR="005F418D" w:rsidRPr="00C7472D">
        <w:rPr>
          <w:color w:val="auto"/>
        </w:rPr>
        <w:t>.</w:t>
      </w:r>
      <w:r w:rsidR="005F418D" w:rsidRPr="00572475">
        <w:t xml:space="preserve"> </w:t>
      </w:r>
      <w:r w:rsidR="00B864B1" w:rsidRPr="006F7914">
        <w:t xml:space="preserve">Vyriausybė kitiems tikslams, kurie </w:t>
      </w:r>
      <w:r w:rsidR="002E6E1D" w:rsidRPr="006F7914">
        <w:t>nesusiję</w:t>
      </w:r>
      <w:r w:rsidR="00B864B1" w:rsidRPr="006F7914">
        <w:t xml:space="preserve"> su Priemonių</w:t>
      </w:r>
      <w:r w:rsidR="002E6E1D" w:rsidRPr="006F7914">
        <w:t xml:space="preserve"> plane nustatytais tikslais ir priemonėmis</w:t>
      </w:r>
      <w:r w:rsidR="00B864B1" w:rsidRPr="006F7914">
        <w:t>, asignavimų valdytojams</w:t>
      </w:r>
      <w:r w:rsidR="002E6E1D" w:rsidRPr="006F7914">
        <w:t xml:space="preserve"> iš </w:t>
      </w:r>
      <w:r w:rsidR="002E6E1D" w:rsidRPr="006F7914">
        <w:rPr>
          <w:color w:val="auto"/>
        </w:rPr>
        <w:t>valstybės vardu pasiskolintų lėšų</w:t>
      </w:r>
      <w:r w:rsidR="00B864B1" w:rsidRPr="006F7914">
        <w:t xml:space="preserve"> skyrė 144,1 mln. eurų.</w:t>
      </w:r>
    </w:p>
    <w:p w:rsidR="006F7914" w:rsidRDefault="006F7914" w:rsidP="006F7914">
      <w:pPr>
        <w:jc w:val="both"/>
        <w:rPr>
          <w:b/>
          <w:color w:val="auto"/>
        </w:rPr>
      </w:pPr>
    </w:p>
    <w:p w:rsidR="006F7914" w:rsidRDefault="006F7914" w:rsidP="006F7914">
      <w:pPr>
        <w:jc w:val="both"/>
        <w:rPr>
          <w:color w:val="auto"/>
        </w:rPr>
      </w:pPr>
      <w:r w:rsidRPr="006F7914">
        <w:rPr>
          <w:b/>
          <w:color w:val="auto"/>
        </w:rPr>
        <w:t>9 lentelė</w:t>
      </w:r>
      <w:r w:rsidRPr="006F7914">
        <w:rPr>
          <w:color w:val="auto"/>
        </w:rPr>
        <w:t xml:space="preserve">. 2020 metų </w:t>
      </w:r>
      <w:r w:rsidRPr="00C7472D">
        <w:rPr>
          <w:color w:val="auto"/>
        </w:rPr>
        <w:t>Vyriausybė</w:t>
      </w:r>
      <w:r w:rsidR="009563A1">
        <w:rPr>
          <w:color w:val="auto"/>
        </w:rPr>
        <w:t>s</w:t>
      </w:r>
      <w:r w:rsidRPr="00C7472D">
        <w:rPr>
          <w:color w:val="auto"/>
        </w:rPr>
        <w:t xml:space="preserve"> </w:t>
      </w:r>
      <w:r>
        <w:rPr>
          <w:color w:val="auto"/>
        </w:rPr>
        <w:t>skirti</w:t>
      </w:r>
      <w:r w:rsidR="000C255D">
        <w:rPr>
          <w:color w:val="auto"/>
        </w:rPr>
        <w:t xml:space="preserve"> </w:t>
      </w:r>
      <w:r w:rsidRPr="00C7472D">
        <w:rPr>
          <w:color w:val="auto"/>
        </w:rPr>
        <w:t>asignavim</w:t>
      </w:r>
      <w:r>
        <w:rPr>
          <w:color w:val="auto"/>
        </w:rPr>
        <w:t>ai</w:t>
      </w:r>
      <w:r w:rsidRPr="00C7472D">
        <w:rPr>
          <w:color w:val="auto"/>
        </w:rPr>
        <w:t xml:space="preserve"> </w:t>
      </w:r>
      <w:r>
        <w:rPr>
          <w:color w:val="auto"/>
        </w:rPr>
        <w:t>iš</w:t>
      </w:r>
      <w:r w:rsidRPr="00C7472D">
        <w:rPr>
          <w:color w:val="auto"/>
        </w:rPr>
        <w:t xml:space="preserve"> valstybės vardu pasiskolintų lėšų</w:t>
      </w:r>
      <w:r w:rsidRPr="006F7914">
        <w:rPr>
          <w:color w:val="auto"/>
        </w:rPr>
        <w:t xml:space="preserve"> </w:t>
      </w:r>
      <w:r>
        <w:rPr>
          <w:color w:val="auto"/>
        </w:rPr>
        <w:t>pagal asignavimų valdytojus</w:t>
      </w:r>
      <w:r w:rsidRPr="006F7914">
        <w:rPr>
          <w:color w:val="auto"/>
        </w:rPr>
        <w:t>, mln. eurų</w:t>
      </w:r>
    </w:p>
    <w:tbl>
      <w:tblPr>
        <w:tblW w:w="5000" w:type="pct"/>
        <w:tblLook w:val="04A0" w:firstRow="1" w:lastRow="0" w:firstColumn="1" w:lastColumn="0" w:noHBand="0" w:noVBand="1"/>
      </w:tblPr>
      <w:tblGrid>
        <w:gridCol w:w="4220"/>
        <w:gridCol w:w="1878"/>
        <w:gridCol w:w="1878"/>
        <w:gridCol w:w="1878"/>
      </w:tblGrid>
      <w:tr w:rsidR="00E3011B" w:rsidRPr="0013453C" w:rsidTr="00E3011B">
        <w:trPr>
          <w:trHeight w:val="340"/>
        </w:trPr>
        <w:tc>
          <w:tcPr>
            <w:tcW w:w="2141" w:type="pct"/>
            <w:vMerge w:val="restart"/>
            <w:tcBorders>
              <w:top w:val="single" w:sz="4" w:space="0" w:color="auto"/>
              <w:left w:val="single" w:sz="4" w:space="0" w:color="auto"/>
              <w:right w:val="single" w:sz="4" w:space="0" w:color="auto"/>
            </w:tcBorders>
            <w:shd w:val="clear" w:color="auto" w:fill="auto"/>
            <w:noWrap/>
            <w:vAlign w:val="center"/>
          </w:tcPr>
          <w:p w:rsidR="00E3011B" w:rsidRPr="0013453C" w:rsidRDefault="00E3011B" w:rsidP="0013453C">
            <w:pPr>
              <w:jc w:val="center"/>
              <w:rPr>
                <w:b/>
                <w:sz w:val="20"/>
                <w:szCs w:val="20"/>
                <w:lang w:eastAsia="lt-LT"/>
              </w:rPr>
            </w:pPr>
            <w:r w:rsidRPr="0013453C">
              <w:rPr>
                <w:b/>
                <w:sz w:val="20"/>
                <w:szCs w:val="20"/>
                <w:lang w:eastAsia="lt-LT"/>
              </w:rPr>
              <w:t>Asignavimų valdytojai</w:t>
            </w:r>
          </w:p>
        </w:tc>
        <w:tc>
          <w:tcPr>
            <w:tcW w:w="2859" w:type="pct"/>
            <w:gridSpan w:val="3"/>
            <w:tcBorders>
              <w:top w:val="single" w:sz="4" w:space="0" w:color="auto"/>
              <w:left w:val="nil"/>
              <w:bottom w:val="single" w:sz="4" w:space="0" w:color="auto"/>
              <w:right w:val="single" w:sz="4" w:space="0" w:color="auto"/>
            </w:tcBorders>
            <w:shd w:val="clear" w:color="auto" w:fill="auto"/>
            <w:vAlign w:val="center"/>
          </w:tcPr>
          <w:p w:rsidR="00E3011B" w:rsidRPr="0013453C" w:rsidRDefault="00E3011B" w:rsidP="0013453C">
            <w:pPr>
              <w:jc w:val="center"/>
              <w:rPr>
                <w:b/>
                <w:sz w:val="20"/>
                <w:szCs w:val="20"/>
                <w:lang w:eastAsia="lt-LT"/>
              </w:rPr>
            </w:pPr>
            <w:r w:rsidRPr="0013453C">
              <w:rPr>
                <w:b/>
                <w:bCs/>
                <w:sz w:val="20"/>
                <w:szCs w:val="20"/>
                <w:lang w:eastAsia="lt-LT"/>
              </w:rPr>
              <w:t>Skirti asignavimai iš valstybės vardu pasiskolintų lėšų</w:t>
            </w:r>
          </w:p>
        </w:tc>
      </w:tr>
      <w:tr w:rsidR="00E3011B" w:rsidRPr="0013453C" w:rsidTr="00E3011B">
        <w:trPr>
          <w:trHeight w:val="452"/>
        </w:trPr>
        <w:tc>
          <w:tcPr>
            <w:tcW w:w="2141" w:type="pct"/>
            <w:vMerge/>
            <w:tcBorders>
              <w:left w:val="single" w:sz="4" w:space="0" w:color="auto"/>
              <w:bottom w:val="single" w:sz="4" w:space="0" w:color="auto"/>
              <w:right w:val="single" w:sz="4" w:space="0" w:color="auto"/>
            </w:tcBorders>
            <w:shd w:val="clear" w:color="auto" w:fill="auto"/>
            <w:noWrap/>
            <w:vAlign w:val="center"/>
            <w:hideMark/>
          </w:tcPr>
          <w:p w:rsidR="00E3011B" w:rsidRPr="0013453C" w:rsidRDefault="00E3011B" w:rsidP="0013453C">
            <w:pPr>
              <w:jc w:val="center"/>
              <w:rPr>
                <w:b/>
                <w:sz w:val="20"/>
                <w:szCs w:val="20"/>
                <w:lang w:eastAsia="lt-LT"/>
              </w:rPr>
            </w:pP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E3011B" w:rsidRPr="0013453C" w:rsidRDefault="00E3011B" w:rsidP="0013453C">
            <w:pPr>
              <w:jc w:val="center"/>
              <w:rPr>
                <w:b/>
                <w:bCs/>
                <w:sz w:val="20"/>
                <w:szCs w:val="20"/>
                <w:lang w:eastAsia="lt-LT"/>
              </w:rPr>
            </w:pPr>
            <w:r>
              <w:rPr>
                <w:b/>
                <w:bCs/>
                <w:sz w:val="20"/>
                <w:szCs w:val="20"/>
                <w:lang w:eastAsia="lt-LT"/>
              </w:rPr>
              <w:t>Iš viso</w:t>
            </w: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E3011B" w:rsidRPr="009563A1" w:rsidRDefault="00E3011B" w:rsidP="0013453C">
            <w:pPr>
              <w:jc w:val="center"/>
              <w:rPr>
                <w:i/>
                <w:sz w:val="20"/>
                <w:szCs w:val="20"/>
                <w:lang w:eastAsia="lt-LT"/>
              </w:rPr>
            </w:pPr>
            <w:r w:rsidRPr="009563A1">
              <w:rPr>
                <w:i/>
                <w:sz w:val="20"/>
                <w:szCs w:val="20"/>
                <w:lang w:eastAsia="lt-LT"/>
              </w:rPr>
              <w:t>Iš jų Priemonių planui</w:t>
            </w:r>
          </w:p>
        </w:tc>
        <w:tc>
          <w:tcPr>
            <w:tcW w:w="953" w:type="pct"/>
            <w:tcBorders>
              <w:top w:val="single" w:sz="4" w:space="0" w:color="auto"/>
              <w:left w:val="nil"/>
              <w:bottom w:val="single" w:sz="4" w:space="0" w:color="auto"/>
              <w:right w:val="single" w:sz="4" w:space="0" w:color="auto"/>
            </w:tcBorders>
            <w:shd w:val="clear" w:color="auto" w:fill="auto"/>
            <w:vAlign w:val="center"/>
            <w:hideMark/>
          </w:tcPr>
          <w:p w:rsidR="00E3011B" w:rsidRPr="009563A1" w:rsidRDefault="00E3011B" w:rsidP="0013453C">
            <w:pPr>
              <w:jc w:val="center"/>
              <w:rPr>
                <w:i/>
                <w:sz w:val="20"/>
                <w:szCs w:val="20"/>
                <w:lang w:eastAsia="lt-LT"/>
              </w:rPr>
            </w:pPr>
            <w:r w:rsidRPr="009563A1">
              <w:rPr>
                <w:i/>
                <w:sz w:val="20"/>
                <w:szCs w:val="20"/>
                <w:lang w:eastAsia="lt-LT"/>
              </w:rPr>
              <w:t>Iš jų kitiems tikslams</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Socialinės apsaugos ir darbo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1 461,0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1 461,0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0,0</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Ekonomikos ir inovacijų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949,5</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949,5</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0,0</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Žemės ūkio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273,5</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245,0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28,5</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Sveikatos apsaugos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191,7</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174,0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17,7</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Susisiekimo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166,7</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162,4</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4,3</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Švietimo, mokslo ir sporto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136,0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119,7</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16,3</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Finansų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72,9</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6,5</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66,4</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Kultūros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61,0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58,6</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2,3</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Energetikos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27,0</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26,9</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0,1</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Vidaus reikalų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22,9</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18,7</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4,2</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Teisingumo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17,3</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16,7</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0,5</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Lietuvos nacionalinis dramos teatras</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13,3</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13,3</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0,0</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Krašto apsaugos ministerija</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11,3</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11,3</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0,0</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color w:val="auto"/>
                <w:sz w:val="20"/>
                <w:szCs w:val="20"/>
                <w:lang w:eastAsia="lt-LT"/>
              </w:rPr>
            </w:pPr>
            <w:r w:rsidRPr="0013453C">
              <w:rPr>
                <w:color w:val="auto"/>
                <w:sz w:val="20"/>
                <w:szCs w:val="20"/>
                <w:lang w:eastAsia="lt-LT"/>
              </w:rPr>
              <w:t>Kiti asignavimų valdytojai</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34,5</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30,7</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sz w:val="20"/>
                <w:szCs w:val="20"/>
                <w:lang w:eastAsia="lt-LT"/>
              </w:rPr>
            </w:pPr>
            <w:r w:rsidRPr="0013453C">
              <w:rPr>
                <w:sz w:val="20"/>
                <w:szCs w:val="20"/>
                <w:lang w:eastAsia="lt-LT"/>
              </w:rPr>
              <w:t>3,8</w:t>
            </w:r>
          </w:p>
        </w:tc>
      </w:tr>
      <w:tr w:rsidR="00E3011B" w:rsidRPr="0013453C" w:rsidTr="00E3011B">
        <w:trPr>
          <w:trHeight w:val="227"/>
        </w:trPr>
        <w:tc>
          <w:tcPr>
            <w:tcW w:w="2141" w:type="pct"/>
            <w:tcBorders>
              <w:top w:val="nil"/>
              <w:left w:val="single" w:sz="4" w:space="0" w:color="auto"/>
              <w:bottom w:val="single" w:sz="4" w:space="0" w:color="auto"/>
              <w:right w:val="single" w:sz="4" w:space="0" w:color="auto"/>
            </w:tcBorders>
            <w:shd w:val="clear" w:color="auto" w:fill="auto"/>
            <w:vAlign w:val="center"/>
            <w:hideMark/>
          </w:tcPr>
          <w:p w:rsidR="00E3011B" w:rsidRPr="0013453C" w:rsidRDefault="00E3011B" w:rsidP="0013453C">
            <w:pPr>
              <w:rPr>
                <w:b/>
                <w:bCs/>
                <w:color w:val="auto"/>
                <w:sz w:val="20"/>
                <w:szCs w:val="20"/>
                <w:lang w:eastAsia="lt-LT"/>
              </w:rPr>
            </w:pPr>
            <w:r w:rsidRPr="0013453C">
              <w:rPr>
                <w:b/>
                <w:bCs/>
                <w:color w:val="auto"/>
                <w:sz w:val="20"/>
                <w:szCs w:val="20"/>
                <w:lang w:eastAsia="lt-LT"/>
              </w:rPr>
              <w:t xml:space="preserve">Iš viso: </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b/>
                <w:bCs/>
                <w:sz w:val="20"/>
                <w:szCs w:val="20"/>
                <w:lang w:eastAsia="lt-LT"/>
              </w:rPr>
            </w:pPr>
            <w:r w:rsidRPr="0013453C">
              <w:rPr>
                <w:b/>
                <w:bCs/>
                <w:sz w:val="20"/>
                <w:szCs w:val="20"/>
                <w:lang w:eastAsia="lt-LT"/>
              </w:rPr>
              <w:t>3 438,4</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b/>
                <w:bCs/>
                <w:sz w:val="20"/>
                <w:szCs w:val="20"/>
                <w:lang w:eastAsia="lt-LT"/>
              </w:rPr>
            </w:pPr>
            <w:r w:rsidRPr="0013453C">
              <w:rPr>
                <w:b/>
                <w:bCs/>
                <w:sz w:val="20"/>
                <w:szCs w:val="20"/>
                <w:lang w:eastAsia="lt-LT"/>
              </w:rPr>
              <w:t>3 294,3</w:t>
            </w:r>
          </w:p>
        </w:tc>
        <w:tc>
          <w:tcPr>
            <w:tcW w:w="953" w:type="pct"/>
            <w:tcBorders>
              <w:top w:val="nil"/>
              <w:left w:val="nil"/>
              <w:bottom w:val="single" w:sz="4" w:space="0" w:color="auto"/>
              <w:right w:val="single" w:sz="4" w:space="0" w:color="auto"/>
            </w:tcBorders>
            <w:shd w:val="clear" w:color="auto" w:fill="auto"/>
            <w:noWrap/>
            <w:vAlign w:val="bottom"/>
            <w:hideMark/>
          </w:tcPr>
          <w:p w:rsidR="00E3011B" w:rsidRPr="0013453C" w:rsidRDefault="00E3011B" w:rsidP="0013453C">
            <w:pPr>
              <w:jc w:val="right"/>
              <w:rPr>
                <w:b/>
                <w:bCs/>
                <w:sz w:val="20"/>
                <w:szCs w:val="20"/>
                <w:lang w:eastAsia="lt-LT"/>
              </w:rPr>
            </w:pPr>
            <w:r w:rsidRPr="0013453C">
              <w:rPr>
                <w:b/>
                <w:bCs/>
                <w:sz w:val="20"/>
                <w:szCs w:val="20"/>
                <w:lang w:eastAsia="lt-LT"/>
              </w:rPr>
              <w:t>144,1</w:t>
            </w:r>
          </w:p>
        </w:tc>
      </w:tr>
    </w:tbl>
    <w:p w:rsidR="0013453C" w:rsidRDefault="00A84BA4" w:rsidP="006F7914">
      <w:pPr>
        <w:jc w:val="both"/>
        <w:rPr>
          <w:i/>
          <w:color w:val="auto"/>
          <w:sz w:val="20"/>
          <w:szCs w:val="20"/>
        </w:rPr>
      </w:pPr>
      <w:r>
        <w:rPr>
          <w:i/>
          <w:color w:val="auto"/>
          <w:sz w:val="20"/>
          <w:szCs w:val="20"/>
        </w:rPr>
        <w:t xml:space="preserve">Šaltinis – </w:t>
      </w:r>
      <w:r w:rsidR="0013453C" w:rsidRPr="00E22485">
        <w:rPr>
          <w:i/>
          <w:color w:val="auto"/>
          <w:sz w:val="20"/>
          <w:szCs w:val="20"/>
        </w:rPr>
        <w:t>Finansų ministerija</w:t>
      </w:r>
    </w:p>
    <w:p w:rsidR="00E3011B" w:rsidRPr="0013453C" w:rsidRDefault="00E3011B" w:rsidP="006F7914">
      <w:pPr>
        <w:jc w:val="both"/>
        <w:rPr>
          <w:color w:val="auto"/>
        </w:rPr>
      </w:pPr>
    </w:p>
    <w:p w:rsidR="00701F2A" w:rsidRPr="00DC1273" w:rsidRDefault="00701F2A" w:rsidP="00DC1273">
      <w:pPr>
        <w:pStyle w:val="Sraopastraipa"/>
        <w:numPr>
          <w:ilvl w:val="0"/>
          <w:numId w:val="28"/>
        </w:numPr>
        <w:tabs>
          <w:tab w:val="left" w:pos="993"/>
        </w:tabs>
        <w:ind w:left="0" w:firstLine="567"/>
        <w:jc w:val="both"/>
        <w:rPr>
          <w:color w:val="auto"/>
        </w:rPr>
      </w:pPr>
      <w:r w:rsidRPr="00DC1273">
        <w:rPr>
          <w:color w:val="auto"/>
        </w:rPr>
        <w:lastRenderedPageBreak/>
        <w:t>Vadovaudamasi Finansinių rodiklių patvirtinimo įstatymo 1</w:t>
      </w:r>
      <w:r w:rsidR="00EC4274" w:rsidRPr="00DC1273">
        <w:rPr>
          <w:color w:val="auto"/>
        </w:rPr>
        <w:t>3</w:t>
      </w:r>
      <w:r w:rsidRPr="00DC1273">
        <w:rPr>
          <w:color w:val="auto"/>
        </w:rPr>
        <w:t xml:space="preserve"> straipsnio </w:t>
      </w:r>
      <w:r w:rsidR="00EC4274" w:rsidRPr="00DC1273">
        <w:rPr>
          <w:color w:val="auto"/>
        </w:rPr>
        <w:t>5</w:t>
      </w:r>
      <w:r w:rsidR="00114AD9" w:rsidRPr="00DC1273">
        <w:rPr>
          <w:color w:val="auto"/>
        </w:rPr>
        <w:t>, 9</w:t>
      </w:r>
      <w:r w:rsidR="0096734A">
        <w:rPr>
          <w:color w:val="auto"/>
        </w:rPr>
        <w:t xml:space="preserve"> ir </w:t>
      </w:r>
      <w:r w:rsidR="00114AD9" w:rsidRPr="00DC1273">
        <w:rPr>
          <w:color w:val="auto"/>
        </w:rPr>
        <w:t>11</w:t>
      </w:r>
      <w:r w:rsidRPr="00DC1273">
        <w:rPr>
          <w:color w:val="auto"/>
        </w:rPr>
        <w:t>dalimi suteikta teise, Krašto apsaugos ministerija 201</w:t>
      </w:r>
      <w:r w:rsidR="005005F9" w:rsidRPr="00DC1273">
        <w:rPr>
          <w:color w:val="auto"/>
        </w:rPr>
        <w:t>9</w:t>
      </w:r>
      <w:r w:rsidRPr="00DC1273">
        <w:rPr>
          <w:color w:val="auto"/>
        </w:rPr>
        <w:t xml:space="preserve"> metų lėšų likučiu </w:t>
      </w:r>
      <w:r w:rsidR="00EC4274" w:rsidRPr="00DC1273">
        <w:rPr>
          <w:color w:val="auto"/>
        </w:rPr>
        <w:t>4</w:t>
      </w:r>
      <w:r w:rsidRPr="00DC1273">
        <w:rPr>
          <w:color w:val="auto"/>
        </w:rPr>
        <w:t>,</w:t>
      </w:r>
      <w:r w:rsidR="005005F9" w:rsidRPr="00DC1273">
        <w:rPr>
          <w:color w:val="auto"/>
        </w:rPr>
        <w:t>0</w:t>
      </w:r>
      <w:r w:rsidRPr="00DC1273">
        <w:rPr>
          <w:color w:val="FF0000"/>
        </w:rPr>
        <w:t xml:space="preserve"> </w:t>
      </w:r>
      <w:r w:rsidRPr="00DC1273">
        <w:rPr>
          <w:color w:val="auto"/>
        </w:rPr>
        <w:t>mln. eurų, esančiu tarptautinių operacijų karinio vieneto, dislokuoto užsienio valstybėje, sąskaitose užsienio kredito įstaigose ar pas atsakingus asmenis</w:t>
      </w:r>
      <w:r w:rsidR="005005F9" w:rsidRPr="00DC1273">
        <w:rPr>
          <w:color w:val="auto"/>
        </w:rPr>
        <w:t>, Kultūros ministerija 2019 metų lėšų likučiu 0,4</w:t>
      </w:r>
      <w:r w:rsidR="005005F9" w:rsidRPr="00DC1273">
        <w:rPr>
          <w:color w:val="FF0000"/>
        </w:rPr>
        <w:t xml:space="preserve"> </w:t>
      </w:r>
      <w:r w:rsidR="005005F9" w:rsidRPr="00DC1273">
        <w:rPr>
          <w:color w:val="auto"/>
        </w:rPr>
        <w:t>mln. eurų, esančiu</w:t>
      </w:r>
      <w:r w:rsidRPr="00DC1273">
        <w:rPr>
          <w:color w:val="auto"/>
        </w:rPr>
        <w:t xml:space="preserve"> </w:t>
      </w:r>
      <w:r w:rsidR="005005F9" w:rsidRPr="00DC1273">
        <w:rPr>
          <w:color w:val="auto"/>
        </w:rPr>
        <w:t>Lietuvos kino centro prie Kultūros minis</w:t>
      </w:r>
      <w:r w:rsidR="00B67EEA" w:rsidRPr="00DC1273">
        <w:rPr>
          <w:color w:val="auto"/>
        </w:rPr>
        <w:t xml:space="preserve">terijos sąskaitoje, taip pat </w:t>
      </w:r>
      <w:r w:rsidRPr="00DC1273">
        <w:rPr>
          <w:color w:val="auto"/>
        </w:rPr>
        <w:t>Užsienio reikalų ministerija 201</w:t>
      </w:r>
      <w:r w:rsidR="00B67EEA" w:rsidRPr="00DC1273">
        <w:rPr>
          <w:color w:val="auto"/>
        </w:rPr>
        <w:t>9</w:t>
      </w:r>
      <w:r w:rsidRPr="00DC1273">
        <w:rPr>
          <w:color w:val="auto"/>
        </w:rPr>
        <w:t xml:space="preserve"> metų lėšų likučiu </w:t>
      </w:r>
      <w:r w:rsidR="00B67EEA" w:rsidRPr="00DC1273">
        <w:rPr>
          <w:color w:val="auto"/>
        </w:rPr>
        <w:t>3</w:t>
      </w:r>
      <w:r w:rsidRPr="00DC1273">
        <w:rPr>
          <w:color w:val="auto"/>
        </w:rPr>
        <w:t>,</w:t>
      </w:r>
      <w:r w:rsidR="00B67EEA" w:rsidRPr="00DC1273">
        <w:rPr>
          <w:color w:val="auto"/>
        </w:rPr>
        <w:t>2</w:t>
      </w:r>
      <w:r w:rsidRPr="00DC1273">
        <w:rPr>
          <w:color w:val="auto"/>
        </w:rPr>
        <w:t xml:space="preserve"> mln. eurų, esančiu Lietuvos Respublikos diplomatinių atstovybių, konsulinių įstaigų, atstovybių prie tarptautinių organizacijų, specialiųjų misijų sąskaitose užsienio kredito įstaigose ar pas atskaitingus asmenis.</w:t>
      </w:r>
      <w:r w:rsidR="00ED0F10" w:rsidRPr="00DC1273">
        <w:rPr>
          <w:color w:val="auto"/>
        </w:rPr>
        <w:t xml:space="preserve"> </w:t>
      </w:r>
    </w:p>
    <w:p w:rsidR="00701F2A" w:rsidRPr="00DC1273" w:rsidRDefault="00ED0F10" w:rsidP="00DC1273">
      <w:pPr>
        <w:pStyle w:val="Sraopastraipa"/>
        <w:numPr>
          <w:ilvl w:val="0"/>
          <w:numId w:val="28"/>
        </w:numPr>
        <w:tabs>
          <w:tab w:val="left" w:pos="993"/>
        </w:tabs>
        <w:ind w:left="0" w:firstLine="899"/>
        <w:jc w:val="both"/>
        <w:rPr>
          <w:color w:val="auto"/>
        </w:rPr>
      </w:pPr>
      <w:r w:rsidRPr="00DC1273">
        <w:rPr>
          <w:color w:val="auto"/>
        </w:rPr>
        <w:t xml:space="preserve">Vadovaudamasi </w:t>
      </w:r>
      <w:r w:rsidR="00F37400" w:rsidRPr="00DC1273">
        <w:rPr>
          <w:color w:val="auto"/>
        </w:rPr>
        <w:t xml:space="preserve">Finansinių rodiklių patvirtinimo įstatymo </w:t>
      </w:r>
      <w:r w:rsidR="00E527B6" w:rsidRPr="00DC1273">
        <w:rPr>
          <w:color w:val="auto"/>
        </w:rPr>
        <w:t>13 straipsnio 13 dalimi</w:t>
      </w:r>
      <w:r w:rsidR="00172A19" w:rsidRPr="00DC1273">
        <w:rPr>
          <w:color w:val="auto"/>
        </w:rPr>
        <w:t xml:space="preserve"> </w:t>
      </w:r>
      <w:r w:rsidR="002E1CAC" w:rsidRPr="00DC1273">
        <w:rPr>
          <w:color w:val="auto"/>
        </w:rPr>
        <w:t xml:space="preserve">suteikta teise </w:t>
      </w:r>
      <w:r w:rsidR="00AC0AFB" w:rsidRPr="00DC1273">
        <w:rPr>
          <w:color w:val="auto"/>
        </w:rPr>
        <w:t>Švietimo, mokslo ir sporto</w:t>
      </w:r>
      <w:r w:rsidR="001A4B88" w:rsidRPr="00DC1273">
        <w:rPr>
          <w:color w:val="auto"/>
        </w:rPr>
        <w:t xml:space="preserve"> ministerija</w:t>
      </w:r>
      <w:r w:rsidR="002E1CAC" w:rsidRPr="00DC1273">
        <w:rPr>
          <w:color w:val="auto"/>
        </w:rPr>
        <w:t xml:space="preserve"> </w:t>
      </w:r>
      <w:r w:rsidR="005B58D7" w:rsidRPr="00DC1273">
        <w:rPr>
          <w:color w:val="auto"/>
        </w:rPr>
        <w:t xml:space="preserve">ir Energetikos ministerija atitinkamai </w:t>
      </w:r>
      <w:r w:rsidR="001A4B88" w:rsidRPr="00DC1273">
        <w:rPr>
          <w:color w:val="auto"/>
        </w:rPr>
        <w:t xml:space="preserve">Europos </w:t>
      </w:r>
      <w:r w:rsidR="002E1CAC" w:rsidRPr="00DC1273">
        <w:rPr>
          <w:color w:val="auto"/>
        </w:rPr>
        <w:t>S</w:t>
      </w:r>
      <w:r w:rsidR="001A4B88" w:rsidRPr="00DC1273">
        <w:rPr>
          <w:color w:val="auto"/>
        </w:rPr>
        <w:t xml:space="preserve">ąjungos lėšas </w:t>
      </w:r>
      <w:r w:rsidR="0069056A" w:rsidRPr="00DC1273">
        <w:rPr>
          <w:color w:val="auto"/>
        </w:rPr>
        <w:t>1,</w:t>
      </w:r>
      <w:r w:rsidR="00AC0AFB" w:rsidRPr="00DC1273">
        <w:rPr>
          <w:color w:val="auto"/>
        </w:rPr>
        <w:t>0</w:t>
      </w:r>
      <w:r w:rsidR="0069056A" w:rsidRPr="00DC1273">
        <w:rPr>
          <w:color w:val="auto"/>
        </w:rPr>
        <w:t xml:space="preserve"> mln. eurų</w:t>
      </w:r>
      <w:r w:rsidR="005B58D7" w:rsidRPr="00DC1273">
        <w:rPr>
          <w:color w:val="auto"/>
        </w:rPr>
        <w:t xml:space="preserve"> ir </w:t>
      </w:r>
      <w:r w:rsidR="0096734A">
        <w:rPr>
          <w:color w:val="auto"/>
        </w:rPr>
        <w:t>1</w:t>
      </w:r>
      <w:r w:rsidR="005B58D7" w:rsidRPr="00DC1273">
        <w:rPr>
          <w:color w:val="auto"/>
        </w:rPr>
        <w:t>,</w:t>
      </w:r>
      <w:r w:rsidR="0096734A">
        <w:rPr>
          <w:color w:val="auto"/>
        </w:rPr>
        <w:t>9</w:t>
      </w:r>
      <w:r w:rsidR="00BE1F2D">
        <w:rPr>
          <w:color w:val="auto"/>
        </w:rPr>
        <w:t>7</w:t>
      </w:r>
      <w:bookmarkStart w:id="1" w:name="_GoBack"/>
      <w:bookmarkEnd w:id="1"/>
      <w:r w:rsidR="005B58D7" w:rsidRPr="00DC1273">
        <w:rPr>
          <w:color w:val="auto"/>
        </w:rPr>
        <w:t xml:space="preserve"> mln. eurų</w:t>
      </w:r>
      <w:r w:rsidR="0069056A" w:rsidRPr="00DC1273">
        <w:rPr>
          <w:color w:val="auto"/>
        </w:rPr>
        <w:t xml:space="preserve"> </w:t>
      </w:r>
      <w:r w:rsidR="001A4B88" w:rsidRPr="00DC1273">
        <w:rPr>
          <w:color w:val="auto"/>
        </w:rPr>
        <w:t>naudo</w:t>
      </w:r>
      <w:r w:rsidR="002E1CAC" w:rsidRPr="00DC1273">
        <w:rPr>
          <w:color w:val="auto"/>
        </w:rPr>
        <w:t>jo</w:t>
      </w:r>
      <w:r w:rsidR="001A4B88" w:rsidRPr="00DC1273">
        <w:rPr>
          <w:color w:val="auto"/>
        </w:rPr>
        <w:t xml:space="preserve"> kaip viršplanines įmokas viršijant </w:t>
      </w:r>
      <w:r w:rsidR="00C67CF5" w:rsidRPr="00DC1273">
        <w:rPr>
          <w:color w:val="auto"/>
        </w:rPr>
        <w:t>S</w:t>
      </w:r>
      <w:r w:rsidR="001A4B88" w:rsidRPr="00DC1273">
        <w:rPr>
          <w:color w:val="auto"/>
        </w:rPr>
        <w:t>eimo patvirtintas bendras asignavimų sumas.</w:t>
      </w:r>
    </w:p>
    <w:p w:rsidR="00C3773D" w:rsidRPr="00DC1273" w:rsidRDefault="004E0F42" w:rsidP="00DC1273">
      <w:pPr>
        <w:pStyle w:val="Sraopastraipa"/>
        <w:numPr>
          <w:ilvl w:val="0"/>
          <w:numId w:val="28"/>
        </w:numPr>
        <w:tabs>
          <w:tab w:val="left" w:pos="993"/>
        </w:tabs>
        <w:ind w:left="0" w:firstLine="899"/>
        <w:jc w:val="both"/>
        <w:rPr>
          <w:color w:val="auto"/>
        </w:rPr>
      </w:pPr>
      <w:r w:rsidRPr="00DC1273">
        <w:rPr>
          <w:color w:val="auto"/>
        </w:rPr>
        <w:t xml:space="preserve">Vadovaudamasi Finansinių rodiklių patvirtinimo įstatymo </w:t>
      </w:r>
      <w:r w:rsidR="00D6330E" w:rsidRPr="00DC1273">
        <w:rPr>
          <w:color w:val="auto"/>
        </w:rPr>
        <w:t>1</w:t>
      </w:r>
      <w:r w:rsidRPr="00DC1273">
        <w:rPr>
          <w:color w:val="auto"/>
        </w:rPr>
        <w:t xml:space="preserve">3 straipsnio 3 dalimi </w:t>
      </w:r>
      <w:r w:rsidR="002E1CAC" w:rsidRPr="00DC1273">
        <w:rPr>
          <w:color w:val="auto"/>
        </w:rPr>
        <w:t>suteikta teise Finansų ministerija</w:t>
      </w:r>
      <w:r w:rsidRPr="00DC1273">
        <w:rPr>
          <w:color w:val="auto"/>
        </w:rPr>
        <w:t xml:space="preserve"> </w:t>
      </w:r>
      <w:r w:rsidR="00D6330E" w:rsidRPr="00DC1273">
        <w:rPr>
          <w:color w:val="auto"/>
        </w:rPr>
        <w:t>savivaldybių grąžintas (nepanaudotas) valstybės biudžeto dotacijas 0,</w:t>
      </w:r>
      <w:r w:rsidR="00820B0C" w:rsidRPr="00DC1273">
        <w:rPr>
          <w:color w:val="auto"/>
        </w:rPr>
        <w:t>3</w:t>
      </w:r>
      <w:r w:rsidR="00D6330E" w:rsidRPr="00DC1273">
        <w:rPr>
          <w:color w:val="auto"/>
        </w:rPr>
        <w:t xml:space="preserve"> mln. eurų panaudo</w:t>
      </w:r>
      <w:r w:rsidR="002E1CAC" w:rsidRPr="00DC1273">
        <w:rPr>
          <w:color w:val="auto"/>
        </w:rPr>
        <w:t>jo</w:t>
      </w:r>
      <w:r w:rsidR="00D6330E" w:rsidRPr="00DC1273">
        <w:rPr>
          <w:color w:val="auto"/>
        </w:rPr>
        <w:t xml:space="preserve"> tai pačiai paskirčiai </w:t>
      </w:r>
      <w:r w:rsidR="00D6330E" w:rsidRPr="00DC1273">
        <w:t xml:space="preserve">– </w:t>
      </w:r>
      <w:r w:rsidR="00D6330E" w:rsidRPr="00DC1273">
        <w:rPr>
          <w:color w:val="auto"/>
        </w:rPr>
        <w:t>valstybės biudžeto dotacijoms savivaldybėms pagal 2014</w:t>
      </w:r>
      <w:r w:rsidR="00D6330E" w:rsidRPr="00DC1273">
        <w:t>–</w:t>
      </w:r>
      <w:r w:rsidR="00D6330E" w:rsidRPr="00DC1273">
        <w:rPr>
          <w:color w:val="auto"/>
        </w:rPr>
        <w:t>2020 metų veiksmų programą įgyvendinamų projektų nuosavų lėšų indėliui ar jo daliai finansuoti.</w:t>
      </w:r>
    </w:p>
    <w:p w:rsidR="00CE327B" w:rsidRPr="004272C9" w:rsidRDefault="00CE327B" w:rsidP="002115D3">
      <w:pPr>
        <w:pStyle w:val="Pagrindiniotekstotrauka"/>
        <w:tabs>
          <w:tab w:val="left" w:pos="360"/>
        </w:tabs>
        <w:spacing w:after="0"/>
        <w:ind w:left="0" w:firstLine="539"/>
        <w:jc w:val="both"/>
        <w:rPr>
          <w:color w:val="auto"/>
          <w:highlight w:val="yellow"/>
        </w:rPr>
      </w:pPr>
    </w:p>
    <w:p w:rsidR="002115D3" w:rsidRPr="004272C9" w:rsidRDefault="006E229D" w:rsidP="002115D3">
      <w:pPr>
        <w:pStyle w:val="Pagrindiniotekstotrauka"/>
        <w:tabs>
          <w:tab w:val="left" w:pos="360"/>
        </w:tabs>
        <w:spacing w:after="0"/>
        <w:ind w:left="0"/>
        <w:jc w:val="both"/>
        <w:rPr>
          <w:color w:val="auto"/>
          <w:highlight w:val="yellow"/>
        </w:rPr>
      </w:pPr>
      <w:r>
        <w:rPr>
          <w:b/>
          <w:color w:val="auto"/>
        </w:rPr>
        <w:t>10</w:t>
      </w:r>
      <w:r w:rsidR="002115D3" w:rsidRPr="00636C13">
        <w:rPr>
          <w:b/>
          <w:color w:val="auto"/>
        </w:rPr>
        <w:t xml:space="preserve"> lentelė</w:t>
      </w:r>
      <w:r w:rsidR="00040625" w:rsidRPr="00636C13">
        <w:rPr>
          <w:color w:val="auto"/>
        </w:rPr>
        <w:t>. 20</w:t>
      </w:r>
      <w:r w:rsidR="00636C13" w:rsidRPr="00636C13">
        <w:rPr>
          <w:color w:val="auto"/>
        </w:rPr>
        <w:t>20</w:t>
      </w:r>
      <w:r w:rsidR="00040625" w:rsidRPr="00636C13">
        <w:rPr>
          <w:color w:val="auto"/>
        </w:rPr>
        <w:t xml:space="preserve"> metų</w:t>
      </w:r>
      <w:r w:rsidR="002115D3" w:rsidRPr="00636C13">
        <w:rPr>
          <w:color w:val="auto"/>
        </w:rPr>
        <w:t xml:space="preserve"> valstybės biudžeto asignavimų planai ir panaudoti asignavimai, mln. eurų</w:t>
      </w:r>
    </w:p>
    <w:tbl>
      <w:tblPr>
        <w:tblW w:w="9604" w:type="dxa"/>
        <w:tblInd w:w="93" w:type="dxa"/>
        <w:tblLayout w:type="fixed"/>
        <w:tblCellMar>
          <w:left w:w="57" w:type="dxa"/>
          <w:right w:w="57" w:type="dxa"/>
        </w:tblCellMar>
        <w:tblLook w:val="04A0" w:firstRow="1" w:lastRow="0" w:firstColumn="1" w:lastColumn="0" w:noHBand="0" w:noVBand="1"/>
      </w:tblPr>
      <w:tblGrid>
        <w:gridCol w:w="2091"/>
        <w:gridCol w:w="992"/>
        <w:gridCol w:w="992"/>
        <w:gridCol w:w="1276"/>
        <w:gridCol w:w="993"/>
        <w:gridCol w:w="992"/>
        <w:gridCol w:w="1041"/>
        <w:gridCol w:w="1227"/>
      </w:tblGrid>
      <w:tr w:rsidR="002115D3" w:rsidRPr="004272C9" w:rsidTr="00126BDE">
        <w:trPr>
          <w:trHeight w:val="400"/>
        </w:trPr>
        <w:tc>
          <w:tcPr>
            <w:tcW w:w="20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40625" w:rsidRPr="00126BDE" w:rsidRDefault="002115D3" w:rsidP="00040625">
            <w:pPr>
              <w:jc w:val="center"/>
              <w:rPr>
                <w:b/>
                <w:sz w:val="20"/>
                <w:szCs w:val="20"/>
              </w:rPr>
            </w:pPr>
            <w:r w:rsidRPr="00126BDE">
              <w:rPr>
                <w:b/>
                <w:sz w:val="20"/>
                <w:szCs w:val="20"/>
              </w:rPr>
              <w:t> </w:t>
            </w:r>
            <w:r w:rsidR="00040625" w:rsidRPr="00126BDE">
              <w:rPr>
                <w:b/>
                <w:sz w:val="20"/>
                <w:szCs w:val="20"/>
              </w:rPr>
              <w:t>Asignavimai</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2115D3" w:rsidRPr="00126BDE" w:rsidRDefault="002115D3" w:rsidP="00ED411C">
            <w:pPr>
              <w:jc w:val="center"/>
              <w:rPr>
                <w:b/>
                <w:sz w:val="20"/>
                <w:szCs w:val="20"/>
              </w:rPr>
            </w:pPr>
            <w:r w:rsidRPr="00126BDE">
              <w:rPr>
                <w:b/>
                <w:sz w:val="20"/>
                <w:szCs w:val="20"/>
              </w:rPr>
              <w:t>Asignavimų planas</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15D3" w:rsidRPr="00126BDE" w:rsidRDefault="002115D3" w:rsidP="00126BDE">
            <w:pPr>
              <w:jc w:val="center"/>
              <w:rPr>
                <w:b/>
                <w:sz w:val="20"/>
                <w:szCs w:val="20"/>
              </w:rPr>
            </w:pPr>
            <w:r w:rsidRPr="00126BDE">
              <w:rPr>
                <w:b/>
                <w:sz w:val="20"/>
                <w:szCs w:val="20"/>
              </w:rPr>
              <w:t>Perduoti asignavimai 20</w:t>
            </w:r>
            <w:r w:rsidR="00126BDE" w:rsidRPr="00126BDE">
              <w:rPr>
                <w:b/>
                <w:sz w:val="20"/>
                <w:szCs w:val="20"/>
              </w:rPr>
              <w:t>20</w:t>
            </w:r>
            <w:r w:rsidRPr="00126BDE">
              <w:rPr>
                <w:b/>
                <w:sz w:val="20"/>
                <w:szCs w:val="20"/>
              </w:rPr>
              <w:t xml:space="preserve"> m. (įskaitant grąžintus iki sausio 10 d.)</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15D3" w:rsidRPr="00126BDE" w:rsidRDefault="00955BFC" w:rsidP="00126BDE">
            <w:pPr>
              <w:jc w:val="center"/>
              <w:rPr>
                <w:b/>
                <w:sz w:val="20"/>
                <w:szCs w:val="20"/>
              </w:rPr>
            </w:pPr>
            <w:r w:rsidRPr="00126BDE">
              <w:rPr>
                <w:b/>
                <w:sz w:val="20"/>
                <w:szCs w:val="20"/>
              </w:rPr>
              <w:t>20</w:t>
            </w:r>
            <w:r w:rsidR="00126BDE" w:rsidRPr="00126BDE">
              <w:rPr>
                <w:b/>
                <w:sz w:val="20"/>
                <w:szCs w:val="20"/>
              </w:rPr>
              <w:t>20</w:t>
            </w:r>
            <w:r w:rsidRPr="00126BDE">
              <w:rPr>
                <w:b/>
                <w:sz w:val="20"/>
                <w:szCs w:val="20"/>
              </w:rPr>
              <w:t xml:space="preserve"> m. </w:t>
            </w:r>
            <w:r w:rsidR="002115D3" w:rsidRPr="00126BDE">
              <w:rPr>
                <w:b/>
                <w:sz w:val="20"/>
                <w:szCs w:val="20"/>
              </w:rPr>
              <w:t>Panaudoti asignavi</w:t>
            </w:r>
            <w:r w:rsidR="00AE08AC" w:rsidRPr="00126BDE">
              <w:rPr>
                <w:b/>
                <w:sz w:val="20"/>
                <w:szCs w:val="20"/>
              </w:rPr>
              <w:t>-</w:t>
            </w:r>
            <w:r w:rsidR="002115D3" w:rsidRPr="00126BDE">
              <w:rPr>
                <w:b/>
                <w:sz w:val="20"/>
                <w:szCs w:val="20"/>
              </w:rPr>
              <w:t>mai</w:t>
            </w:r>
          </w:p>
        </w:tc>
        <w:tc>
          <w:tcPr>
            <w:tcW w:w="2033" w:type="dxa"/>
            <w:gridSpan w:val="2"/>
            <w:tcBorders>
              <w:top w:val="single" w:sz="8" w:space="0" w:color="auto"/>
              <w:left w:val="nil"/>
              <w:bottom w:val="single" w:sz="8" w:space="0" w:color="auto"/>
              <w:right w:val="single" w:sz="8" w:space="0" w:color="000000"/>
            </w:tcBorders>
            <w:shd w:val="clear" w:color="auto" w:fill="auto"/>
            <w:vAlign w:val="center"/>
            <w:hideMark/>
          </w:tcPr>
          <w:p w:rsidR="002115D3" w:rsidRPr="00126BDE" w:rsidRDefault="002115D3" w:rsidP="00ED411C">
            <w:pPr>
              <w:jc w:val="center"/>
              <w:rPr>
                <w:b/>
                <w:sz w:val="20"/>
                <w:szCs w:val="20"/>
              </w:rPr>
            </w:pPr>
            <w:r w:rsidRPr="00126BDE">
              <w:rPr>
                <w:b/>
                <w:sz w:val="20"/>
                <w:szCs w:val="20"/>
              </w:rPr>
              <w:t>Nepanaudotų asignavimų likutis</w:t>
            </w:r>
          </w:p>
        </w:tc>
        <w:tc>
          <w:tcPr>
            <w:tcW w:w="12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15D3" w:rsidRPr="00126BDE" w:rsidRDefault="002115D3" w:rsidP="00126BDE">
            <w:pPr>
              <w:ind w:left="-21"/>
              <w:jc w:val="center"/>
              <w:rPr>
                <w:b/>
                <w:sz w:val="20"/>
                <w:szCs w:val="20"/>
              </w:rPr>
            </w:pPr>
            <w:r w:rsidRPr="00126BDE">
              <w:rPr>
                <w:b/>
                <w:sz w:val="20"/>
                <w:szCs w:val="20"/>
              </w:rPr>
              <w:t>201</w:t>
            </w:r>
            <w:r w:rsidR="00126BDE" w:rsidRPr="00126BDE">
              <w:rPr>
                <w:b/>
                <w:sz w:val="20"/>
                <w:szCs w:val="20"/>
              </w:rPr>
              <w:t>9</w:t>
            </w:r>
            <w:r w:rsidRPr="00126BDE">
              <w:rPr>
                <w:b/>
                <w:sz w:val="20"/>
                <w:szCs w:val="20"/>
              </w:rPr>
              <w:t xml:space="preserve"> m. panaudoti asignavimai</w:t>
            </w:r>
          </w:p>
        </w:tc>
      </w:tr>
      <w:tr w:rsidR="002115D3" w:rsidRPr="004272C9" w:rsidTr="00126BDE">
        <w:trPr>
          <w:trHeight w:val="817"/>
        </w:trPr>
        <w:tc>
          <w:tcPr>
            <w:tcW w:w="2091" w:type="dxa"/>
            <w:vMerge/>
            <w:tcBorders>
              <w:top w:val="single" w:sz="8" w:space="0" w:color="auto"/>
              <w:left w:val="single" w:sz="8" w:space="0" w:color="auto"/>
              <w:bottom w:val="single" w:sz="8" w:space="0" w:color="000000"/>
              <w:right w:val="single" w:sz="8" w:space="0" w:color="auto"/>
            </w:tcBorders>
            <w:vAlign w:val="center"/>
            <w:hideMark/>
          </w:tcPr>
          <w:p w:rsidR="002115D3" w:rsidRPr="00126BDE" w:rsidRDefault="002115D3" w:rsidP="00ED411C">
            <w:pPr>
              <w:rPr>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2115D3" w:rsidRPr="00126BDE" w:rsidRDefault="002115D3" w:rsidP="00AE08AC">
            <w:pPr>
              <w:jc w:val="center"/>
              <w:rPr>
                <w:b/>
                <w:sz w:val="20"/>
                <w:szCs w:val="20"/>
              </w:rPr>
            </w:pPr>
            <w:r w:rsidRPr="00126BDE">
              <w:rPr>
                <w:b/>
                <w:sz w:val="20"/>
                <w:szCs w:val="20"/>
              </w:rPr>
              <w:t>Patvir</w:t>
            </w:r>
            <w:r w:rsidR="00AE08AC" w:rsidRPr="00126BDE">
              <w:rPr>
                <w:b/>
                <w:sz w:val="20"/>
                <w:szCs w:val="20"/>
              </w:rPr>
              <w:t>-</w:t>
            </w:r>
            <w:r w:rsidRPr="00126BDE">
              <w:rPr>
                <w:b/>
                <w:sz w:val="20"/>
                <w:szCs w:val="20"/>
              </w:rPr>
              <w:t>tintas</w:t>
            </w:r>
          </w:p>
        </w:tc>
        <w:tc>
          <w:tcPr>
            <w:tcW w:w="992" w:type="dxa"/>
            <w:tcBorders>
              <w:top w:val="nil"/>
              <w:left w:val="nil"/>
              <w:bottom w:val="single" w:sz="8" w:space="0" w:color="auto"/>
              <w:right w:val="single" w:sz="8" w:space="0" w:color="auto"/>
            </w:tcBorders>
            <w:shd w:val="clear" w:color="auto" w:fill="auto"/>
            <w:vAlign w:val="center"/>
            <w:hideMark/>
          </w:tcPr>
          <w:p w:rsidR="002115D3" w:rsidRPr="00126BDE" w:rsidRDefault="002115D3" w:rsidP="00AE08AC">
            <w:pPr>
              <w:jc w:val="center"/>
              <w:rPr>
                <w:b/>
                <w:sz w:val="20"/>
                <w:szCs w:val="20"/>
              </w:rPr>
            </w:pPr>
            <w:r w:rsidRPr="00126BDE">
              <w:rPr>
                <w:b/>
                <w:sz w:val="20"/>
                <w:szCs w:val="20"/>
              </w:rPr>
              <w:t>Su leistinais patiksli</w:t>
            </w:r>
            <w:r w:rsidR="00AE08AC" w:rsidRPr="00126BDE">
              <w:rPr>
                <w:b/>
                <w:sz w:val="20"/>
                <w:szCs w:val="20"/>
              </w:rPr>
              <w:t>-</w:t>
            </w:r>
            <w:r w:rsidRPr="00126BDE">
              <w:rPr>
                <w:b/>
                <w:sz w:val="20"/>
                <w:szCs w:val="20"/>
              </w:rPr>
              <w:t>ni</w:t>
            </w:r>
            <w:r w:rsidR="00AE08AC" w:rsidRPr="00126BDE">
              <w:rPr>
                <w:b/>
                <w:sz w:val="20"/>
                <w:szCs w:val="20"/>
              </w:rPr>
              <w:t>m</w:t>
            </w:r>
            <w:r w:rsidRPr="00126BDE">
              <w:rPr>
                <w:b/>
                <w:sz w:val="20"/>
                <w:szCs w:val="20"/>
              </w:rPr>
              <w:t>ais</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115D3" w:rsidRPr="00126BDE" w:rsidRDefault="002115D3" w:rsidP="00ED411C">
            <w:pPr>
              <w:rPr>
                <w:b/>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2115D3" w:rsidRPr="00126BDE" w:rsidRDefault="002115D3" w:rsidP="00ED411C">
            <w:pPr>
              <w:rPr>
                <w:b/>
                <w:sz w:val="20"/>
                <w:szCs w:val="20"/>
              </w:rPr>
            </w:pPr>
          </w:p>
        </w:tc>
        <w:tc>
          <w:tcPr>
            <w:tcW w:w="992" w:type="dxa"/>
            <w:tcBorders>
              <w:top w:val="nil"/>
              <w:left w:val="nil"/>
              <w:bottom w:val="single" w:sz="8" w:space="0" w:color="auto"/>
              <w:right w:val="single" w:sz="8" w:space="0" w:color="auto"/>
            </w:tcBorders>
            <w:shd w:val="clear" w:color="auto" w:fill="auto"/>
            <w:vAlign w:val="center"/>
            <w:hideMark/>
          </w:tcPr>
          <w:p w:rsidR="002115D3" w:rsidRPr="00126BDE" w:rsidRDefault="002115D3" w:rsidP="00ED411C">
            <w:pPr>
              <w:jc w:val="center"/>
              <w:rPr>
                <w:b/>
                <w:sz w:val="20"/>
                <w:szCs w:val="20"/>
              </w:rPr>
            </w:pPr>
            <w:r w:rsidRPr="00126BDE">
              <w:rPr>
                <w:b/>
                <w:sz w:val="20"/>
                <w:szCs w:val="20"/>
              </w:rPr>
              <w:t>Palyginti su planu</w:t>
            </w:r>
          </w:p>
        </w:tc>
        <w:tc>
          <w:tcPr>
            <w:tcW w:w="1041" w:type="dxa"/>
            <w:tcBorders>
              <w:top w:val="nil"/>
              <w:left w:val="nil"/>
              <w:bottom w:val="single" w:sz="8" w:space="0" w:color="auto"/>
              <w:right w:val="single" w:sz="8" w:space="0" w:color="auto"/>
            </w:tcBorders>
            <w:shd w:val="clear" w:color="auto" w:fill="auto"/>
            <w:vAlign w:val="center"/>
            <w:hideMark/>
          </w:tcPr>
          <w:p w:rsidR="002115D3" w:rsidRPr="00126BDE" w:rsidRDefault="002115D3" w:rsidP="00ED411C">
            <w:pPr>
              <w:jc w:val="center"/>
              <w:rPr>
                <w:b/>
                <w:sz w:val="20"/>
                <w:szCs w:val="20"/>
              </w:rPr>
            </w:pPr>
            <w:r w:rsidRPr="00126BDE">
              <w:rPr>
                <w:b/>
                <w:sz w:val="20"/>
                <w:szCs w:val="20"/>
              </w:rPr>
              <w:t>Palyginti su patikslintu planu</w:t>
            </w:r>
          </w:p>
        </w:tc>
        <w:tc>
          <w:tcPr>
            <w:tcW w:w="1227" w:type="dxa"/>
            <w:vMerge/>
            <w:tcBorders>
              <w:top w:val="single" w:sz="8" w:space="0" w:color="auto"/>
              <w:left w:val="single" w:sz="8" w:space="0" w:color="auto"/>
              <w:bottom w:val="single" w:sz="8" w:space="0" w:color="000000"/>
              <w:right w:val="single" w:sz="8" w:space="0" w:color="auto"/>
            </w:tcBorders>
            <w:vAlign w:val="center"/>
            <w:hideMark/>
          </w:tcPr>
          <w:p w:rsidR="002115D3" w:rsidRPr="004272C9" w:rsidRDefault="002115D3" w:rsidP="00ED411C">
            <w:pPr>
              <w:rPr>
                <w:b/>
                <w:sz w:val="20"/>
                <w:szCs w:val="20"/>
                <w:highlight w:val="yellow"/>
              </w:rPr>
            </w:pPr>
          </w:p>
        </w:tc>
      </w:tr>
      <w:tr w:rsidR="00126BDE" w:rsidRPr="004272C9" w:rsidTr="00126BDE">
        <w:trPr>
          <w:trHeight w:val="270"/>
        </w:trPr>
        <w:tc>
          <w:tcPr>
            <w:tcW w:w="2091" w:type="dxa"/>
            <w:tcBorders>
              <w:top w:val="nil"/>
              <w:left w:val="single" w:sz="8" w:space="0" w:color="auto"/>
              <w:bottom w:val="single" w:sz="8" w:space="0" w:color="auto"/>
              <w:right w:val="single" w:sz="8" w:space="0" w:color="auto"/>
            </w:tcBorders>
            <w:shd w:val="clear" w:color="auto" w:fill="auto"/>
            <w:vAlign w:val="center"/>
            <w:hideMark/>
          </w:tcPr>
          <w:p w:rsidR="00126BDE" w:rsidRPr="00126BDE" w:rsidRDefault="00126BDE" w:rsidP="00ED411C">
            <w:pPr>
              <w:rPr>
                <w:b/>
                <w:bCs/>
                <w:sz w:val="20"/>
                <w:szCs w:val="20"/>
              </w:rPr>
            </w:pPr>
            <w:r w:rsidRPr="00126BDE">
              <w:rPr>
                <w:b/>
                <w:bCs/>
                <w:sz w:val="20"/>
                <w:szCs w:val="20"/>
              </w:rPr>
              <w:t>Iš viso:</w:t>
            </w:r>
          </w:p>
        </w:tc>
        <w:tc>
          <w:tcPr>
            <w:tcW w:w="992"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b/>
                <w:bCs/>
                <w:sz w:val="20"/>
                <w:szCs w:val="20"/>
              </w:rPr>
            </w:pPr>
            <w:r>
              <w:rPr>
                <w:b/>
                <w:bCs/>
                <w:sz w:val="20"/>
                <w:szCs w:val="20"/>
              </w:rPr>
              <w:t>12 778,5</w:t>
            </w:r>
          </w:p>
        </w:tc>
        <w:tc>
          <w:tcPr>
            <w:tcW w:w="992"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b/>
                <w:bCs/>
                <w:sz w:val="20"/>
                <w:szCs w:val="20"/>
              </w:rPr>
            </w:pPr>
            <w:r>
              <w:rPr>
                <w:b/>
                <w:bCs/>
                <w:sz w:val="20"/>
                <w:szCs w:val="20"/>
              </w:rPr>
              <w:t>16 394,7</w:t>
            </w:r>
          </w:p>
        </w:tc>
        <w:tc>
          <w:tcPr>
            <w:tcW w:w="1276" w:type="dxa"/>
            <w:tcBorders>
              <w:top w:val="nil"/>
              <w:left w:val="nil"/>
              <w:bottom w:val="single" w:sz="8" w:space="0" w:color="auto"/>
              <w:right w:val="single" w:sz="8" w:space="0" w:color="auto"/>
            </w:tcBorders>
            <w:shd w:val="clear" w:color="auto" w:fill="auto"/>
            <w:noWrap/>
            <w:vAlign w:val="center"/>
            <w:hideMark/>
          </w:tcPr>
          <w:p w:rsidR="00126BDE" w:rsidRDefault="00126BDE" w:rsidP="00B436FF">
            <w:pPr>
              <w:jc w:val="right"/>
              <w:rPr>
                <w:b/>
                <w:bCs/>
                <w:sz w:val="20"/>
                <w:szCs w:val="20"/>
              </w:rPr>
            </w:pPr>
            <w:r>
              <w:rPr>
                <w:b/>
                <w:bCs/>
                <w:sz w:val="20"/>
                <w:szCs w:val="20"/>
              </w:rPr>
              <w:t>15 569,2</w:t>
            </w:r>
          </w:p>
        </w:tc>
        <w:tc>
          <w:tcPr>
            <w:tcW w:w="993"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b/>
                <w:bCs/>
                <w:sz w:val="20"/>
                <w:szCs w:val="20"/>
              </w:rPr>
            </w:pPr>
            <w:r>
              <w:rPr>
                <w:b/>
                <w:bCs/>
                <w:sz w:val="20"/>
                <w:szCs w:val="20"/>
              </w:rPr>
              <w:t>15 562,0</w:t>
            </w:r>
          </w:p>
        </w:tc>
        <w:tc>
          <w:tcPr>
            <w:tcW w:w="992"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b/>
                <w:bCs/>
                <w:sz w:val="20"/>
                <w:szCs w:val="20"/>
              </w:rPr>
            </w:pPr>
            <w:r>
              <w:rPr>
                <w:b/>
                <w:bCs/>
                <w:sz w:val="20"/>
                <w:szCs w:val="20"/>
              </w:rPr>
              <w:t>-2 783,5</w:t>
            </w:r>
          </w:p>
        </w:tc>
        <w:tc>
          <w:tcPr>
            <w:tcW w:w="1041" w:type="dxa"/>
            <w:tcBorders>
              <w:top w:val="nil"/>
              <w:left w:val="nil"/>
              <w:bottom w:val="single" w:sz="8" w:space="0" w:color="auto"/>
              <w:right w:val="single" w:sz="8" w:space="0" w:color="auto"/>
            </w:tcBorders>
            <w:shd w:val="clear" w:color="auto" w:fill="auto"/>
            <w:vAlign w:val="center"/>
            <w:hideMark/>
          </w:tcPr>
          <w:p w:rsidR="00126BDE" w:rsidRDefault="00126BDE">
            <w:pPr>
              <w:jc w:val="right"/>
              <w:rPr>
                <w:b/>
                <w:bCs/>
                <w:sz w:val="20"/>
                <w:szCs w:val="20"/>
              </w:rPr>
            </w:pPr>
            <w:r>
              <w:rPr>
                <w:b/>
                <w:bCs/>
                <w:sz w:val="20"/>
                <w:szCs w:val="20"/>
              </w:rPr>
              <w:t>832,7</w:t>
            </w:r>
          </w:p>
        </w:tc>
        <w:tc>
          <w:tcPr>
            <w:tcW w:w="1227" w:type="dxa"/>
            <w:tcBorders>
              <w:top w:val="nil"/>
              <w:left w:val="nil"/>
              <w:bottom w:val="single" w:sz="8" w:space="0" w:color="auto"/>
              <w:right w:val="single" w:sz="8" w:space="0" w:color="auto"/>
            </w:tcBorders>
            <w:shd w:val="clear" w:color="auto" w:fill="auto"/>
            <w:vAlign w:val="center"/>
            <w:hideMark/>
          </w:tcPr>
          <w:p w:rsidR="00126BDE" w:rsidRDefault="00126BDE">
            <w:pPr>
              <w:jc w:val="right"/>
              <w:rPr>
                <w:b/>
                <w:bCs/>
                <w:sz w:val="20"/>
                <w:szCs w:val="20"/>
              </w:rPr>
            </w:pPr>
            <w:r>
              <w:rPr>
                <w:b/>
                <w:bCs/>
                <w:sz w:val="20"/>
                <w:szCs w:val="20"/>
              </w:rPr>
              <w:t xml:space="preserve">11 320,4 </w:t>
            </w:r>
          </w:p>
        </w:tc>
      </w:tr>
      <w:tr w:rsidR="00126BDE" w:rsidRPr="004272C9" w:rsidTr="00126BDE">
        <w:trPr>
          <w:trHeight w:val="325"/>
        </w:trPr>
        <w:tc>
          <w:tcPr>
            <w:tcW w:w="2091" w:type="dxa"/>
            <w:tcBorders>
              <w:top w:val="nil"/>
              <w:left w:val="single" w:sz="8" w:space="0" w:color="auto"/>
              <w:bottom w:val="single" w:sz="8" w:space="0" w:color="auto"/>
              <w:right w:val="single" w:sz="8" w:space="0" w:color="auto"/>
            </w:tcBorders>
            <w:shd w:val="clear" w:color="auto" w:fill="auto"/>
            <w:vAlign w:val="center"/>
            <w:hideMark/>
          </w:tcPr>
          <w:p w:rsidR="00126BDE" w:rsidRPr="00126BDE" w:rsidRDefault="00126BDE" w:rsidP="00ED411C">
            <w:pPr>
              <w:rPr>
                <w:sz w:val="20"/>
                <w:szCs w:val="20"/>
              </w:rPr>
            </w:pPr>
            <w:r w:rsidRPr="00126BDE">
              <w:rPr>
                <w:sz w:val="20"/>
                <w:szCs w:val="20"/>
              </w:rPr>
              <w:t>iš jų ES ir kitos tarptautinės finansinės paramos programos</w:t>
            </w:r>
          </w:p>
        </w:tc>
        <w:tc>
          <w:tcPr>
            <w:tcW w:w="992"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sz w:val="20"/>
                <w:szCs w:val="20"/>
              </w:rPr>
            </w:pPr>
            <w:r>
              <w:rPr>
                <w:sz w:val="20"/>
                <w:szCs w:val="20"/>
              </w:rPr>
              <w:t>2 235,6</w:t>
            </w:r>
          </w:p>
        </w:tc>
        <w:tc>
          <w:tcPr>
            <w:tcW w:w="992"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sz w:val="20"/>
                <w:szCs w:val="20"/>
              </w:rPr>
            </w:pPr>
            <w:r>
              <w:rPr>
                <w:sz w:val="20"/>
                <w:szCs w:val="20"/>
              </w:rPr>
              <w:t>2 238,6</w:t>
            </w:r>
          </w:p>
        </w:tc>
        <w:tc>
          <w:tcPr>
            <w:tcW w:w="1276"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sz w:val="20"/>
                <w:szCs w:val="20"/>
              </w:rPr>
            </w:pPr>
            <w:r>
              <w:rPr>
                <w:sz w:val="20"/>
                <w:szCs w:val="20"/>
              </w:rPr>
              <w:t>1 940,2</w:t>
            </w:r>
          </w:p>
        </w:tc>
        <w:tc>
          <w:tcPr>
            <w:tcW w:w="993" w:type="dxa"/>
            <w:tcBorders>
              <w:top w:val="nil"/>
              <w:left w:val="nil"/>
              <w:bottom w:val="single" w:sz="8" w:space="0" w:color="auto"/>
              <w:right w:val="single" w:sz="8" w:space="0" w:color="auto"/>
            </w:tcBorders>
            <w:shd w:val="clear" w:color="auto" w:fill="auto"/>
            <w:vAlign w:val="center"/>
            <w:hideMark/>
          </w:tcPr>
          <w:p w:rsidR="00126BDE" w:rsidRDefault="00126BDE" w:rsidP="00B436FF">
            <w:pPr>
              <w:jc w:val="right"/>
              <w:rPr>
                <w:sz w:val="20"/>
                <w:szCs w:val="20"/>
              </w:rPr>
            </w:pPr>
            <w:r>
              <w:rPr>
                <w:sz w:val="20"/>
                <w:szCs w:val="20"/>
              </w:rPr>
              <w:t>1 940,2</w:t>
            </w:r>
          </w:p>
        </w:tc>
        <w:tc>
          <w:tcPr>
            <w:tcW w:w="992" w:type="dxa"/>
            <w:tcBorders>
              <w:top w:val="nil"/>
              <w:left w:val="nil"/>
              <w:bottom w:val="single" w:sz="8" w:space="0" w:color="auto"/>
              <w:right w:val="single" w:sz="8" w:space="0" w:color="auto"/>
            </w:tcBorders>
            <w:shd w:val="clear" w:color="auto" w:fill="auto"/>
            <w:vAlign w:val="center"/>
            <w:hideMark/>
          </w:tcPr>
          <w:p w:rsidR="00126BDE" w:rsidRDefault="00126BDE">
            <w:pPr>
              <w:jc w:val="right"/>
              <w:rPr>
                <w:sz w:val="20"/>
                <w:szCs w:val="20"/>
              </w:rPr>
            </w:pPr>
            <w:r>
              <w:rPr>
                <w:sz w:val="20"/>
                <w:szCs w:val="20"/>
              </w:rPr>
              <w:t>295,4</w:t>
            </w:r>
          </w:p>
        </w:tc>
        <w:tc>
          <w:tcPr>
            <w:tcW w:w="1041" w:type="dxa"/>
            <w:tcBorders>
              <w:top w:val="nil"/>
              <w:left w:val="nil"/>
              <w:bottom w:val="single" w:sz="8" w:space="0" w:color="auto"/>
              <w:right w:val="single" w:sz="8" w:space="0" w:color="auto"/>
            </w:tcBorders>
            <w:shd w:val="clear" w:color="auto" w:fill="auto"/>
            <w:vAlign w:val="center"/>
            <w:hideMark/>
          </w:tcPr>
          <w:p w:rsidR="00126BDE" w:rsidRDefault="00126BDE">
            <w:pPr>
              <w:jc w:val="right"/>
              <w:rPr>
                <w:sz w:val="20"/>
                <w:szCs w:val="20"/>
              </w:rPr>
            </w:pPr>
            <w:r>
              <w:rPr>
                <w:sz w:val="20"/>
                <w:szCs w:val="20"/>
              </w:rPr>
              <w:t>298,4</w:t>
            </w:r>
          </w:p>
        </w:tc>
        <w:tc>
          <w:tcPr>
            <w:tcW w:w="1227" w:type="dxa"/>
            <w:tcBorders>
              <w:top w:val="nil"/>
              <w:left w:val="nil"/>
              <w:bottom w:val="single" w:sz="8" w:space="0" w:color="auto"/>
              <w:right w:val="single" w:sz="8" w:space="0" w:color="auto"/>
            </w:tcBorders>
            <w:shd w:val="clear" w:color="auto" w:fill="auto"/>
            <w:vAlign w:val="center"/>
            <w:hideMark/>
          </w:tcPr>
          <w:p w:rsidR="00126BDE" w:rsidRDefault="00126BDE">
            <w:pPr>
              <w:jc w:val="right"/>
              <w:rPr>
                <w:sz w:val="20"/>
                <w:szCs w:val="20"/>
              </w:rPr>
            </w:pPr>
            <w:r>
              <w:rPr>
                <w:sz w:val="20"/>
                <w:szCs w:val="20"/>
              </w:rPr>
              <w:t xml:space="preserve">1 862,3 </w:t>
            </w:r>
          </w:p>
        </w:tc>
      </w:tr>
    </w:tbl>
    <w:p w:rsidR="00740CFB" w:rsidRPr="004272C9" w:rsidRDefault="00BD5B49" w:rsidP="00740CFB">
      <w:pPr>
        <w:jc w:val="both"/>
        <w:rPr>
          <w:i/>
          <w:color w:val="auto"/>
          <w:sz w:val="20"/>
          <w:szCs w:val="20"/>
          <w:highlight w:val="yellow"/>
        </w:rPr>
      </w:pPr>
      <w:r w:rsidRPr="00E22485">
        <w:rPr>
          <w:i/>
          <w:color w:val="auto"/>
          <w:sz w:val="20"/>
          <w:szCs w:val="20"/>
        </w:rPr>
        <w:t>Šaltinis –  Finansų ministerija</w:t>
      </w:r>
    </w:p>
    <w:p w:rsidR="00127D74" w:rsidRPr="004272C9" w:rsidRDefault="00127D74" w:rsidP="002115D3">
      <w:pPr>
        <w:pStyle w:val="Pagrindiniotekstotrauka"/>
        <w:tabs>
          <w:tab w:val="left" w:pos="360"/>
        </w:tabs>
        <w:spacing w:after="0"/>
        <w:ind w:left="0" w:firstLine="539"/>
        <w:jc w:val="both"/>
        <w:rPr>
          <w:color w:val="auto"/>
          <w:highlight w:val="yellow"/>
        </w:rPr>
      </w:pPr>
    </w:p>
    <w:p w:rsidR="002115D3" w:rsidRPr="00F57EFD" w:rsidRDefault="002115D3" w:rsidP="002115D3">
      <w:pPr>
        <w:pStyle w:val="Pagrindiniotekstotrauka"/>
        <w:tabs>
          <w:tab w:val="left" w:pos="360"/>
        </w:tabs>
        <w:spacing w:after="0"/>
        <w:ind w:left="0" w:firstLine="539"/>
        <w:jc w:val="both"/>
        <w:rPr>
          <w:color w:val="auto"/>
        </w:rPr>
      </w:pPr>
      <w:r w:rsidRPr="0093294A">
        <w:rPr>
          <w:color w:val="auto"/>
        </w:rPr>
        <w:t>Faktiškai asignavimų valdytojų ir jų pavaldžių biudžetinių įstaigų ir kitų subjektų programų sąmatoms vykdyti iki 201</w:t>
      </w:r>
      <w:r w:rsidR="00E779B1" w:rsidRPr="0093294A">
        <w:rPr>
          <w:color w:val="auto"/>
        </w:rPr>
        <w:t>9</w:t>
      </w:r>
      <w:r w:rsidRPr="0093294A">
        <w:rPr>
          <w:color w:val="auto"/>
        </w:rPr>
        <w:t xml:space="preserve"> m. gruodžio 31 d. iš valstybės iždo sąskai</w:t>
      </w:r>
      <w:r w:rsidR="00040625" w:rsidRPr="0093294A">
        <w:rPr>
          <w:color w:val="auto"/>
        </w:rPr>
        <w:t>tos į asignavimų valdytojų ir jiems</w:t>
      </w:r>
      <w:r w:rsidRPr="0093294A">
        <w:rPr>
          <w:color w:val="auto"/>
        </w:rPr>
        <w:t xml:space="preserve"> pavaldžių biudžetinių įstaigų ir kitų subjektų biudžetines sąskaitas banke arba tiesiogiai sumokėt</w:t>
      </w:r>
      <w:r w:rsidR="00040625" w:rsidRPr="0093294A">
        <w:rPr>
          <w:color w:val="auto"/>
        </w:rPr>
        <w:t>i paslaugų te</w:t>
      </w:r>
      <w:r w:rsidR="009E1C8E" w:rsidRPr="0093294A">
        <w:rPr>
          <w:color w:val="auto"/>
        </w:rPr>
        <w:t>i</w:t>
      </w:r>
      <w:r w:rsidR="00040625" w:rsidRPr="0093294A">
        <w:rPr>
          <w:color w:val="auto"/>
        </w:rPr>
        <w:t>kėjams, rangovams</w:t>
      </w:r>
      <w:r w:rsidRPr="0093294A">
        <w:rPr>
          <w:color w:val="auto"/>
        </w:rPr>
        <w:t xml:space="preserve"> už jų tiekiamas prekes, teikiamas paslaugas ir atliktus darbus pervesta </w:t>
      </w:r>
      <w:r w:rsidR="00E779B1" w:rsidRPr="0093294A">
        <w:rPr>
          <w:b/>
          <w:color w:val="auto"/>
        </w:rPr>
        <w:t>1</w:t>
      </w:r>
      <w:r w:rsidR="0093294A" w:rsidRPr="0093294A">
        <w:rPr>
          <w:b/>
          <w:color w:val="auto"/>
        </w:rPr>
        <w:t>5</w:t>
      </w:r>
      <w:r w:rsidRPr="0093294A">
        <w:rPr>
          <w:b/>
          <w:color w:val="auto"/>
        </w:rPr>
        <w:t xml:space="preserve"> </w:t>
      </w:r>
      <w:r w:rsidR="0093294A" w:rsidRPr="0093294A">
        <w:rPr>
          <w:b/>
          <w:color w:val="auto"/>
        </w:rPr>
        <w:t>569</w:t>
      </w:r>
      <w:r w:rsidRPr="0093294A">
        <w:rPr>
          <w:b/>
          <w:color w:val="auto"/>
        </w:rPr>
        <w:t>,</w:t>
      </w:r>
      <w:r w:rsidR="0093294A" w:rsidRPr="0093294A">
        <w:rPr>
          <w:b/>
          <w:color w:val="auto"/>
        </w:rPr>
        <w:t>2</w:t>
      </w:r>
      <w:r w:rsidRPr="0093294A">
        <w:rPr>
          <w:b/>
          <w:color w:val="auto"/>
        </w:rPr>
        <w:t xml:space="preserve"> mln. eurų</w:t>
      </w:r>
      <w:r w:rsidRPr="00615A01">
        <w:rPr>
          <w:color w:val="auto"/>
        </w:rPr>
        <w:t xml:space="preserve">, iš jų iki kitų metų sausio 10 dienos asignavimų valdytojai grąžino į valstybės </w:t>
      </w:r>
      <w:r w:rsidRPr="0042784D">
        <w:rPr>
          <w:color w:val="auto"/>
        </w:rPr>
        <w:t xml:space="preserve">biudžetą </w:t>
      </w:r>
      <w:r w:rsidR="0042784D" w:rsidRPr="0042784D">
        <w:rPr>
          <w:color w:val="auto"/>
        </w:rPr>
        <w:t>62</w:t>
      </w:r>
      <w:r w:rsidR="0003085D" w:rsidRPr="0042784D">
        <w:rPr>
          <w:color w:val="auto"/>
        </w:rPr>
        <w:t>,</w:t>
      </w:r>
      <w:r w:rsidR="00C53DED" w:rsidRPr="0042784D">
        <w:rPr>
          <w:color w:val="auto"/>
        </w:rPr>
        <w:t>1</w:t>
      </w:r>
      <w:r w:rsidRPr="0042784D">
        <w:rPr>
          <w:color w:val="auto"/>
        </w:rPr>
        <w:t xml:space="preserve"> mln. eurų pagal mokėjimų paraiškas gautų, bet nepanaudotų valstybės biudžeto lėšų ir 1</w:t>
      </w:r>
      <w:r w:rsidR="0003085D" w:rsidRPr="0042784D">
        <w:rPr>
          <w:color w:val="auto"/>
        </w:rPr>
        <w:t>,</w:t>
      </w:r>
      <w:r w:rsidR="0042784D" w:rsidRPr="0042784D">
        <w:rPr>
          <w:color w:val="auto"/>
        </w:rPr>
        <w:t>6</w:t>
      </w:r>
      <w:r w:rsidRPr="0042784D">
        <w:rPr>
          <w:color w:val="auto"/>
        </w:rPr>
        <w:t xml:space="preserve"> mln. eurų ES ir kitos tarptautinės finansinės paramos lėšų.</w:t>
      </w:r>
      <w:r w:rsidR="008725EC" w:rsidRPr="0042784D">
        <w:rPr>
          <w:color w:val="auto"/>
        </w:rPr>
        <w:t xml:space="preserve"> Taip pat per 20</w:t>
      </w:r>
      <w:r w:rsidR="007922F3" w:rsidRPr="0042784D">
        <w:rPr>
          <w:color w:val="auto"/>
        </w:rPr>
        <w:t>20</w:t>
      </w:r>
      <w:r w:rsidR="008725EC" w:rsidRPr="0042784D">
        <w:rPr>
          <w:color w:val="auto"/>
        </w:rPr>
        <w:t xml:space="preserve"> metus asignavimų valdytojai grąžino </w:t>
      </w:r>
      <w:r w:rsidR="00CC2CD5" w:rsidRPr="0042784D">
        <w:rPr>
          <w:color w:val="auto"/>
        </w:rPr>
        <w:t xml:space="preserve">ankstesniais metais išmokėtų </w:t>
      </w:r>
      <w:r w:rsidR="0042784D" w:rsidRPr="0042784D">
        <w:rPr>
          <w:color w:val="auto"/>
        </w:rPr>
        <w:t>24</w:t>
      </w:r>
      <w:r w:rsidR="00494EB1" w:rsidRPr="0042784D">
        <w:rPr>
          <w:color w:val="auto"/>
        </w:rPr>
        <w:t>,</w:t>
      </w:r>
      <w:r w:rsidR="0042784D" w:rsidRPr="0042784D">
        <w:rPr>
          <w:color w:val="auto"/>
        </w:rPr>
        <w:t>4</w:t>
      </w:r>
      <w:r w:rsidR="008725EC" w:rsidRPr="0042784D">
        <w:rPr>
          <w:color w:val="auto"/>
        </w:rPr>
        <w:t xml:space="preserve"> mln. eurų</w:t>
      </w:r>
      <w:r w:rsidR="008725EC" w:rsidRPr="00F57EFD">
        <w:rPr>
          <w:color w:val="auto"/>
        </w:rPr>
        <w:t xml:space="preserve"> </w:t>
      </w:r>
      <w:r w:rsidR="00D35407" w:rsidRPr="00F57EFD">
        <w:rPr>
          <w:color w:val="auto"/>
        </w:rPr>
        <w:t xml:space="preserve">valstybės biudžeto </w:t>
      </w:r>
      <w:r w:rsidR="008725EC" w:rsidRPr="00F57EFD">
        <w:rPr>
          <w:color w:val="auto"/>
        </w:rPr>
        <w:t>asignavimų</w:t>
      </w:r>
      <w:r w:rsidR="00CC2CD5" w:rsidRPr="00F57EFD">
        <w:rPr>
          <w:color w:val="auto"/>
        </w:rPr>
        <w:t xml:space="preserve"> ir </w:t>
      </w:r>
      <w:r w:rsidR="00F57EFD">
        <w:rPr>
          <w:color w:val="auto"/>
        </w:rPr>
        <w:t>12</w:t>
      </w:r>
      <w:r w:rsidR="00CC2CD5" w:rsidRPr="00F57EFD">
        <w:rPr>
          <w:color w:val="auto"/>
        </w:rPr>
        <w:t>,</w:t>
      </w:r>
      <w:r w:rsidR="00F57EFD">
        <w:rPr>
          <w:color w:val="auto"/>
        </w:rPr>
        <w:t>8</w:t>
      </w:r>
      <w:r w:rsidR="00CC2CD5" w:rsidRPr="00F57EFD">
        <w:rPr>
          <w:color w:val="auto"/>
        </w:rPr>
        <w:t xml:space="preserve"> mln. eurų ES ir kitos tarptautinės finansinės paramos lėšų</w:t>
      </w:r>
      <w:r w:rsidR="008725EC" w:rsidRPr="00F57EFD">
        <w:rPr>
          <w:color w:val="auto"/>
        </w:rPr>
        <w:t>.</w:t>
      </w:r>
    </w:p>
    <w:p w:rsidR="00BA756E" w:rsidRDefault="00BA756E" w:rsidP="00C05CCB">
      <w:pPr>
        <w:pStyle w:val="Antrat33"/>
        <w:spacing w:line="264" w:lineRule="auto"/>
        <w:ind w:right="-266" w:firstLine="0"/>
        <w:rPr>
          <w:b w:val="0"/>
          <w:smallCaps w:val="0"/>
          <w:color w:val="auto"/>
        </w:rPr>
      </w:pPr>
    </w:p>
    <w:p w:rsidR="002A11EE" w:rsidRPr="00A33D81" w:rsidRDefault="002A11EE" w:rsidP="00C05CCB">
      <w:pPr>
        <w:pStyle w:val="Antrat33"/>
        <w:spacing w:line="264" w:lineRule="auto"/>
        <w:ind w:right="-266" w:firstLine="0"/>
        <w:rPr>
          <w:b w:val="0"/>
          <w:smallCaps w:val="0"/>
          <w:color w:val="auto"/>
        </w:rPr>
      </w:pPr>
    </w:p>
    <w:p w:rsidR="00BD3565" w:rsidRPr="00A33D81" w:rsidRDefault="00BD3565" w:rsidP="00BD3565">
      <w:pPr>
        <w:rPr>
          <w:b/>
          <w:sz w:val="26"/>
          <w:szCs w:val="26"/>
        </w:rPr>
      </w:pPr>
      <w:r w:rsidRPr="00A33D81">
        <w:rPr>
          <w:b/>
          <w:sz w:val="26"/>
          <w:szCs w:val="26"/>
        </w:rPr>
        <w:t>INFORMACIJA APIE VALSTYBĖS BIUDŽETO ASIGNAVIMŲ POKYČIUS, PLANO VYKDYMĄ IR ST</w:t>
      </w:r>
      <w:r w:rsidR="00EC196F" w:rsidRPr="00A33D81">
        <w:rPr>
          <w:b/>
          <w:sz w:val="26"/>
          <w:szCs w:val="26"/>
        </w:rPr>
        <w:t>R</w:t>
      </w:r>
      <w:r w:rsidRPr="00A33D81">
        <w:rPr>
          <w:b/>
          <w:sz w:val="26"/>
          <w:szCs w:val="26"/>
        </w:rPr>
        <w:t>UKTŪRĄ</w:t>
      </w:r>
    </w:p>
    <w:p w:rsidR="00BD3565" w:rsidRPr="004272C9" w:rsidRDefault="00BD3565" w:rsidP="00BD3565">
      <w:pPr>
        <w:autoSpaceDE w:val="0"/>
        <w:autoSpaceDN w:val="0"/>
        <w:adjustRightInd w:val="0"/>
        <w:ind w:firstLine="539"/>
        <w:jc w:val="both"/>
        <w:rPr>
          <w:color w:val="auto"/>
          <w:highlight w:val="yellow"/>
        </w:rPr>
      </w:pPr>
    </w:p>
    <w:p w:rsidR="00F1391E" w:rsidRPr="00393BE1" w:rsidRDefault="00F1391E" w:rsidP="00F1391E">
      <w:pPr>
        <w:ind w:firstLine="720"/>
        <w:jc w:val="both"/>
      </w:pPr>
      <w:r w:rsidRPr="00367F5B">
        <w:t xml:space="preserve">Valstybės biudžeto išlaidos 2020 metais buvo 4 241,6 mln. eurų didesnės negu 2019 metais. </w:t>
      </w:r>
      <w:r w:rsidRPr="00B157F4">
        <w:t>2020 m. biudžet</w:t>
      </w:r>
      <w:r>
        <w:t>o</w:t>
      </w:r>
      <w:r w:rsidRPr="00B157F4">
        <w:t xml:space="preserve"> </w:t>
      </w:r>
      <w:r>
        <w:t xml:space="preserve">išlaidų planas </w:t>
      </w:r>
      <w:r w:rsidRPr="00B157F4">
        <w:t xml:space="preserve">buvo </w:t>
      </w:r>
      <w:r>
        <w:t>ženkliai padidintas ir orientuotas</w:t>
      </w:r>
      <w:r w:rsidRPr="00B157F4">
        <w:t xml:space="preserve"> į </w:t>
      </w:r>
      <w:r>
        <w:t>pandemijos nulemtų karantino ribojimų sukeltų</w:t>
      </w:r>
      <w:r w:rsidRPr="00B157F4">
        <w:t xml:space="preserve"> problemų sprendimą</w:t>
      </w:r>
      <w:r>
        <w:t>.</w:t>
      </w:r>
      <w:r w:rsidRPr="00B157F4">
        <w:t xml:space="preserve"> </w:t>
      </w:r>
      <w:r w:rsidRPr="00646EFE">
        <w:t xml:space="preserve">Vertinant esminius 2020 metų Lietuvos biudžeto išlaidų pasikeitimus galima išskirti </w:t>
      </w:r>
      <w:r>
        <w:t>dvi</w:t>
      </w:r>
      <w:r w:rsidRPr="00646EFE">
        <w:t xml:space="preserve"> pagrindines sritis, kurioms buvo skirtas ypatingas dėmesys ir papildomos lėšos</w:t>
      </w:r>
      <w:r>
        <w:t xml:space="preserve"> – </w:t>
      </w:r>
      <w:r w:rsidRPr="00B157F4">
        <w:t>socialinę apsaugą</w:t>
      </w:r>
      <w:r>
        <w:t xml:space="preserve"> ir ekonomiką</w:t>
      </w:r>
      <w:r w:rsidRPr="00B157F4">
        <w:t>.</w:t>
      </w:r>
      <w:r w:rsidRPr="00B157F4" w:rsidDel="00DB4275">
        <w:t xml:space="preserve"> </w:t>
      </w:r>
      <w:r w:rsidRPr="00B157F4">
        <w:t>Biudžeto vykdymo duomenys atskleidžia, kad palygin</w:t>
      </w:r>
      <w:r>
        <w:t>us</w:t>
      </w:r>
      <w:r w:rsidRPr="00B157F4">
        <w:t xml:space="preserve"> su 2019 metais </w:t>
      </w:r>
      <w:r w:rsidRPr="00B3111A">
        <w:t xml:space="preserve">socialinės apsaugos sričiai buvo panaudota 1 833,3 mln. eurų daugiau, o visa </w:t>
      </w:r>
      <w:r w:rsidR="00896473">
        <w:t>panaudota</w:t>
      </w:r>
      <w:r w:rsidRPr="00B3111A">
        <w:t xml:space="preserve"> asignavimų suma sudarė 4 982,2 mln. eurų. Kitai visuomenei svarbiai sričiai – </w:t>
      </w:r>
      <w:r w:rsidRPr="00B3111A">
        <w:lastRenderedPageBreak/>
        <w:t>ekonomikai, palyginti su praėjusiais metais skirta 1 511,2</w:t>
      </w:r>
      <w:r>
        <w:t xml:space="preserve"> mln. eurų daugiau,</w:t>
      </w:r>
      <w:r w:rsidRPr="00B3111A">
        <w:t xml:space="preserve"> o bendra 2020 m.</w:t>
      </w:r>
      <w:r w:rsidR="00896473" w:rsidRPr="00B3111A">
        <w:t xml:space="preserve"> </w:t>
      </w:r>
      <w:r w:rsidR="00A84857">
        <w:t xml:space="preserve">panaudotų </w:t>
      </w:r>
      <w:r w:rsidRPr="00B3111A">
        <w:t xml:space="preserve">asignavimų suma sudarė 3 645,8 mln. eurų. </w:t>
      </w:r>
    </w:p>
    <w:p w:rsidR="00BD3565" w:rsidRPr="004109E5" w:rsidRDefault="00BD3565" w:rsidP="00BD3565">
      <w:pPr>
        <w:ind w:firstLine="720"/>
        <w:jc w:val="both"/>
      </w:pPr>
    </w:p>
    <w:p w:rsidR="00BD3565" w:rsidRPr="004109E5" w:rsidRDefault="00E466B2" w:rsidP="00BD3565">
      <w:pPr>
        <w:jc w:val="both"/>
        <w:rPr>
          <w:noProof/>
          <w:lang w:eastAsia="lt-LT"/>
        </w:rPr>
      </w:pPr>
      <w:r>
        <w:rPr>
          <w:b/>
        </w:rPr>
        <w:t>2</w:t>
      </w:r>
      <w:r w:rsidR="00BD3565" w:rsidRPr="004109E5">
        <w:rPr>
          <w:b/>
        </w:rPr>
        <w:t xml:space="preserve"> paveikslas.</w:t>
      </w:r>
      <w:r w:rsidR="00BD3565" w:rsidRPr="004109E5">
        <w:t xml:space="preserve"> 201</w:t>
      </w:r>
      <w:r w:rsidR="004109E5" w:rsidRPr="004109E5">
        <w:t>9</w:t>
      </w:r>
      <w:r w:rsidR="00BD3565" w:rsidRPr="004109E5">
        <w:t xml:space="preserve"> metų ir 20</w:t>
      </w:r>
      <w:r w:rsidR="004109E5" w:rsidRPr="004109E5">
        <w:t>20</w:t>
      </w:r>
      <w:r w:rsidR="00BD3565" w:rsidRPr="004109E5">
        <w:t xml:space="preserve"> metų asignavimų plano ir jų panaudojimo pokyčiai</w:t>
      </w:r>
    </w:p>
    <w:p w:rsidR="00BD3565" w:rsidRPr="004272C9" w:rsidRDefault="00F04FC6" w:rsidP="00BD3565">
      <w:pPr>
        <w:jc w:val="both"/>
        <w:rPr>
          <w:highlight w:val="yellow"/>
        </w:rPr>
      </w:pPr>
      <w:r>
        <w:rPr>
          <w:noProof/>
          <w:lang w:eastAsia="lt-LT"/>
        </w:rPr>
        <w:drawing>
          <wp:inline distT="0" distB="0" distL="0" distR="0" wp14:anchorId="5576CC43" wp14:editId="4986F9BC">
            <wp:extent cx="6052706" cy="3195206"/>
            <wp:effectExtent l="0" t="0" r="5715" b="571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D3565" w:rsidRPr="00CB7202" w:rsidRDefault="00BD3565" w:rsidP="00BD3565">
      <w:pPr>
        <w:spacing w:before="120"/>
        <w:jc w:val="both"/>
        <w:rPr>
          <w:i/>
          <w:color w:val="auto"/>
          <w:sz w:val="20"/>
          <w:szCs w:val="20"/>
        </w:rPr>
      </w:pPr>
      <w:r w:rsidRPr="00CB7202">
        <w:rPr>
          <w:i/>
          <w:color w:val="auto"/>
          <w:sz w:val="20"/>
          <w:szCs w:val="20"/>
        </w:rPr>
        <w:t>Šaltinis –  Finansų ministerija</w:t>
      </w:r>
    </w:p>
    <w:p w:rsidR="00BD3565" w:rsidRPr="004272C9" w:rsidRDefault="00BD3565" w:rsidP="00BD3565">
      <w:pPr>
        <w:jc w:val="both"/>
        <w:rPr>
          <w:highlight w:val="yellow"/>
        </w:rPr>
      </w:pPr>
    </w:p>
    <w:p w:rsidR="00EB3538" w:rsidRPr="009B2B10" w:rsidRDefault="00EB3538" w:rsidP="00EB3538">
      <w:pPr>
        <w:ind w:firstLine="720"/>
        <w:jc w:val="both"/>
      </w:pPr>
      <w:r w:rsidRPr="00393BE1">
        <w:t xml:space="preserve">Prasidėjus </w:t>
      </w:r>
      <w:r>
        <w:t xml:space="preserve">COVID-19 ligos sukeltai pandemijai ir įvedus karantiną didelė dalis ūkinės veiklos buvo apribota, dėl to darbuotojai negalėjo dirbti dėl prastovų, poreikio prižiūrėti vaikus ar kitų karantino ribojimų nulemtų priežasčių. Visų pirma, tai lėmė ženkliai išaugusį išlaidų socialinei sričiai poreikį. Daugiausiai išaugo užimtumo didinimo priemonėms skirti biudžeto asignavimai, kurių planas buvo padidintas </w:t>
      </w:r>
      <w:r w:rsidRPr="00DD114B">
        <w:t>1</w:t>
      </w:r>
      <w:r>
        <w:t> 037,3 mln. eurų, o panaudota – 1016,5</w:t>
      </w:r>
      <w:r w:rsidRPr="005F2020">
        <w:t xml:space="preserve"> </w:t>
      </w:r>
      <w:r>
        <w:t xml:space="preserve">mln. eurų. Papildomai padidinti ir socialinės paramos išmokoms </w:t>
      </w:r>
      <w:r w:rsidRPr="00DD114B">
        <w:t>skirti biudžeto asignavimai</w:t>
      </w:r>
      <w:r>
        <w:t xml:space="preserve"> –</w:t>
      </w:r>
      <w:r w:rsidRPr="00DD114B">
        <w:t xml:space="preserve"> </w:t>
      </w:r>
      <w:r>
        <w:t>l</w:t>
      </w:r>
      <w:r w:rsidRPr="005F2020">
        <w:t>igos išmok</w:t>
      </w:r>
      <w:r>
        <w:t>oms</w:t>
      </w:r>
      <w:r w:rsidRPr="005F2020">
        <w:t xml:space="preserve"> prižiūrintiesiems vaikus, senatvės pensijos amžių sukakusius žmones ir neįgaliuosius, kai sustabdoma ar apribojama švietimo įstaigų, nestacionarių socialinių paslaugų įstaigų (dienos centrų) veikla, taip pat sunkiomis lėtinėmis ligomis sergantiems asmenims</w:t>
      </w:r>
      <w:r>
        <w:t xml:space="preserve"> asignavim</w:t>
      </w:r>
      <w:r>
        <w:rPr>
          <w:lang w:val="en-US"/>
        </w:rPr>
        <w:t xml:space="preserve">ai </w:t>
      </w:r>
      <w:r>
        <w:t>padidinti 140 mln. eurų, visa ši suma panaudota. Papildomai buvo skirta 179,5 mln. eurų asignavimų s</w:t>
      </w:r>
      <w:r w:rsidRPr="005F2020">
        <w:t xml:space="preserve">ocialinio draudimo pensijų ir šalpos išmokų gavėjams </w:t>
      </w:r>
      <w:r>
        <w:t>išmok</w:t>
      </w:r>
      <w:r w:rsidR="00A84857">
        <w:t>ė</w:t>
      </w:r>
      <w:r>
        <w:t xml:space="preserve">ti </w:t>
      </w:r>
      <w:r w:rsidRPr="005F2020">
        <w:t xml:space="preserve">vienkartines 200 eurų </w:t>
      </w:r>
      <w:r w:rsidRPr="009B2B10">
        <w:t>dydžio išmokas (2020 m. rugpjūtį), iš jų panaudota 174,6 mln. eurų.</w:t>
      </w:r>
    </w:p>
    <w:p w:rsidR="00EB3538" w:rsidRDefault="00EB3538" w:rsidP="00EB3538">
      <w:pPr>
        <w:ind w:firstLine="720"/>
        <w:jc w:val="both"/>
      </w:pPr>
      <w:r w:rsidRPr="00EB3538">
        <w:rPr>
          <w:color w:val="auto"/>
        </w:rPr>
        <w:t xml:space="preserve">Didelė dalis papildomai skirtų biudžeto asignavimų buvo skirta ekonomikai skatinti. Iš jų daugiausiai - 600,4 mln. eurų buvo skirta finansų inžinerijos priemonėms verslui skatinti padidinti. </w:t>
      </w:r>
      <w:r>
        <w:t xml:space="preserve">Dar po kiek daugiau nei 100 mln. eurų buvo papildomai skirta ir panaudota </w:t>
      </w:r>
      <w:r w:rsidRPr="005F2020">
        <w:t>priemon</w:t>
      </w:r>
      <w:r>
        <w:t>ės</w:t>
      </w:r>
      <w:r w:rsidRPr="005F2020">
        <w:t xml:space="preserve"> „Pagalbos verslui fondas“</w:t>
      </w:r>
      <w:r>
        <w:t xml:space="preserve"> parengimui ir įgyvendinimui bei </w:t>
      </w:r>
      <w:r w:rsidRPr="005F2020">
        <w:t>subsidij</w:t>
      </w:r>
      <w:r>
        <w:t xml:space="preserve">ų </w:t>
      </w:r>
      <w:r w:rsidRPr="005F2020">
        <w:t xml:space="preserve">mikroįmonėms </w:t>
      </w:r>
      <w:r>
        <w:t xml:space="preserve">teikimui, </w:t>
      </w:r>
      <w:r w:rsidRPr="005F2020">
        <w:t>siekiant padėti verslui išsaugoti likvidumą</w:t>
      </w:r>
      <w:r>
        <w:t xml:space="preserve">, 48,5 mln. eurų – </w:t>
      </w:r>
      <w:r w:rsidRPr="009B2B10">
        <w:t>verslo finansavimo modeli</w:t>
      </w:r>
      <w:r>
        <w:t>ų</w:t>
      </w:r>
      <w:r w:rsidRPr="009B2B10">
        <w:t xml:space="preserve"> smulkiajam ir vidutiniam verslui </w:t>
      </w:r>
      <w:r>
        <w:t xml:space="preserve">diegimui ir įgyvendinimui </w:t>
      </w:r>
      <w:r w:rsidRPr="009B2B10">
        <w:t>(paskolų teikim</w:t>
      </w:r>
      <w:r>
        <w:t>ui</w:t>
      </w:r>
      <w:r w:rsidRPr="009B2B10">
        <w:t>, garantijo</w:t>
      </w:r>
      <w:r>
        <w:t>m</w:t>
      </w:r>
      <w:r w:rsidRPr="009B2B10">
        <w:t>s ir kito</w:t>
      </w:r>
      <w:r>
        <w:t>m</w:t>
      </w:r>
      <w:r w:rsidRPr="009B2B10">
        <w:t>s rizikos pasidalijimo priemonė</w:t>
      </w:r>
      <w:r>
        <w:t>m</w:t>
      </w:r>
      <w:r w:rsidRPr="009B2B10">
        <w:t>s)</w:t>
      </w:r>
      <w:r>
        <w:t>, 46,0 mln. eurų - i</w:t>
      </w:r>
      <w:r w:rsidRPr="009B2B10">
        <w:t>š dalies kompensuoti nuomos mokestį įmonėms, nukentėjusioms nuo COVID-19 protrūkio</w:t>
      </w:r>
      <w:r>
        <w:t>, šių lėšų panaudojimas siekė 36,1 mln. eurų. Priemonių, skirtų turizmo sektoriaus likvidumui užtikrinti įgyvendinimui skirta ir panaudota 30,0 mln. eurų, priemonių, skirtų turizmo sektoriui skatinti po pandemijos  pabaigos – 17,7 mln. eurų.</w:t>
      </w:r>
    </w:p>
    <w:p w:rsidR="00896473" w:rsidRDefault="00896473" w:rsidP="00EB3538">
      <w:pPr>
        <w:ind w:firstLine="720"/>
        <w:jc w:val="both"/>
      </w:pPr>
    </w:p>
    <w:p w:rsidR="00896473" w:rsidRDefault="00896473" w:rsidP="00EB3538">
      <w:pPr>
        <w:ind w:firstLine="720"/>
        <w:jc w:val="both"/>
      </w:pPr>
    </w:p>
    <w:p w:rsidR="00896473" w:rsidRPr="00EC04D7" w:rsidRDefault="00896473" w:rsidP="00EB3538">
      <w:pPr>
        <w:ind w:firstLine="720"/>
        <w:jc w:val="both"/>
        <w:rPr>
          <w:color w:val="FFFF00"/>
        </w:rPr>
      </w:pPr>
    </w:p>
    <w:p w:rsidR="00F524E0" w:rsidRPr="004272C9" w:rsidRDefault="00F524E0" w:rsidP="00BD3565">
      <w:pPr>
        <w:ind w:firstLine="720"/>
        <w:jc w:val="both"/>
        <w:rPr>
          <w:highlight w:val="yellow"/>
        </w:rPr>
      </w:pPr>
    </w:p>
    <w:p w:rsidR="00BD3565" w:rsidRPr="001020E4" w:rsidRDefault="00E466B2" w:rsidP="00BD3565">
      <w:pPr>
        <w:pStyle w:val="Pagrindiniotekstotrauka"/>
        <w:spacing w:after="0"/>
        <w:ind w:left="0"/>
        <w:jc w:val="both"/>
        <w:rPr>
          <w:color w:val="auto"/>
        </w:rPr>
      </w:pPr>
      <w:r>
        <w:rPr>
          <w:b/>
        </w:rPr>
        <w:lastRenderedPageBreak/>
        <w:t>3</w:t>
      </w:r>
      <w:r w:rsidR="00BD3565" w:rsidRPr="001020E4">
        <w:rPr>
          <w:b/>
        </w:rPr>
        <w:t xml:space="preserve"> paveikslas.</w:t>
      </w:r>
      <w:r w:rsidR="00BD3565" w:rsidRPr="001020E4">
        <w:t xml:space="preserve"> 201</w:t>
      </w:r>
      <w:r w:rsidR="001020E4" w:rsidRPr="001020E4">
        <w:t>9</w:t>
      </w:r>
      <w:r w:rsidR="00BD3565" w:rsidRPr="001020E4">
        <w:t xml:space="preserve"> metų ir 20</w:t>
      </w:r>
      <w:r w:rsidR="001020E4" w:rsidRPr="001020E4">
        <w:t>20</w:t>
      </w:r>
      <w:r w:rsidR="00BD3565" w:rsidRPr="001020E4">
        <w:t xml:space="preserve"> metų biudžeto panaudoti asignavimai pagal valstybės funkcij</w:t>
      </w:r>
      <w:r w:rsidR="008E5CD1" w:rsidRPr="001020E4">
        <w:t>as</w:t>
      </w:r>
      <w:r w:rsidR="00BD3565" w:rsidRPr="001020E4">
        <w:t>, mln.eurų</w:t>
      </w:r>
    </w:p>
    <w:p w:rsidR="00BD3565" w:rsidRPr="004272C9" w:rsidRDefault="0021230E" w:rsidP="00BD3565">
      <w:pPr>
        <w:jc w:val="both"/>
        <w:rPr>
          <w:i/>
          <w:color w:val="auto"/>
          <w:sz w:val="20"/>
          <w:szCs w:val="20"/>
          <w:highlight w:val="yellow"/>
        </w:rPr>
      </w:pPr>
      <w:r>
        <w:rPr>
          <w:noProof/>
          <w:lang w:eastAsia="lt-LT"/>
        </w:rPr>
        <w:drawing>
          <wp:inline distT="0" distB="0" distL="0" distR="0" wp14:anchorId="0C100386" wp14:editId="5A9A5D08">
            <wp:extent cx="6038850" cy="3343275"/>
            <wp:effectExtent l="0" t="0" r="1905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3565" w:rsidRPr="001020E4" w:rsidRDefault="00BD3565" w:rsidP="00BD3565">
      <w:pPr>
        <w:jc w:val="both"/>
        <w:rPr>
          <w:i/>
          <w:color w:val="auto"/>
          <w:sz w:val="20"/>
          <w:szCs w:val="20"/>
        </w:rPr>
      </w:pPr>
      <w:r w:rsidRPr="001020E4">
        <w:rPr>
          <w:i/>
          <w:color w:val="auto"/>
          <w:sz w:val="20"/>
          <w:szCs w:val="20"/>
        </w:rPr>
        <w:t>Šaltinis –  Finansų ministerija</w:t>
      </w:r>
    </w:p>
    <w:p w:rsidR="00BD3565" w:rsidRPr="006E0957" w:rsidRDefault="00BD3565" w:rsidP="00BD3565">
      <w:pPr>
        <w:pStyle w:val="Antrat33"/>
        <w:spacing w:line="240" w:lineRule="auto"/>
        <w:ind w:right="0" w:firstLine="0"/>
        <w:rPr>
          <w:color w:val="auto"/>
          <w:sz w:val="26"/>
          <w:szCs w:val="26"/>
        </w:rPr>
      </w:pPr>
    </w:p>
    <w:p w:rsidR="002A11EE" w:rsidRDefault="00BD3565" w:rsidP="002232B6">
      <w:pPr>
        <w:pStyle w:val="Pagrindiniotekstotrauka"/>
        <w:spacing w:after="0"/>
        <w:ind w:left="0" w:firstLine="600"/>
        <w:jc w:val="both"/>
        <w:rPr>
          <w:color w:val="auto"/>
        </w:rPr>
      </w:pPr>
      <w:r w:rsidRPr="006E0957">
        <w:rPr>
          <w:color w:val="auto"/>
        </w:rPr>
        <w:t>20</w:t>
      </w:r>
      <w:r w:rsidR="006E0957" w:rsidRPr="006E0957">
        <w:rPr>
          <w:color w:val="auto"/>
        </w:rPr>
        <w:t>20</w:t>
      </w:r>
      <w:r w:rsidRPr="006E0957">
        <w:rPr>
          <w:color w:val="auto"/>
        </w:rPr>
        <w:t xml:space="preserve"> metais didžiausia valstybės biudžeto išlaidų da</w:t>
      </w:r>
      <w:r w:rsidR="006E0957" w:rsidRPr="006E0957">
        <w:rPr>
          <w:color w:val="auto"/>
        </w:rPr>
        <w:t>lis teko socialinei apsaugai – 32</w:t>
      </w:r>
      <w:r w:rsidRPr="006E0957">
        <w:rPr>
          <w:color w:val="auto"/>
        </w:rPr>
        <w:t>,</w:t>
      </w:r>
      <w:r w:rsidR="006E0957" w:rsidRPr="006E0957">
        <w:rPr>
          <w:color w:val="auto"/>
        </w:rPr>
        <w:t>0</w:t>
      </w:r>
      <w:r w:rsidRPr="006E0957">
        <w:rPr>
          <w:color w:val="auto"/>
        </w:rPr>
        <w:t xml:space="preserve"> proc.</w:t>
      </w:r>
      <w:r w:rsidR="006E0957" w:rsidRPr="006E0957">
        <w:rPr>
          <w:color w:val="auto"/>
        </w:rPr>
        <w:t>,</w:t>
      </w:r>
      <w:r w:rsidRPr="006E0957">
        <w:rPr>
          <w:color w:val="auto"/>
        </w:rPr>
        <w:t xml:space="preserve"> ekonomikai </w:t>
      </w:r>
      <w:r w:rsidRPr="003364F9">
        <w:rPr>
          <w:color w:val="auto"/>
        </w:rPr>
        <w:t xml:space="preserve">skirta </w:t>
      </w:r>
      <w:r w:rsidR="006E0957" w:rsidRPr="003364F9">
        <w:rPr>
          <w:color w:val="auto"/>
        </w:rPr>
        <w:t>23</w:t>
      </w:r>
      <w:r w:rsidRPr="003364F9">
        <w:rPr>
          <w:color w:val="auto"/>
        </w:rPr>
        <w:t>,</w:t>
      </w:r>
      <w:r w:rsidR="006E0957" w:rsidRPr="003364F9">
        <w:rPr>
          <w:color w:val="auto"/>
        </w:rPr>
        <w:t>4</w:t>
      </w:r>
      <w:r w:rsidRPr="003364F9">
        <w:rPr>
          <w:color w:val="auto"/>
        </w:rPr>
        <w:t xml:space="preserve"> proc., </w:t>
      </w:r>
      <w:r w:rsidR="003364F9" w:rsidRPr="00721766">
        <w:rPr>
          <w:color w:val="auto"/>
        </w:rPr>
        <w:t xml:space="preserve">švietimui – 11,0 proc., </w:t>
      </w:r>
      <w:r w:rsidRPr="00721766">
        <w:rPr>
          <w:color w:val="auto"/>
        </w:rPr>
        <w:t>bend</w:t>
      </w:r>
      <w:r w:rsidR="003364F9" w:rsidRPr="00721766">
        <w:rPr>
          <w:color w:val="auto"/>
        </w:rPr>
        <w:t>rosioms valstybės paslaugoms – 9</w:t>
      </w:r>
      <w:r w:rsidRPr="00721766">
        <w:rPr>
          <w:color w:val="auto"/>
        </w:rPr>
        <w:t>,</w:t>
      </w:r>
      <w:r w:rsidR="003364F9" w:rsidRPr="00721766">
        <w:rPr>
          <w:color w:val="auto"/>
        </w:rPr>
        <w:t>4</w:t>
      </w:r>
      <w:r w:rsidRPr="00721766">
        <w:rPr>
          <w:color w:val="auto"/>
        </w:rPr>
        <w:t xml:space="preserve"> proc., gynybai – </w:t>
      </w:r>
      <w:r w:rsidR="003364F9" w:rsidRPr="00721766">
        <w:rPr>
          <w:color w:val="auto"/>
        </w:rPr>
        <w:t>7</w:t>
      </w:r>
      <w:r w:rsidRPr="00721766">
        <w:rPr>
          <w:color w:val="auto"/>
        </w:rPr>
        <w:t>,</w:t>
      </w:r>
      <w:r w:rsidR="003364F9" w:rsidRPr="00721766">
        <w:rPr>
          <w:color w:val="auto"/>
        </w:rPr>
        <w:t>2</w:t>
      </w:r>
      <w:r w:rsidRPr="00721766">
        <w:rPr>
          <w:color w:val="auto"/>
        </w:rPr>
        <w:t xml:space="preserve"> proc., sveikatos apsaugai – </w:t>
      </w:r>
      <w:r w:rsidR="00721766" w:rsidRPr="00721766">
        <w:rPr>
          <w:color w:val="auto"/>
        </w:rPr>
        <w:t>6</w:t>
      </w:r>
      <w:r w:rsidRPr="00721766">
        <w:rPr>
          <w:color w:val="auto"/>
        </w:rPr>
        <w:t>,</w:t>
      </w:r>
      <w:r w:rsidR="00721766" w:rsidRPr="00721766">
        <w:rPr>
          <w:color w:val="auto"/>
        </w:rPr>
        <w:t>9</w:t>
      </w:r>
      <w:r w:rsidRPr="00721766">
        <w:rPr>
          <w:color w:val="auto"/>
        </w:rPr>
        <w:t xml:space="preserve"> proc., viešajai tvarkai ir visuomenės apsaugai – </w:t>
      </w:r>
      <w:r w:rsidR="00721766" w:rsidRPr="00721766">
        <w:rPr>
          <w:color w:val="auto"/>
        </w:rPr>
        <w:t>5</w:t>
      </w:r>
      <w:r w:rsidRPr="00721766">
        <w:rPr>
          <w:color w:val="auto"/>
        </w:rPr>
        <w:t>,</w:t>
      </w:r>
      <w:r w:rsidR="00721766" w:rsidRPr="00721766">
        <w:rPr>
          <w:color w:val="auto"/>
        </w:rPr>
        <w:t>4</w:t>
      </w:r>
      <w:r w:rsidRPr="00721766">
        <w:rPr>
          <w:color w:val="auto"/>
        </w:rPr>
        <w:t xml:space="preserve"> proc., poilsiui, kultūrai ir religijai – 2,</w:t>
      </w:r>
      <w:r w:rsidR="00721766" w:rsidRPr="00721766">
        <w:rPr>
          <w:color w:val="auto"/>
        </w:rPr>
        <w:t>9</w:t>
      </w:r>
      <w:r w:rsidRPr="00721766">
        <w:rPr>
          <w:color w:val="auto"/>
        </w:rPr>
        <w:t xml:space="preserve"> proc., aplinkos apsaugai – 1,</w:t>
      </w:r>
      <w:r w:rsidR="00721766" w:rsidRPr="00721766">
        <w:rPr>
          <w:color w:val="auto"/>
        </w:rPr>
        <w:t>3</w:t>
      </w:r>
      <w:r w:rsidRPr="00721766">
        <w:rPr>
          <w:color w:val="auto"/>
        </w:rPr>
        <w:t xml:space="preserve"> proc. ir bū</w:t>
      </w:r>
      <w:r w:rsidR="00721766" w:rsidRPr="00721766">
        <w:rPr>
          <w:color w:val="auto"/>
        </w:rPr>
        <w:t>stui ir komunaliniam ūkiui – 0,5</w:t>
      </w:r>
      <w:r w:rsidRPr="00721766">
        <w:rPr>
          <w:color w:val="auto"/>
        </w:rPr>
        <w:t xml:space="preserve"> proc. valstybės biudžeto lėšų.</w:t>
      </w:r>
    </w:p>
    <w:p w:rsidR="002A11EE" w:rsidRPr="00F50C67" w:rsidRDefault="002A11EE" w:rsidP="00BD3565">
      <w:pPr>
        <w:rPr>
          <w:b/>
          <w:color w:val="auto"/>
        </w:rPr>
      </w:pPr>
    </w:p>
    <w:p w:rsidR="00BD3565" w:rsidRPr="00F50C67" w:rsidRDefault="00E466B2" w:rsidP="00BD3565">
      <w:pPr>
        <w:rPr>
          <w:color w:val="auto"/>
        </w:rPr>
      </w:pPr>
      <w:r>
        <w:rPr>
          <w:b/>
          <w:color w:val="auto"/>
        </w:rPr>
        <w:t>4</w:t>
      </w:r>
      <w:r w:rsidR="00BD3565" w:rsidRPr="00F50C67">
        <w:rPr>
          <w:b/>
          <w:color w:val="auto"/>
        </w:rPr>
        <w:t xml:space="preserve"> paveikslas. </w:t>
      </w:r>
      <w:r w:rsidR="00BD3565" w:rsidRPr="00F50C67">
        <w:rPr>
          <w:color w:val="auto"/>
        </w:rPr>
        <w:t>20</w:t>
      </w:r>
      <w:r w:rsidR="00F50C67" w:rsidRPr="00F50C67">
        <w:rPr>
          <w:color w:val="auto"/>
        </w:rPr>
        <w:t>20</w:t>
      </w:r>
      <w:r w:rsidR="00BD3565" w:rsidRPr="00F50C67">
        <w:rPr>
          <w:color w:val="auto"/>
        </w:rPr>
        <w:t xml:space="preserve"> m. valstybės biudžeto išlaidos pagal valstybės funkcijas, proc.</w:t>
      </w:r>
    </w:p>
    <w:p w:rsidR="00BD3565" w:rsidRPr="004272C9" w:rsidRDefault="00114749" w:rsidP="00BD3565">
      <w:pPr>
        <w:pStyle w:val="Pagrindiniotekstotrauka"/>
        <w:spacing w:after="0"/>
        <w:ind w:left="0"/>
        <w:jc w:val="both"/>
        <w:rPr>
          <w:color w:val="auto"/>
          <w:highlight w:val="yellow"/>
        </w:rPr>
      </w:pPr>
      <w:r>
        <w:rPr>
          <w:noProof/>
          <w:lang w:eastAsia="lt-LT"/>
        </w:rPr>
        <w:drawing>
          <wp:inline distT="0" distB="0" distL="0" distR="0" wp14:anchorId="5023E983" wp14:editId="70264AA3">
            <wp:extent cx="6120130" cy="3404982"/>
            <wp:effectExtent l="0" t="0" r="13970" b="24130"/>
            <wp:docPr id="6" name="Diagrama 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xmlns:arto="http://schemas.microsoft.com/office/word/2006/arto"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3565" w:rsidRPr="00F50C67" w:rsidRDefault="00BD3565" w:rsidP="00BD3565">
      <w:pPr>
        <w:jc w:val="both"/>
        <w:rPr>
          <w:i/>
          <w:color w:val="auto"/>
          <w:sz w:val="20"/>
          <w:szCs w:val="20"/>
        </w:rPr>
      </w:pPr>
      <w:r w:rsidRPr="00F50C67">
        <w:rPr>
          <w:i/>
          <w:color w:val="auto"/>
          <w:sz w:val="20"/>
          <w:szCs w:val="20"/>
        </w:rPr>
        <w:t>Šaltinis –  Finansų ministerija</w:t>
      </w:r>
    </w:p>
    <w:p w:rsidR="00BD3565" w:rsidRPr="004272C9" w:rsidRDefault="00BD3565" w:rsidP="00BD3565">
      <w:pPr>
        <w:pStyle w:val="Pagrindiniotekstotrauka"/>
        <w:spacing w:after="0"/>
        <w:ind w:left="0" w:firstLine="600"/>
        <w:jc w:val="both"/>
        <w:rPr>
          <w:color w:val="auto"/>
          <w:highlight w:val="yellow"/>
        </w:rPr>
      </w:pPr>
    </w:p>
    <w:p w:rsidR="00BD3565" w:rsidRPr="00EF5235" w:rsidRDefault="00BD3565" w:rsidP="00BD3565">
      <w:pPr>
        <w:autoSpaceDE w:val="0"/>
        <w:autoSpaceDN w:val="0"/>
        <w:adjustRightInd w:val="0"/>
        <w:ind w:firstLine="600"/>
        <w:jc w:val="both"/>
      </w:pPr>
      <w:r w:rsidRPr="00BF7D2E">
        <w:lastRenderedPageBreak/>
        <w:t xml:space="preserve">Bendrųjų valstybės paslaugų išlaidų dalyje </w:t>
      </w:r>
      <w:r w:rsidR="00BF7D2E">
        <w:t>28</w:t>
      </w:r>
      <w:r w:rsidRPr="00BF7D2E">
        <w:t>,</w:t>
      </w:r>
      <w:r w:rsidR="00BF7D2E">
        <w:t>7</w:t>
      </w:r>
      <w:r w:rsidRPr="00BF7D2E">
        <w:t xml:space="preserve"> proc. sudaro skolos valstybės vardu valdymo išlaidos, jos sudaro </w:t>
      </w:r>
      <w:r w:rsidR="00BF7D2E">
        <w:t>2</w:t>
      </w:r>
      <w:r w:rsidRPr="00BF7D2E">
        <w:t>,</w:t>
      </w:r>
      <w:r w:rsidR="00BF7D2E">
        <w:t>7</w:t>
      </w:r>
      <w:r w:rsidRPr="00BF7D2E">
        <w:t xml:space="preserve"> proc. visų valstybės biudžeto išlaidų. Skolos valstybės vardu v</w:t>
      </w:r>
      <w:r w:rsidR="00BF7D2E" w:rsidRPr="00BF7D2E">
        <w:t xml:space="preserve">aldymo </w:t>
      </w:r>
      <w:r w:rsidR="00BF7D2E" w:rsidRPr="000E2B67">
        <w:t>programai įgyvendinti 2020</w:t>
      </w:r>
      <w:r w:rsidRPr="000E2B67">
        <w:t xml:space="preserve"> metams buvo numatyta 4</w:t>
      </w:r>
      <w:r w:rsidR="00BF7D2E" w:rsidRPr="000E2B67">
        <w:t>35</w:t>
      </w:r>
      <w:r w:rsidRPr="000E2B67">
        <w:t>,</w:t>
      </w:r>
      <w:r w:rsidR="00BF7D2E" w:rsidRPr="000E2B67">
        <w:t>5</w:t>
      </w:r>
      <w:r w:rsidRPr="000E2B67">
        <w:t xml:space="preserve"> mln. eurų asignavimų, planą </w:t>
      </w:r>
      <w:r w:rsidRPr="000E2B67">
        <w:rPr>
          <w:color w:val="auto"/>
        </w:rPr>
        <w:t>patikslinus</w:t>
      </w:r>
      <w:r w:rsidR="000E2B67">
        <w:rPr>
          <w:color w:val="auto"/>
        </w:rPr>
        <w:t xml:space="preserve"> </w:t>
      </w:r>
      <w:r w:rsidRPr="006E1F0C">
        <w:rPr>
          <w:color w:val="auto"/>
        </w:rPr>
        <w:t> – 4</w:t>
      </w:r>
      <w:r w:rsidR="00BF7D2E" w:rsidRPr="006E1F0C">
        <w:rPr>
          <w:color w:val="auto"/>
        </w:rPr>
        <w:t>27</w:t>
      </w:r>
      <w:r w:rsidRPr="006E1F0C">
        <w:t>,</w:t>
      </w:r>
      <w:r w:rsidR="00BF7D2E" w:rsidRPr="006E1F0C">
        <w:t>5</w:t>
      </w:r>
      <w:r w:rsidRPr="006E1F0C">
        <w:t xml:space="preserve"> mln. eurų. Šios programos tikslas – užtikrinti Vyriausybės skolinimosi valstybės vardu poreikio finansavimą ir valstybės skolos valdymą. Šiems tikslams per metus išleista 4</w:t>
      </w:r>
      <w:r w:rsidR="006E1F0C" w:rsidRPr="006E1F0C">
        <w:t>22</w:t>
      </w:r>
      <w:r w:rsidRPr="006E1F0C">
        <w:t>,</w:t>
      </w:r>
      <w:r w:rsidR="004157B5">
        <w:t>5</w:t>
      </w:r>
      <w:r w:rsidRPr="006E1F0C">
        <w:t xml:space="preserve"> mln. eurų</w:t>
      </w:r>
      <w:r w:rsidRPr="00957F98">
        <w:t xml:space="preserve">. Iš jų </w:t>
      </w:r>
      <w:r w:rsidR="00957F98" w:rsidRPr="00957F98">
        <w:t>367</w:t>
      </w:r>
      <w:r w:rsidRPr="00957F98">
        <w:t>,</w:t>
      </w:r>
      <w:r w:rsidR="00957F98" w:rsidRPr="00957F98">
        <w:t>0</w:t>
      </w:r>
      <w:r w:rsidRPr="00957F98">
        <w:t xml:space="preserve"> mln. eurų sudaro rezidentams ir nerezidentams sumokėtos palūkanos už Vyriausybės vertybinius popierius, paskolas ir kitus įsipareigojimus. </w:t>
      </w:r>
      <w:r w:rsidRPr="00EF5235">
        <w:t>Palyginti su 201</w:t>
      </w:r>
      <w:r w:rsidR="00EF5235" w:rsidRPr="00EF5235">
        <w:t>9</w:t>
      </w:r>
      <w:r w:rsidRPr="00EF5235">
        <w:t xml:space="preserve"> metais, skolos valstybės vardu valdymo išlaidos sumažėjo </w:t>
      </w:r>
      <w:r w:rsidR="00C54D6B">
        <w:t>12</w:t>
      </w:r>
      <w:r w:rsidRPr="00EF5235">
        <w:t>,</w:t>
      </w:r>
      <w:r w:rsidR="00310C4D">
        <w:t>4</w:t>
      </w:r>
      <w:r w:rsidRPr="00EF5235">
        <w:t xml:space="preserve"> mln. eurų.</w:t>
      </w:r>
    </w:p>
    <w:p w:rsidR="00BD3565" w:rsidRPr="0053066D" w:rsidRDefault="00BD3565" w:rsidP="00BD3565">
      <w:pPr>
        <w:ind w:firstLine="567"/>
        <w:jc w:val="both"/>
      </w:pPr>
      <w:r w:rsidRPr="00FC59EC">
        <w:t>ES nuosavi ištekliai ir narystės mokesčiai bei įnašai ES ir tarptautinėms finansų organizacijoms sudaro 3</w:t>
      </w:r>
      <w:r w:rsidR="00FC59EC" w:rsidRPr="00FC59EC">
        <w:t>6</w:t>
      </w:r>
      <w:r w:rsidRPr="00FC59EC">
        <w:t>,</w:t>
      </w:r>
      <w:r w:rsidR="00FC59EC" w:rsidRPr="00FC59EC">
        <w:t>6</w:t>
      </w:r>
      <w:r w:rsidRPr="00FC59EC">
        <w:t xml:space="preserve"> proc. bendrų valstybės paslaugų išlaidų, šioms</w:t>
      </w:r>
      <w:r w:rsidRPr="0053066D">
        <w:t xml:space="preserve"> reikmėms išleista </w:t>
      </w:r>
      <w:r w:rsidR="0053066D" w:rsidRPr="0053066D">
        <w:t>539,7</w:t>
      </w:r>
      <w:r w:rsidRPr="0053066D">
        <w:t xml:space="preserve"> mln. eurų valstybės biudžeto lėšų. Palyginti su 201</w:t>
      </w:r>
      <w:r w:rsidR="0053066D" w:rsidRPr="0053066D">
        <w:t>9</w:t>
      </w:r>
      <w:r w:rsidRPr="0053066D">
        <w:t xml:space="preserve"> metais</w:t>
      </w:r>
      <w:r w:rsidR="0053066D" w:rsidRPr="0053066D">
        <w:t>, įmokų į ES biudžetą pervesta 55</w:t>
      </w:r>
      <w:r w:rsidRPr="0053066D">
        <w:t>,</w:t>
      </w:r>
      <w:r w:rsidR="0053066D" w:rsidRPr="0053066D">
        <w:t>8</w:t>
      </w:r>
      <w:r w:rsidRPr="0053066D">
        <w:t xml:space="preserve"> mln. eurų daugiau. </w:t>
      </w:r>
    </w:p>
    <w:p w:rsidR="008F6C37" w:rsidRDefault="00542B64" w:rsidP="00BD3565">
      <w:pPr>
        <w:pStyle w:val="Pagrindiniotekstotrauka"/>
        <w:spacing w:after="0"/>
        <w:ind w:left="0" w:firstLine="567"/>
        <w:jc w:val="both"/>
        <w:rPr>
          <w:color w:val="auto"/>
        </w:rPr>
      </w:pPr>
      <w:r w:rsidRPr="00542B64">
        <w:rPr>
          <w:color w:val="auto"/>
        </w:rPr>
        <w:t>10</w:t>
      </w:r>
      <w:r w:rsidR="00BD3565" w:rsidRPr="00542B64">
        <w:rPr>
          <w:color w:val="auto"/>
        </w:rPr>
        <w:t xml:space="preserve"> lentelėje pateikiamos valstybės biudžeto išlaidos pagal ekonominę klasifikaciją, kuri leidžia </w:t>
      </w:r>
      <w:r w:rsidR="00BD3565" w:rsidRPr="00ED4365">
        <w:rPr>
          <w:color w:val="auto"/>
        </w:rPr>
        <w:t>atskleisti panaudotų lėšų paskirtį</w:t>
      </w:r>
      <w:r w:rsidR="000E4498" w:rsidRPr="00ED4365">
        <w:rPr>
          <w:color w:val="auto"/>
        </w:rPr>
        <w:t>.</w:t>
      </w:r>
    </w:p>
    <w:p w:rsidR="008F6C37" w:rsidRDefault="008F6C37" w:rsidP="00BD3565">
      <w:pPr>
        <w:pStyle w:val="Pagrindiniotekstotrauka"/>
        <w:spacing w:after="0"/>
        <w:ind w:left="0" w:firstLine="567"/>
        <w:jc w:val="both"/>
        <w:rPr>
          <w:color w:val="auto"/>
        </w:rPr>
      </w:pPr>
    </w:p>
    <w:p w:rsidR="008F6C37" w:rsidRPr="00636C13" w:rsidRDefault="008F6C37" w:rsidP="008F6C37">
      <w:pPr>
        <w:rPr>
          <w:color w:val="auto"/>
        </w:rPr>
      </w:pPr>
      <w:r w:rsidRPr="00636C13">
        <w:rPr>
          <w:b/>
          <w:bCs/>
          <w:color w:val="auto"/>
        </w:rPr>
        <w:t>1</w:t>
      </w:r>
      <w:r w:rsidR="006E229D">
        <w:rPr>
          <w:b/>
          <w:bCs/>
          <w:color w:val="auto"/>
        </w:rPr>
        <w:t>1</w:t>
      </w:r>
      <w:r w:rsidRPr="00636C13">
        <w:rPr>
          <w:b/>
          <w:bCs/>
          <w:color w:val="auto"/>
        </w:rPr>
        <w:t xml:space="preserve"> lentelė. </w:t>
      </w:r>
      <w:r w:rsidRPr="00636C13">
        <w:rPr>
          <w:color w:val="auto"/>
        </w:rPr>
        <w:t xml:space="preserve">2020 metų valstybės biudžeto išlaidos pagal ekonominę klasifikaciją, mln. eurų </w:t>
      </w:r>
    </w:p>
    <w:tbl>
      <w:tblPr>
        <w:tblW w:w="9623" w:type="dxa"/>
        <w:tblInd w:w="98" w:type="dxa"/>
        <w:tblLook w:val="04A0" w:firstRow="1" w:lastRow="0" w:firstColumn="1" w:lastColumn="0" w:noHBand="0" w:noVBand="1"/>
      </w:tblPr>
      <w:tblGrid>
        <w:gridCol w:w="2514"/>
        <w:gridCol w:w="1382"/>
        <w:gridCol w:w="1404"/>
        <w:gridCol w:w="1491"/>
        <w:gridCol w:w="1404"/>
        <w:gridCol w:w="1428"/>
      </w:tblGrid>
      <w:tr w:rsidR="008F6C37" w:rsidRPr="00264006" w:rsidTr="006F7914">
        <w:trPr>
          <w:trHeight w:val="1036"/>
        </w:trPr>
        <w:tc>
          <w:tcPr>
            <w:tcW w:w="25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jc w:val="center"/>
              <w:rPr>
                <w:b/>
                <w:bCs/>
                <w:color w:val="auto"/>
                <w:sz w:val="20"/>
                <w:szCs w:val="20"/>
                <w:lang w:eastAsia="lt-LT"/>
              </w:rPr>
            </w:pPr>
            <w:r w:rsidRPr="00264006">
              <w:rPr>
                <w:b/>
                <w:bCs/>
                <w:color w:val="auto"/>
                <w:sz w:val="20"/>
                <w:szCs w:val="20"/>
                <w:lang w:eastAsia="lt-LT"/>
              </w:rPr>
              <w:t>Išlaidų ekonominė klasifikacija</w:t>
            </w:r>
          </w:p>
        </w:tc>
        <w:tc>
          <w:tcPr>
            <w:tcW w:w="1382" w:type="dxa"/>
            <w:tcBorders>
              <w:top w:val="single" w:sz="8" w:space="0" w:color="auto"/>
              <w:left w:val="nil"/>
              <w:bottom w:val="single" w:sz="8" w:space="0" w:color="auto"/>
              <w:right w:val="single" w:sz="8" w:space="0" w:color="auto"/>
            </w:tcBorders>
            <w:shd w:val="clear" w:color="auto" w:fill="auto"/>
            <w:vAlign w:val="center"/>
            <w:hideMark/>
          </w:tcPr>
          <w:p w:rsidR="008F6C37" w:rsidRPr="00264006" w:rsidRDefault="008F6C37" w:rsidP="006F7914">
            <w:pPr>
              <w:jc w:val="center"/>
              <w:rPr>
                <w:b/>
                <w:bCs/>
                <w:color w:val="auto"/>
                <w:sz w:val="20"/>
                <w:szCs w:val="20"/>
                <w:lang w:eastAsia="lt-LT"/>
              </w:rPr>
            </w:pPr>
            <w:r w:rsidRPr="00264006">
              <w:rPr>
                <w:b/>
                <w:bCs/>
                <w:color w:val="auto"/>
                <w:sz w:val="20"/>
                <w:szCs w:val="20"/>
                <w:lang w:eastAsia="lt-LT"/>
              </w:rPr>
              <w:t>Patikslintas asignavimų planas</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8F6C37" w:rsidRPr="00264006" w:rsidRDefault="008F6C37" w:rsidP="006F7914">
            <w:pPr>
              <w:jc w:val="center"/>
              <w:rPr>
                <w:b/>
                <w:bCs/>
                <w:color w:val="auto"/>
                <w:sz w:val="20"/>
                <w:szCs w:val="20"/>
                <w:lang w:eastAsia="lt-LT"/>
              </w:rPr>
            </w:pPr>
            <w:r w:rsidRPr="00264006">
              <w:rPr>
                <w:b/>
                <w:bCs/>
                <w:color w:val="auto"/>
                <w:sz w:val="20"/>
                <w:szCs w:val="20"/>
                <w:lang w:eastAsia="lt-LT"/>
              </w:rPr>
              <w:t>2020 m. panaudoti asignavimai</w:t>
            </w:r>
          </w:p>
        </w:tc>
        <w:tc>
          <w:tcPr>
            <w:tcW w:w="1491" w:type="dxa"/>
            <w:tcBorders>
              <w:top w:val="single" w:sz="8" w:space="0" w:color="auto"/>
              <w:left w:val="nil"/>
              <w:bottom w:val="single" w:sz="8" w:space="0" w:color="auto"/>
              <w:right w:val="single" w:sz="8" w:space="0" w:color="auto"/>
            </w:tcBorders>
            <w:shd w:val="clear" w:color="auto" w:fill="auto"/>
            <w:vAlign w:val="center"/>
            <w:hideMark/>
          </w:tcPr>
          <w:p w:rsidR="008F6C37" w:rsidRPr="00264006" w:rsidRDefault="008F6C37" w:rsidP="006F7914">
            <w:pPr>
              <w:jc w:val="center"/>
              <w:rPr>
                <w:b/>
                <w:bCs/>
                <w:color w:val="auto"/>
                <w:sz w:val="20"/>
                <w:szCs w:val="20"/>
                <w:lang w:eastAsia="lt-LT"/>
              </w:rPr>
            </w:pPr>
            <w:r w:rsidRPr="00264006">
              <w:rPr>
                <w:b/>
                <w:bCs/>
                <w:color w:val="auto"/>
                <w:sz w:val="20"/>
                <w:szCs w:val="20"/>
                <w:lang w:eastAsia="lt-LT"/>
              </w:rPr>
              <w:t>Nepanaudoti asignavimai (skirtumas)</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8F6C37" w:rsidRPr="00264006" w:rsidRDefault="008F6C37" w:rsidP="006F7914">
            <w:pPr>
              <w:jc w:val="center"/>
              <w:rPr>
                <w:b/>
                <w:bCs/>
                <w:color w:val="auto"/>
                <w:sz w:val="20"/>
                <w:szCs w:val="20"/>
                <w:lang w:eastAsia="lt-LT"/>
              </w:rPr>
            </w:pPr>
            <w:r w:rsidRPr="00264006">
              <w:rPr>
                <w:b/>
                <w:bCs/>
                <w:color w:val="auto"/>
                <w:sz w:val="20"/>
                <w:szCs w:val="20"/>
                <w:lang w:eastAsia="lt-LT"/>
              </w:rPr>
              <w:t>2019 m. panaudoti asignavimai</w:t>
            </w:r>
          </w:p>
        </w:tc>
        <w:tc>
          <w:tcPr>
            <w:tcW w:w="1428" w:type="dxa"/>
            <w:tcBorders>
              <w:top w:val="single" w:sz="8" w:space="0" w:color="auto"/>
              <w:left w:val="nil"/>
              <w:bottom w:val="single" w:sz="8" w:space="0" w:color="auto"/>
              <w:right w:val="single" w:sz="8" w:space="0" w:color="auto"/>
            </w:tcBorders>
            <w:shd w:val="clear" w:color="auto" w:fill="auto"/>
            <w:vAlign w:val="center"/>
            <w:hideMark/>
          </w:tcPr>
          <w:p w:rsidR="008F6C37" w:rsidRPr="00264006" w:rsidRDefault="008F6C37" w:rsidP="006F7914">
            <w:pPr>
              <w:jc w:val="center"/>
              <w:rPr>
                <w:b/>
                <w:bCs/>
                <w:color w:val="auto"/>
                <w:sz w:val="20"/>
                <w:szCs w:val="20"/>
                <w:lang w:eastAsia="lt-LT"/>
              </w:rPr>
            </w:pPr>
            <w:r w:rsidRPr="00264006">
              <w:rPr>
                <w:b/>
                <w:bCs/>
                <w:color w:val="auto"/>
                <w:sz w:val="20"/>
                <w:szCs w:val="20"/>
                <w:lang w:eastAsia="lt-LT"/>
              </w:rPr>
              <w:t>Palyginimas su praėjusiais metais             (- sumažėjo;           + padidėjo)</w:t>
            </w:r>
          </w:p>
        </w:tc>
      </w:tr>
      <w:tr w:rsidR="008F6C37" w:rsidRPr="00264006" w:rsidTr="006F7914">
        <w:trPr>
          <w:trHeight w:val="424"/>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Darbo užmokestis ir socialinis draudimas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w:t>
            </w:r>
            <w:r>
              <w:rPr>
                <w:color w:val="auto"/>
                <w:sz w:val="20"/>
                <w:szCs w:val="20"/>
                <w:lang w:eastAsia="lt-LT"/>
              </w:rPr>
              <w:t xml:space="preserve"> </w:t>
            </w:r>
            <w:r w:rsidRPr="00264006">
              <w:rPr>
                <w:color w:val="auto"/>
                <w:sz w:val="20"/>
                <w:szCs w:val="20"/>
                <w:lang w:eastAsia="lt-LT"/>
              </w:rPr>
              <w:t>036,5</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w:t>
            </w:r>
            <w:r>
              <w:rPr>
                <w:color w:val="auto"/>
                <w:sz w:val="20"/>
                <w:szCs w:val="20"/>
                <w:lang w:eastAsia="lt-LT"/>
              </w:rPr>
              <w:t xml:space="preserve"> </w:t>
            </w:r>
            <w:r w:rsidRPr="00264006">
              <w:rPr>
                <w:color w:val="auto"/>
                <w:sz w:val="20"/>
                <w:szCs w:val="20"/>
                <w:lang w:eastAsia="lt-LT"/>
              </w:rPr>
              <w:t>017,1</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19,4</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w:t>
            </w:r>
            <w:r>
              <w:rPr>
                <w:color w:val="auto"/>
                <w:sz w:val="20"/>
                <w:szCs w:val="20"/>
                <w:lang w:eastAsia="lt-LT"/>
              </w:rPr>
              <w:t xml:space="preserve"> </w:t>
            </w:r>
            <w:r w:rsidRPr="00264006">
              <w:rPr>
                <w:color w:val="auto"/>
                <w:sz w:val="20"/>
                <w:szCs w:val="20"/>
                <w:lang w:eastAsia="lt-LT"/>
              </w:rPr>
              <w:t>857,7</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159,4</w:t>
            </w:r>
          </w:p>
        </w:tc>
      </w:tr>
      <w:tr w:rsidR="008F6C37" w:rsidRPr="00264006" w:rsidTr="006F7914">
        <w:trPr>
          <w:trHeight w:val="401"/>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Prekių ir paslaugų naudojimas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894,3</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820,4</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73,9</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759,3</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61,1</w:t>
            </w:r>
          </w:p>
        </w:tc>
      </w:tr>
      <w:tr w:rsidR="008F6C37" w:rsidRPr="00264006" w:rsidTr="006F7914">
        <w:trPr>
          <w:trHeight w:val="201"/>
        </w:trPr>
        <w:tc>
          <w:tcPr>
            <w:tcW w:w="2514" w:type="dxa"/>
            <w:tcBorders>
              <w:top w:val="nil"/>
              <w:left w:val="single" w:sz="8" w:space="0" w:color="auto"/>
              <w:bottom w:val="single" w:sz="8" w:space="0" w:color="auto"/>
              <w:right w:val="single" w:sz="8" w:space="0" w:color="auto"/>
            </w:tcBorders>
            <w:shd w:val="clear" w:color="auto" w:fill="auto"/>
            <w:noWrap/>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Turto išlaidos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370,8</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367,0</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3,8</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426,1</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-59,1</w:t>
            </w:r>
          </w:p>
        </w:tc>
      </w:tr>
      <w:tr w:rsidR="008F6C37" w:rsidRPr="00264006" w:rsidTr="006F7914">
        <w:trPr>
          <w:trHeight w:val="201"/>
        </w:trPr>
        <w:tc>
          <w:tcPr>
            <w:tcW w:w="2514" w:type="dxa"/>
            <w:tcBorders>
              <w:top w:val="nil"/>
              <w:left w:val="single" w:sz="8" w:space="0" w:color="auto"/>
              <w:bottom w:val="single" w:sz="8" w:space="0" w:color="auto"/>
              <w:right w:val="single" w:sz="8" w:space="0" w:color="auto"/>
            </w:tcBorders>
            <w:shd w:val="clear" w:color="auto" w:fill="auto"/>
            <w:noWrap/>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Subsidijos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791,1</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770,9</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20,2</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154,9</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616,0</w:t>
            </w:r>
          </w:p>
        </w:tc>
      </w:tr>
      <w:tr w:rsidR="008F6C37" w:rsidRPr="00264006" w:rsidTr="006F7914">
        <w:trPr>
          <w:trHeight w:val="201"/>
        </w:trPr>
        <w:tc>
          <w:tcPr>
            <w:tcW w:w="2514" w:type="dxa"/>
            <w:tcBorders>
              <w:top w:val="nil"/>
              <w:left w:val="single" w:sz="8" w:space="0" w:color="auto"/>
              <w:bottom w:val="single" w:sz="8" w:space="0" w:color="auto"/>
              <w:right w:val="single" w:sz="8" w:space="0" w:color="auto"/>
            </w:tcBorders>
            <w:shd w:val="clear" w:color="auto" w:fill="auto"/>
            <w:noWrap/>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Dotacijos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w:t>
            </w:r>
            <w:r>
              <w:rPr>
                <w:color w:val="auto"/>
                <w:sz w:val="20"/>
                <w:szCs w:val="20"/>
                <w:lang w:eastAsia="lt-LT"/>
              </w:rPr>
              <w:t xml:space="preserve"> </w:t>
            </w:r>
            <w:r w:rsidRPr="00264006">
              <w:rPr>
                <w:color w:val="auto"/>
                <w:sz w:val="20"/>
                <w:szCs w:val="20"/>
                <w:lang w:eastAsia="lt-LT"/>
              </w:rPr>
              <w:t>716,1</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w:t>
            </w:r>
            <w:r>
              <w:rPr>
                <w:color w:val="auto"/>
                <w:sz w:val="20"/>
                <w:szCs w:val="20"/>
                <w:lang w:eastAsia="lt-LT"/>
              </w:rPr>
              <w:t xml:space="preserve"> </w:t>
            </w:r>
            <w:r w:rsidRPr="00264006">
              <w:rPr>
                <w:color w:val="auto"/>
                <w:sz w:val="20"/>
                <w:szCs w:val="20"/>
                <w:lang w:eastAsia="lt-LT"/>
              </w:rPr>
              <w:t>635,2</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80,9</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w:t>
            </w:r>
            <w:r>
              <w:rPr>
                <w:color w:val="auto"/>
                <w:sz w:val="20"/>
                <w:szCs w:val="20"/>
                <w:lang w:eastAsia="lt-LT"/>
              </w:rPr>
              <w:t xml:space="preserve"> </w:t>
            </w:r>
            <w:r w:rsidRPr="00264006">
              <w:rPr>
                <w:color w:val="auto"/>
                <w:sz w:val="20"/>
                <w:szCs w:val="20"/>
                <w:lang w:eastAsia="lt-LT"/>
              </w:rPr>
              <w:t>917,7</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717,5</w:t>
            </w:r>
          </w:p>
        </w:tc>
      </w:tr>
      <w:tr w:rsidR="008F6C37" w:rsidRPr="00264006" w:rsidTr="006F7914">
        <w:trPr>
          <w:trHeight w:val="201"/>
        </w:trPr>
        <w:tc>
          <w:tcPr>
            <w:tcW w:w="2514" w:type="dxa"/>
            <w:tcBorders>
              <w:top w:val="nil"/>
              <w:left w:val="single" w:sz="8" w:space="0" w:color="auto"/>
              <w:bottom w:val="single" w:sz="8" w:space="0" w:color="auto"/>
              <w:right w:val="single" w:sz="8" w:space="0" w:color="auto"/>
            </w:tcBorders>
            <w:shd w:val="clear" w:color="auto" w:fill="auto"/>
            <w:noWrap/>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 xml:space="preserve">Įmokos į ES biudžetą </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539,6</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539,7</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-0,1</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483,9</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55,8</w:t>
            </w:r>
          </w:p>
        </w:tc>
      </w:tr>
      <w:tr w:rsidR="008F6C37" w:rsidRPr="00264006" w:rsidTr="006F7914">
        <w:trPr>
          <w:trHeight w:val="435"/>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Socialinės išmokos (pašalpos)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sz w:val="20"/>
                <w:szCs w:val="20"/>
                <w:lang w:eastAsia="lt-LT"/>
              </w:rPr>
            </w:pPr>
            <w:r w:rsidRPr="00264006">
              <w:rPr>
                <w:sz w:val="20"/>
                <w:szCs w:val="20"/>
                <w:lang w:eastAsia="lt-LT"/>
              </w:rPr>
              <w:t>2</w:t>
            </w:r>
            <w:r>
              <w:rPr>
                <w:sz w:val="20"/>
                <w:szCs w:val="20"/>
                <w:lang w:eastAsia="lt-LT"/>
              </w:rPr>
              <w:t xml:space="preserve"> </w:t>
            </w:r>
            <w:r w:rsidRPr="00264006">
              <w:rPr>
                <w:sz w:val="20"/>
                <w:szCs w:val="20"/>
                <w:lang w:eastAsia="lt-LT"/>
              </w:rPr>
              <w:t>802,7</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w:t>
            </w:r>
            <w:r>
              <w:rPr>
                <w:color w:val="auto"/>
                <w:sz w:val="20"/>
                <w:szCs w:val="20"/>
                <w:lang w:eastAsia="lt-LT"/>
              </w:rPr>
              <w:t xml:space="preserve"> </w:t>
            </w:r>
            <w:r w:rsidRPr="00264006">
              <w:rPr>
                <w:color w:val="auto"/>
                <w:sz w:val="20"/>
                <w:szCs w:val="20"/>
                <w:lang w:eastAsia="lt-LT"/>
              </w:rPr>
              <w:t>733,4</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69,3</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w:t>
            </w:r>
            <w:r>
              <w:rPr>
                <w:color w:val="auto"/>
                <w:sz w:val="20"/>
                <w:szCs w:val="20"/>
                <w:lang w:eastAsia="lt-LT"/>
              </w:rPr>
              <w:t xml:space="preserve"> </w:t>
            </w:r>
            <w:r w:rsidRPr="00264006">
              <w:rPr>
                <w:color w:val="auto"/>
                <w:sz w:val="20"/>
                <w:szCs w:val="20"/>
                <w:lang w:eastAsia="lt-LT"/>
              </w:rPr>
              <w:t>678,0</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w:t>
            </w:r>
            <w:r>
              <w:rPr>
                <w:color w:val="auto"/>
                <w:sz w:val="20"/>
                <w:szCs w:val="20"/>
                <w:lang w:eastAsia="lt-LT"/>
              </w:rPr>
              <w:t xml:space="preserve"> </w:t>
            </w:r>
            <w:r w:rsidRPr="00264006">
              <w:rPr>
                <w:color w:val="auto"/>
                <w:sz w:val="20"/>
                <w:szCs w:val="20"/>
                <w:lang w:eastAsia="lt-LT"/>
              </w:rPr>
              <w:t>055,4</w:t>
            </w:r>
          </w:p>
        </w:tc>
      </w:tr>
      <w:tr w:rsidR="008F6C37" w:rsidRPr="00264006" w:rsidTr="006F7914">
        <w:trPr>
          <w:trHeight w:val="201"/>
        </w:trPr>
        <w:tc>
          <w:tcPr>
            <w:tcW w:w="2514" w:type="dxa"/>
            <w:tcBorders>
              <w:top w:val="nil"/>
              <w:left w:val="single" w:sz="8" w:space="0" w:color="auto"/>
              <w:bottom w:val="single" w:sz="8" w:space="0" w:color="auto"/>
              <w:right w:val="single" w:sz="8" w:space="0" w:color="auto"/>
            </w:tcBorders>
            <w:shd w:val="clear" w:color="auto" w:fill="auto"/>
            <w:noWrap/>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Kitos išlaidos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sz w:val="20"/>
                <w:szCs w:val="20"/>
                <w:lang w:eastAsia="lt-LT"/>
              </w:rPr>
            </w:pPr>
            <w:r w:rsidRPr="00264006">
              <w:rPr>
                <w:sz w:val="20"/>
                <w:szCs w:val="20"/>
                <w:lang w:eastAsia="lt-LT"/>
              </w:rPr>
              <w:t>1</w:t>
            </w:r>
            <w:r>
              <w:rPr>
                <w:sz w:val="20"/>
                <w:szCs w:val="20"/>
                <w:lang w:eastAsia="lt-LT"/>
              </w:rPr>
              <w:t xml:space="preserve"> </w:t>
            </w:r>
            <w:r w:rsidRPr="00264006">
              <w:rPr>
                <w:sz w:val="20"/>
                <w:szCs w:val="20"/>
                <w:lang w:eastAsia="lt-LT"/>
              </w:rPr>
              <w:t>781,3</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w:t>
            </w:r>
            <w:r>
              <w:rPr>
                <w:color w:val="auto"/>
                <w:sz w:val="20"/>
                <w:szCs w:val="20"/>
                <w:lang w:eastAsia="lt-LT"/>
              </w:rPr>
              <w:t xml:space="preserve"> </w:t>
            </w:r>
            <w:r w:rsidRPr="00264006">
              <w:rPr>
                <w:color w:val="auto"/>
                <w:sz w:val="20"/>
                <w:szCs w:val="20"/>
                <w:lang w:eastAsia="lt-LT"/>
              </w:rPr>
              <w:t>618,1</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163,2</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243,7</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w:t>
            </w:r>
            <w:r>
              <w:rPr>
                <w:color w:val="auto"/>
                <w:sz w:val="20"/>
                <w:szCs w:val="20"/>
                <w:lang w:eastAsia="lt-LT"/>
              </w:rPr>
              <w:t xml:space="preserve"> </w:t>
            </w:r>
            <w:r w:rsidRPr="00264006">
              <w:rPr>
                <w:color w:val="auto"/>
                <w:sz w:val="20"/>
                <w:szCs w:val="20"/>
                <w:lang w:eastAsia="lt-LT"/>
              </w:rPr>
              <w:t>374,4</w:t>
            </w:r>
          </w:p>
        </w:tc>
      </w:tr>
      <w:tr w:rsidR="008F6C37" w:rsidRPr="00264006" w:rsidTr="006F7914">
        <w:trPr>
          <w:trHeight w:val="790"/>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Pervedamos ES, kitos finansinės paramos ir bendrojo finansavimo lėšos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w:t>
            </w:r>
            <w:r>
              <w:rPr>
                <w:color w:val="auto"/>
                <w:sz w:val="20"/>
                <w:szCs w:val="20"/>
                <w:lang w:eastAsia="lt-LT"/>
              </w:rPr>
              <w:t xml:space="preserve"> </w:t>
            </w:r>
            <w:r w:rsidRPr="00264006">
              <w:rPr>
                <w:color w:val="auto"/>
                <w:sz w:val="20"/>
                <w:szCs w:val="20"/>
                <w:lang w:eastAsia="lt-LT"/>
              </w:rPr>
              <w:t>458,0</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w:t>
            </w:r>
            <w:r>
              <w:rPr>
                <w:color w:val="auto"/>
                <w:sz w:val="20"/>
                <w:szCs w:val="20"/>
                <w:lang w:eastAsia="lt-LT"/>
              </w:rPr>
              <w:t xml:space="preserve"> </w:t>
            </w:r>
            <w:r w:rsidRPr="00264006">
              <w:rPr>
                <w:color w:val="auto"/>
                <w:sz w:val="20"/>
                <w:szCs w:val="20"/>
                <w:lang w:eastAsia="lt-LT"/>
              </w:rPr>
              <w:t>118,3</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339,7</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w:t>
            </w:r>
            <w:r>
              <w:rPr>
                <w:color w:val="auto"/>
                <w:sz w:val="20"/>
                <w:szCs w:val="20"/>
                <w:lang w:eastAsia="lt-LT"/>
              </w:rPr>
              <w:t xml:space="preserve"> </w:t>
            </w:r>
            <w:r w:rsidRPr="00264006">
              <w:rPr>
                <w:color w:val="auto"/>
                <w:sz w:val="20"/>
                <w:szCs w:val="20"/>
                <w:lang w:eastAsia="lt-LT"/>
              </w:rPr>
              <w:t>916,1</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202,2</w:t>
            </w:r>
          </w:p>
        </w:tc>
      </w:tr>
      <w:tr w:rsidR="008F6C37" w:rsidRPr="00264006" w:rsidTr="006F7914">
        <w:trPr>
          <w:trHeight w:val="601"/>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Materialiojo ir nematerialiojo turto įsigijimo išlaidos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899,3</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836,9</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62,4</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816,9</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20,0</w:t>
            </w:r>
          </w:p>
        </w:tc>
      </w:tr>
      <w:tr w:rsidR="008F6C37" w:rsidRPr="00264006" w:rsidTr="006F7914">
        <w:trPr>
          <w:trHeight w:val="389"/>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Finansinio turto įsigijimo išlaidos (perskolinimas)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105,0</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105,0</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0,0</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66,1</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38,9</w:t>
            </w:r>
          </w:p>
        </w:tc>
      </w:tr>
      <w:tr w:rsidR="008F6C37" w:rsidRPr="00264006" w:rsidTr="006F7914">
        <w:trPr>
          <w:trHeight w:val="623"/>
        </w:trPr>
        <w:tc>
          <w:tcPr>
            <w:tcW w:w="2514" w:type="dxa"/>
            <w:tcBorders>
              <w:top w:val="nil"/>
              <w:left w:val="single" w:sz="8" w:space="0" w:color="auto"/>
              <w:bottom w:val="single" w:sz="8" w:space="0" w:color="auto"/>
              <w:right w:val="single" w:sz="8" w:space="0" w:color="auto"/>
            </w:tcBorders>
            <w:shd w:val="clear" w:color="auto" w:fill="auto"/>
            <w:vAlign w:val="center"/>
            <w:hideMark/>
          </w:tcPr>
          <w:p w:rsidR="008F6C37" w:rsidRPr="00264006" w:rsidRDefault="008F6C37" w:rsidP="006F7914">
            <w:pPr>
              <w:rPr>
                <w:color w:val="auto"/>
                <w:sz w:val="20"/>
                <w:szCs w:val="20"/>
                <w:lang w:eastAsia="lt-LT"/>
              </w:rPr>
            </w:pPr>
            <w:r w:rsidRPr="00264006">
              <w:rPr>
                <w:color w:val="auto"/>
                <w:sz w:val="20"/>
                <w:szCs w:val="20"/>
                <w:lang w:eastAsia="lt-LT"/>
              </w:rPr>
              <w:t>Išlaidos dėl finansinių įsipareigojimų vykdymo (paskolų grąžinimas)</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0,0</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 </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0,0</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0,0</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color w:val="auto"/>
                <w:sz w:val="20"/>
                <w:szCs w:val="20"/>
                <w:lang w:eastAsia="lt-LT"/>
              </w:rPr>
            </w:pPr>
            <w:r w:rsidRPr="00264006">
              <w:rPr>
                <w:color w:val="auto"/>
                <w:sz w:val="20"/>
                <w:szCs w:val="20"/>
                <w:lang w:eastAsia="lt-LT"/>
              </w:rPr>
              <w:t>0,0</w:t>
            </w:r>
          </w:p>
        </w:tc>
      </w:tr>
      <w:tr w:rsidR="008F6C37" w:rsidRPr="00264006" w:rsidTr="006F7914">
        <w:trPr>
          <w:trHeight w:val="201"/>
        </w:trPr>
        <w:tc>
          <w:tcPr>
            <w:tcW w:w="2514" w:type="dxa"/>
            <w:tcBorders>
              <w:top w:val="nil"/>
              <w:left w:val="single" w:sz="8" w:space="0" w:color="auto"/>
              <w:bottom w:val="single" w:sz="8" w:space="0" w:color="auto"/>
              <w:right w:val="single" w:sz="8" w:space="0" w:color="auto"/>
            </w:tcBorders>
            <w:shd w:val="clear" w:color="auto" w:fill="auto"/>
            <w:noWrap/>
            <w:vAlign w:val="center"/>
            <w:hideMark/>
          </w:tcPr>
          <w:p w:rsidR="008F6C37" w:rsidRPr="00264006" w:rsidRDefault="008F6C37" w:rsidP="006F7914">
            <w:pPr>
              <w:rPr>
                <w:b/>
                <w:bCs/>
                <w:color w:val="auto"/>
                <w:sz w:val="20"/>
                <w:szCs w:val="20"/>
                <w:lang w:eastAsia="lt-LT"/>
              </w:rPr>
            </w:pPr>
            <w:r w:rsidRPr="00264006">
              <w:rPr>
                <w:b/>
                <w:bCs/>
                <w:color w:val="auto"/>
                <w:sz w:val="20"/>
                <w:szCs w:val="20"/>
                <w:lang w:eastAsia="lt-LT"/>
              </w:rPr>
              <w:t>Iš viso:</w:t>
            </w:r>
          </w:p>
        </w:tc>
        <w:tc>
          <w:tcPr>
            <w:tcW w:w="1382"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b/>
                <w:bCs/>
                <w:color w:val="auto"/>
                <w:sz w:val="20"/>
                <w:szCs w:val="20"/>
                <w:lang w:eastAsia="lt-LT"/>
              </w:rPr>
            </w:pPr>
            <w:r w:rsidRPr="00264006">
              <w:rPr>
                <w:b/>
                <w:bCs/>
                <w:color w:val="auto"/>
                <w:sz w:val="20"/>
                <w:szCs w:val="20"/>
                <w:lang w:eastAsia="lt-LT"/>
              </w:rPr>
              <w:t>16</w:t>
            </w:r>
            <w:r>
              <w:rPr>
                <w:b/>
                <w:bCs/>
                <w:color w:val="auto"/>
                <w:sz w:val="20"/>
                <w:szCs w:val="20"/>
                <w:lang w:eastAsia="lt-LT"/>
              </w:rPr>
              <w:t xml:space="preserve"> </w:t>
            </w:r>
            <w:r w:rsidRPr="00264006">
              <w:rPr>
                <w:b/>
                <w:bCs/>
                <w:color w:val="auto"/>
                <w:sz w:val="20"/>
                <w:szCs w:val="20"/>
                <w:lang w:eastAsia="lt-LT"/>
              </w:rPr>
              <w:t>394,7</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b/>
                <w:bCs/>
                <w:color w:val="auto"/>
                <w:sz w:val="20"/>
                <w:szCs w:val="20"/>
                <w:lang w:eastAsia="lt-LT"/>
              </w:rPr>
            </w:pPr>
            <w:r w:rsidRPr="00264006">
              <w:rPr>
                <w:b/>
                <w:bCs/>
                <w:color w:val="auto"/>
                <w:sz w:val="20"/>
                <w:szCs w:val="20"/>
                <w:lang w:eastAsia="lt-LT"/>
              </w:rPr>
              <w:t>15</w:t>
            </w:r>
            <w:r>
              <w:rPr>
                <w:b/>
                <w:bCs/>
                <w:color w:val="auto"/>
                <w:sz w:val="20"/>
                <w:szCs w:val="20"/>
                <w:lang w:eastAsia="lt-LT"/>
              </w:rPr>
              <w:t xml:space="preserve"> </w:t>
            </w:r>
            <w:r w:rsidRPr="00264006">
              <w:rPr>
                <w:b/>
                <w:bCs/>
                <w:color w:val="auto"/>
                <w:sz w:val="20"/>
                <w:szCs w:val="20"/>
                <w:lang w:eastAsia="lt-LT"/>
              </w:rPr>
              <w:t>562,0</w:t>
            </w:r>
          </w:p>
        </w:tc>
        <w:tc>
          <w:tcPr>
            <w:tcW w:w="1491"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b/>
                <w:bCs/>
                <w:color w:val="auto"/>
                <w:sz w:val="20"/>
                <w:szCs w:val="20"/>
                <w:lang w:eastAsia="lt-LT"/>
              </w:rPr>
            </w:pPr>
            <w:r w:rsidRPr="00264006">
              <w:rPr>
                <w:b/>
                <w:bCs/>
                <w:color w:val="auto"/>
                <w:sz w:val="20"/>
                <w:szCs w:val="20"/>
                <w:lang w:eastAsia="lt-LT"/>
              </w:rPr>
              <w:t>832,7</w:t>
            </w:r>
          </w:p>
        </w:tc>
        <w:tc>
          <w:tcPr>
            <w:tcW w:w="1404"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b/>
                <w:bCs/>
                <w:color w:val="auto"/>
                <w:sz w:val="20"/>
                <w:szCs w:val="20"/>
                <w:lang w:eastAsia="lt-LT"/>
              </w:rPr>
            </w:pPr>
            <w:r w:rsidRPr="00264006">
              <w:rPr>
                <w:b/>
                <w:bCs/>
                <w:color w:val="auto"/>
                <w:sz w:val="20"/>
                <w:szCs w:val="20"/>
                <w:lang w:eastAsia="lt-LT"/>
              </w:rPr>
              <w:t>11</w:t>
            </w:r>
            <w:r>
              <w:rPr>
                <w:b/>
                <w:bCs/>
                <w:color w:val="auto"/>
                <w:sz w:val="20"/>
                <w:szCs w:val="20"/>
                <w:lang w:eastAsia="lt-LT"/>
              </w:rPr>
              <w:t xml:space="preserve"> </w:t>
            </w:r>
            <w:r w:rsidRPr="00264006">
              <w:rPr>
                <w:b/>
                <w:bCs/>
                <w:color w:val="auto"/>
                <w:sz w:val="20"/>
                <w:szCs w:val="20"/>
                <w:lang w:eastAsia="lt-LT"/>
              </w:rPr>
              <w:t>320,4</w:t>
            </w:r>
          </w:p>
        </w:tc>
        <w:tc>
          <w:tcPr>
            <w:tcW w:w="1428" w:type="dxa"/>
            <w:tcBorders>
              <w:top w:val="nil"/>
              <w:left w:val="nil"/>
              <w:bottom w:val="single" w:sz="8" w:space="0" w:color="auto"/>
              <w:right w:val="single" w:sz="8" w:space="0" w:color="auto"/>
            </w:tcBorders>
            <w:shd w:val="clear" w:color="auto" w:fill="auto"/>
            <w:noWrap/>
            <w:vAlign w:val="center"/>
            <w:hideMark/>
          </w:tcPr>
          <w:p w:rsidR="008F6C37" w:rsidRPr="00264006" w:rsidRDefault="008F6C37" w:rsidP="006F7914">
            <w:pPr>
              <w:jc w:val="right"/>
              <w:rPr>
                <w:b/>
                <w:bCs/>
                <w:color w:val="auto"/>
                <w:sz w:val="20"/>
                <w:szCs w:val="20"/>
                <w:lang w:eastAsia="lt-LT"/>
              </w:rPr>
            </w:pPr>
            <w:r w:rsidRPr="00264006">
              <w:rPr>
                <w:b/>
                <w:bCs/>
                <w:color w:val="auto"/>
                <w:sz w:val="20"/>
                <w:szCs w:val="20"/>
                <w:lang w:eastAsia="lt-LT"/>
              </w:rPr>
              <w:t>4</w:t>
            </w:r>
            <w:r>
              <w:rPr>
                <w:b/>
                <w:bCs/>
                <w:color w:val="auto"/>
                <w:sz w:val="20"/>
                <w:szCs w:val="20"/>
                <w:lang w:eastAsia="lt-LT"/>
              </w:rPr>
              <w:t xml:space="preserve"> </w:t>
            </w:r>
            <w:r w:rsidRPr="00264006">
              <w:rPr>
                <w:b/>
                <w:bCs/>
                <w:color w:val="auto"/>
                <w:sz w:val="20"/>
                <w:szCs w:val="20"/>
                <w:lang w:eastAsia="lt-LT"/>
              </w:rPr>
              <w:t>241,6</w:t>
            </w:r>
          </w:p>
        </w:tc>
      </w:tr>
    </w:tbl>
    <w:p w:rsidR="008F6C37" w:rsidRPr="004272C9" w:rsidRDefault="008F6C37" w:rsidP="008F6C37">
      <w:pPr>
        <w:jc w:val="both"/>
        <w:rPr>
          <w:i/>
          <w:color w:val="auto"/>
          <w:sz w:val="20"/>
          <w:szCs w:val="20"/>
          <w:highlight w:val="yellow"/>
        </w:rPr>
      </w:pPr>
      <w:r w:rsidRPr="00264006">
        <w:rPr>
          <w:i/>
          <w:color w:val="auto"/>
          <w:sz w:val="20"/>
          <w:szCs w:val="20"/>
        </w:rPr>
        <w:t>Šaltinis –  Finansų ministerija</w:t>
      </w:r>
    </w:p>
    <w:p w:rsidR="00BD3565" w:rsidRDefault="00BD3565" w:rsidP="00BD3565">
      <w:pPr>
        <w:pStyle w:val="Pagrindiniotekstotrauka"/>
        <w:spacing w:after="0"/>
        <w:ind w:left="0" w:firstLine="567"/>
        <w:jc w:val="both"/>
        <w:rPr>
          <w:color w:val="auto"/>
        </w:rPr>
      </w:pPr>
    </w:p>
    <w:p w:rsidR="00F23A80" w:rsidRPr="00D87E67" w:rsidRDefault="00F23A80" w:rsidP="00F23A80">
      <w:pPr>
        <w:pStyle w:val="Pagrindiniotekstotrauka"/>
        <w:spacing w:after="0"/>
        <w:ind w:left="0" w:firstLine="539"/>
        <w:jc w:val="both"/>
        <w:rPr>
          <w:color w:val="auto"/>
        </w:rPr>
      </w:pPr>
      <w:r w:rsidRPr="00E13D61">
        <w:rPr>
          <w:color w:val="auto"/>
        </w:rPr>
        <w:t xml:space="preserve">Iš visų </w:t>
      </w:r>
      <w:r w:rsidRPr="00015E52">
        <w:rPr>
          <w:color w:val="auto"/>
        </w:rPr>
        <w:t xml:space="preserve">valstybės biudžeto 2020 metais padarytų išlaidų 2 733,4 mln. eurų, arba 17,5 proc. sudaro socialinės </w:t>
      </w:r>
      <w:r w:rsidRPr="00D87E67">
        <w:rPr>
          <w:color w:val="auto"/>
        </w:rPr>
        <w:t xml:space="preserve">išmokos. Palyginti su 2019 metais, socialinių išmokų išmokėta 1 055,4 mln. eurų daugiau. </w:t>
      </w:r>
    </w:p>
    <w:p w:rsidR="00F23A80" w:rsidRPr="004272C9" w:rsidRDefault="00F23A80" w:rsidP="00F23A80">
      <w:pPr>
        <w:pStyle w:val="Pagrindiniotekstotrauka"/>
        <w:spacing w:after="0"/>
        <w:ind w:left="0" w:firstLine="600"/>
        <w:jc w:val="both"/>
        <w:rPr>
          <w:color w:val="auto"/>
          <w:highlight w:val="yellow"/>
        </w:rPr>
      </w:pPr>
      <w:r w:rsidRPr="00CA7D42">
        <w:rPr>
          <w:color w:val="auto"/>
        </w:rPr>
        <w:t xml:space="preserve">Finansinių rodiklių patvirtinimo įstatymu nustatyta maksimali asignavimų darbo užmokesčiui suma sudarė 2 000,8 mln. eurų arba planuota išmokėti darbo užmokesčio 163,8 mln. eurų daugiau nei 2019 metais. </w:t>
      </w:r>
      <w:r>
        <w:rPr>
          <w:color w:val="auto"/>
        </w:rPr>
        <w:t xml:space="preserve">Per 2020 metus viešosios tvarkios ir visuomenės </w:t>
      </w:r>
      <w:r w:rsidRPr="0044343E">
        <w:rPr>
          <w:color w:val="auto"/>
        </w:rPr>
        <w:t>apsaugos funkcijoje darbo užmokesčio vykdymas iš bendros darbo užmokesčio sumos sudaro 477,3 mln. eurų.</w:t>
      </w:r>
    </w:p>
    <w:p w:rsidR="00F23A80" w:rsidRPr="00ED4365" w:rsidRDefault="00F23A80" w:rsidP="00BD3565">
      <w:pPr>
        <w:pStyle w:val="Pagrindiniotekstotrauka"/>
        <w:spacing w:after="0"/>
        <w:ind w:left="0" w:firstLine="567"/>
        <w:jc w:val="both"/>
        <w:rPr>
          <w:color w:val="auto"/>
        </w:rPr>
      </w:pPr>
    </w:p>
    <w:p w:rsidR="00353487" w:rsidRPr="008279D3" w:rsidRDefault="00BD3565" w:rsidP="00BD3565">
      <w:pPr>
        <w:pStyle w:val="Pagrindiniotekstotrauka"/>
        <w:spacing w:after="0"/>
        <w:ind w:left="0" w:firstLine="567"/>
        <w:jc w:val="both"/>
        <w:rPr>
          <w:color w:val="auto"/>
        </w:rPr>
      </w:pPr>
      <w:r w:rsidRPr="00871DAE">
        <w:rPr>
          <w:color w:val="auto"/>
        </w:rPr>
        <w:lastRenderedPageBreak/>
        <w:t xml:space="preserve">Specialios tikslinės dotacijos savivaldybių biudžetams, suplanuotos Finansinių rodiklių patvirtinimo įstatymo 5 priede </w:t>
      </w:r>
      <w:r w:rsidR="00D84610">
        <w:rPr>
          <w:color w:val="auto"/>
        </w:rPr>
        <w:t xml:space="preserve">yra </w:t>
      </w:r>
      <w:r w:rsidR="00ED4365" w:rsidRPr="00871DAE">
        <w:rPr>
          <w:color w:val="auto"/>
        </w:rPr>
        <w:t>1 005</w:t>
      </w:r>
      <w:r w:rsidRPr="00871DAE">
        <w:rPr>
          <w:color w:val="auto"/>
        </w:rPr>
        <w:t>,</w:t>
      </w:r>
      <w:r w:rsidR="00ED4365" w:rsidRPr="00871DAE">
        <w:rPr>
          <w:color w:val="auto"/>
        </w:rPr>
        <w:t>6</w:t>
      </w:r>
      <w:r w:rsidRPr="00871DAE">
        <w:rPr>
          <w:color w:val="auto"/>
        </w:rPr>
        <w:t xml:space="preserve"> mln. eurų,</w:t>
      </w:r>
      <w:r w:rsidR="00D84610">
        <w:rPr>
          <w:color w:val="auto"/>
        </w:rPr>
        <w:t xml:space="preserve"> tai sudaro: </w:t>
      </w:r>
      <w:r w:rsidR="00D84610" w:rsidRPr="00E80194">
        <w:rPr>
          <w:color w:val="auto"/>
        </w:rPr>
        <w:t>ugdymo reikmėms finansuoti finansuoti</w:t>
      </w:r>
      <w:r w:rsidR="00D84610">
        <w:rPr>
          <w:color w:val="auto"/>
        </w:rPr>
        <w:t xml:space="preserve">, </w:t>
      </w:r>
      <w:r w:rsidR="00D84610" w:rsidRPr="00E80194">
        <w:rPr>
          <w:color w:val="auto"/>
        </w:rPr>
        <w:t>savivaldybių mokykloms (klasėms arba grupėms), skirtoms šalies (regiono) mokiniams, turintiems specialiųjų ugdymosi poreikių</w:t>
      </w:r>
      <w:r w:rsidR="00D84610">
        <w:rPr>
          <w:color w:val="auto"/>
        </w:rPr>
        <w:t>,</w:t>
      </w:r>
      <w:r w:rsidR="00D84610" w:rsidRPr="00E80194">
        <w:rPr>
          <w:color w:val="auto"/>
        </w:rPr>
        <w:t xml:space="preserve"> </w:t>
      </w:r>
      <w:r w:rsidR="00D84610">
        <w:rPr>
          <w:color w:val="auto"/>
        </w:rPr>
        <w:t xml:space="preserve">ir </w:t>
      </w:r>
      <w:r w:rsidR="00D84610" w:rsidRPr="00E80194">
        <w:rPr>
          <w:color w:val="auto"/>
        </w:rPr>
        <w:t>savivaldybėms perduotoms įstaigoms išlaikyti</w:t>
      </w:r>
      <w:r w:rsidR="00D84610">
        <w:rPr>
          <w:color w:val="auto"/>
        </w:rPr>
        <w:t xml:space="preserve">, </w:t>
      </w:r>
      <w:r w:rsidR="00D84610" w:rsidRPr="0070534A">
        <w:rPr>
          <w:color w:val="auto"/>
        </w:rPr>
        <w:t>valstybinėms (valstybės perduotoms savivaldybėms) funkcijoms atlikti</w:t>
      </w:r>
      <w:r w:rsidR="00D84610">
        <w:rPr>
          <w:color w:val="auto"/>
        </w:rPr>
        <w:t>. V</w:t>
      </w:r>
      <w:r w:rsidR="00D84610" w:rsidRPr="00E80194">
        <w:rPr>
          <w:color w:val="auto"/>
        </w:rPr>
        <w:t xml:space="preserve">adovaujantis </w:t>
      </w:r>
      <w:r w:rsidR="00D84610">
        <w:rPr>
          <w:color w:val="auto"/>
        </w:rPr>
        <w:t>2020</w:t>
      </w:r>
      <w:r w:rsidR="00D84610" w:rsidRPr="00E80194">
        <w:rPr>
          <w:color w:val="auto"/>
        </w:rPr>
        <w:t xml:space="preserve"> metų Lietuvos Respublikos valstybės biudžeto ir savivaldybių biudžetų finansinių rodiklių patvirtinimo įstatyme asignavimų valdytojui suteikta teise </w:t>
      </w:r>
      <w:r w:rsidR="00D84610">
        <w:rPr>
          <w:color w:val="auto"/>
        </w:rPr>
        <w:t xml:space="preserve">atlikti </w:t>
      </w:r>
      <w:r w:rsidR="00D84610" w:rsidRPr="00E80194">
        <w:rPr>
          <w:color w:val="auto"/>
        </w:rPr>
        <w:t>perskirsty</w:t>
      </w:r>
      <w:r w:rsidR="00D84610">
        <w:rPr>
          <w:color w:val="auto"/>
        </w:rPr>
        <w:t>mus</w:t>
      </w:r>
      <w:r w:rsidR="00D84610" w:rsidRPr="00E80194">
        <w:rPr>
          <w:color w:val="auto"/>
        </w:rPr>
        <w:t xml:space="preserve"> tarp specialių tikslinių dotacijų</w:t>
      </w:r>
      <w:r w:rsidR="00D84610">
        <w:rPr>
          <w:color w:val="auto"/>
        </w:rPr>
        <w:t xml:space="preserve">, taip pat </w:t>
      </w:r>
      <w:r w:rsidR="00D84610" w:rsidRPr="00E80194">
        <w:rPr>
          <w:color w:val="auto"/>
        </w:rPr>
        <w:t>paskirstyt</w:t>
      </w:r>
      <w:r w:rsidR="00D84610">
        <w:rPr>
          <w:color w:val="auto"/>
        </w:rPr>
        <w:t>i</w:t>
      </w:r>
      <w:r w:rsidR="00D84610" w:rsidRPr="00E80194">
        <w:rPr>
          <w:color w:val="auto"/>
        </w:rPr>
        <w:t xml:space="preserve"> savivaldybėms asignavimų dal</w:t>
      </w:r>
      <w:r w:rsidR="00D84610">
        <w:rPr>
          <w:color w:val="auto"/>
        </w:rPr>
        <w:t>į</w:t>
      </w:r>
      <w:r w:rsidR="00D84610" w:rsidRPr="00E80194">
        <w:rPr>
          <w:color w:val="auto"/>
        </w:rPr>
        <w:t>, kuri numatyta jų asignavimuose kaip valstybės biudžeto dotacija savivaldybių biudžetams valstybei vykdant savo įsipareigojimus pagal įstatymus ar Vyriausybės nutarimus</w:t>
      </w:r>
      <w:r w:rsidR="00D84610">
        <w:rPr>
          <w:color w:val="auto"/>
        </w:rPr>
        <w:t>,</w:t>
      </w:r>
      <w:r w:rsidR="00D84610" w:rsidRPr="0070534A">
        <w:rPr>
          <w:color w:val="auto"/>
        </w:rPr>
        <w:t xml:space="preserve"> </w:t>
      </w:r>
      <w:r w:rsidR="00D84610" w:rsidRPr="00F92628">
        <w:rPr>
          <w:color w:val="auto"/>
        </w:rPr>
        <w:t xml:space="preserve">valstybės biudžeto specialių tikslinių dotacijų ir kitų </w:t>
      </w:r>
      <w:r w:rsidR="00D84610">
        <w:rPr>
          <w:color w:val="auto"/>
        </w:rPr>
        <w:t>dotacijų</w:t>
      </w:r>
      <w:r w:rsidR="00D84610" w:rsidRPr="00F92628">
        <w:rPr>
          <w:color w:val="auto"/>
        </w:rPr>
        <w:t>, skirtų savivaldybių biudžetams</w:t>
      </w:r>
      <w:r w:rsidR="00D84610">
        <w:rPr>
          <w:color w:val="auto"/>
        </w:rPr>
        <w:t>. P</w:t>
      </w:r>
      <w:r w:rsidRPr="00871DAE">
        <w:rPr>
          <w:color w:val="auto"/>
        </w:rPr>
        <w:t xml:space="preserve">atikslintas planas </w:t>
      </w:r>
      <w:r w:rsidR="00D84610">
        <w:rPr>
          <w:color w:val="auto"/>
        </w:rPr>
        <w:t xml:space="preserve">sudarė </w:t>
      </w:r>
      <w:r w:rsidRPr="00871DAE">
        <w:rPr>
          <w:color w:val="auto"/>
        </w:rPr>
        <w:t xml:space="preserve">– 1 </w:t>
      </w:r>
      <w:r w:rsidR="00ED4365" w:rsidRPr="00871DAE">
        <w:rPr>
          <w:color w:val="auto"/>
        </w:rPr>
        <w:t>616</w:t>
      </w:r>
      <w:r w:rsidRPr="00871DAE">
        <w:rPr>
          <w:color w:val="auto"/>
        </w:rPr>
        <w:t>,</w:t>
      </w:r>
      <w:r w:rsidR="00ED4365" w:rsidRPr="00871DAE">
        <w:rPr>
          <w:color w:val="auto"/>
        </w:rPr>
        <w:t>1</w:t>
      </w:r>
      <w:r w:rsidRPr="00871DAE">
        <w:rPr>
          <w:color w:val="auto"/>
        </w:rPr>
        <w:t xml:space="preserve"> mln. eurų</w:t>
      </w:r>
      <w:r w:rsidR="00D84610">
        <w:rPr>
          <w:color w:val="auto"/>
        </w:rPr>
        <w:t xml:space="preserve">. </w:t>
      </w:r>
      <w:r w:rsidRPr="00871DAE">
        <w:rPr>
          <w:color w:val="auto"/>
        </w:rPr>
        <w:t>20</w:t>
      </w:r>
      <w:r w:rsidR="00C06338" w:rsidRPr="00871DAE">
        <w:rPr>
          <w:color w:val="auto"/>
        </w:rPr>
        <w:t>20</w:t>
      </w:r>
      <w:r w:rsidRPr="00871DAE">
        <w:rPr>
          <w:color w:val="auto"/>
        </w:rPr>
        <w:t xml:space="preserve"> metais savivaldybių biudžetams </w:t>
      </w:r>
      <w:r w:rsidR="00D84610">
        <w:rPr>
          <w:color w:val="auto"/>
        </w:rPr>
        <w:t xml:space="preserve">tokių dotacijų </w:t>
      </w:r>
      <w:r w:rsidRPr="00871DAE">
        <w:rPr>
          <w:color w:val="auto"/>
        </w:rPr>
        <w:t>perduota</w:t>
      </w:r>
      <w:r w:rsidR="00871DAE" w:rsidRPr="00871DAE">
        <w:rPr>
          <w:color w:val="auto"/>
        </w:rPr>
        <w:t xml:space="preserve"> </w:t>
      </w:r>
      <w:r w:rsidRPr="00871DAE">
        <w:rPr>
          <w:color w:val="auto"/>
        </w:rPr>
        <w:t>1</w:t>
      </w:r>
      <w:r w:rsidR="00C06338" w:rsidRPr="00871DAE">
        <w:rPr>
          <w:color w:val="auto"/>
        </w:rPr>
        <w:t xml:space="preserve"> 582</w:t>
      </w:r>
      <w:r w:rsidRPr="00871DAE">
        <w:rPr>
          <w:color w:val="auto"/>
        </w:rPr>
        <w:t>,1 mln. eurų</w:t>
      </w:r>
      <w:r w:rsidR="00D84610">
        <w:rPr>
          <w:color w:val="auto"/>
        </w:rPr>
        <w:t>.</w:t>
      </w:r>
      <w:r w:rsidRPr="00871DAE">
        <w:rPr>
          <w:color w:val="auto"/>
        </w:rPr>
        <w:t xml:space="preserve"> </w:t>
      </w:r>
      <w:r w:rsidR="00D84610">
        <w:rPr>
          <w:color w:val="auto"/>
        </w:rPr>
        <w:t>De</w:t>
      </w:r>
      <w:r w:rsidR="00D84610" w:rsidRPr="003E2AEB">
        <w:rPr>
          <w:color w:val="auto"/>
        </w:rPr>
        <w:t xml:space="preserve">tali informacija </w:t>
      </w:r>
      <w:r w:rsidR="00D84610">
        <w:rPr>
          <w:color w:val="auto"/>
        </w:rPr>
        <w:t>pateikiama</w:t>
      </w:r>
      <w:r w:rsidR="00D84610" w:rsidRPr="003E2AEB">
        <w:rPr>
          <w:color w:val="auto"/>
        </w:rPr>
        <w:t xml:space="preserve"> </w:t>
      </w:r>
      <w:r w:rsidR="00D84610">
        <w:rPr>
          <w:color w:val="auto"/>
        </w:rPr>
        <w:t>formoje Nr.8.</w:t>
      </w:r>
      <w:r w:rsidRPr="00AE29C1">
        <w:rPr>
          <w:color w:val="auto"/>
        </w:rPr>
        <w:t xml:space="preserve"> Pažymėtina, kad</w:t>
      </w:r>
      <w:r w:rsidR="00D84610">
        <w:rPr>
          <w:color w:val="auto"/>
        </w:rPr>
        <w:t xml:space="preserve"> be specialių tikslinių dotacijų</w:t>
      </w:r>
      <w:r w:rsidRPr="00AE29C1">
        <w:rPr>
          <w:color w:val="auto"/>
        </w:rPr>
        <w:t xml:space="preserve"> </w:t>
      </w:r>
      <w:r w:rsidR="00D84610" w:rsidRPr="00AE29C1">
        <w:rPr>
          <w:color w:val="auto"/>
        </w:rPr>
        <w:t xml:space="preserve">savivaldybėms </w:t>
      </w:r>
      <w:r w:rsidRPr="00AE29C1">
        <w:rPr>
          <w:color w:val="auto"/>
        </w:rPr>
        <w:t xml:space="preserve">skyrė </w:t>
      </w:r>
      <w:r w:rsidR="00D84610">
        <w:rPr>
          <w:color w:val="auto"/>
        </w:rPr>
        <w:t>dar</w:t>
      </w:r>
      <w:r w:rsidRPr="008279D3">
        <w:rPr>
          <w:color w:val="auto"/>
        </w:rPr>
        <w:t xml:space="preserve"> </w:t>
      </w:r>
      <w:r w:rsidR="00843C2B" w:rsidRPr="008279D3">
        <w:rPr>
          <w:color w:val="auto"/>
        </w:rPr>
        <w:t>560</w:t>
      </w:r>
      <w:r w:rsidRPr="008279D3">
        <w:rPr>
          <w:color w:val="auto"/>
        </w:rPr>
        <w:t>,0 mln. eurų valstybės biudžeto asignavimų</w:t>
      </w:r>
      <w:r w:rsidR="00871DAE" w:rsidRPr="008279D3">
        <w:rPr>
          <w:color w:val="auto"/>
        </w:rPr>
        <w:t>:</w:t>
      </w:r>
      <w:r w:rsidRPr="008279D3">
        <w:rPr>
          <w:color w:val="auto"/>
        </w:rPr>
        <w:t xml:space="preserve"> </w:t>
      </w:r>
    </w:p>
    <w:p w:rsidR="00353487" w:rsidRPr="008279D3" w:rsidRDefault="00BD3565" w:rsidP="008279D3">
      <w:pPr>
        <w:pStyle w:val="Pagrindiniotekstotrauka"/>
        <w:numPr>
          <w:ilvl w:val="0"/>
          <w:numId w:val="30"/>
        </w:numPr>
        <w:spacing w:after="0"/>
        <w:ind w:left="0" w:firstLine="851"/>
        <w:jc w:val="both"/>
        <w:rPr>
          <w:color w:val="auto"/>
        </w:rPr>
      </w:pPr>
      <w:r w:rsidRPr="008279D3">
        <w:rPr>
          <w:color w:val="auto"/>
        </w:rPr>
        <w:t>Aplinkos ministerija pervedė 1,</w:t>
      </w:r>
      <w:r w:rsidR="00B769AA" w:rsidRPr="008279D3">
        <w:rPr>
          <w:color w:val="auto"/>
        </w:rPr>
        <w:t>3</w:t>
      </w:r>
      <w:r w:rsidRPr="008279D3">
        <w:rPr>
          <w:color w:val="auto"/>
        </w:rPr>
        <w:t xml:space="preserve"> mln. eurų Aplinkos apsaugos rėmimo programos viršplaninėje sąmatoje numatytoms priemonėms apmokėti, Bendrųjų miškų ūkio reikmių finansavimo programos viršplaninėje sąmatoje numatytoms priemonėms apmokėti, atliekų tvarkymo sistemos infrastruktūros plėtrai, privačių namų prijungimui prie centralizuotos nuotekų surinkimo infrastruktūros plėtrai ir kraujasiurbių upinių mašalų populiacijos pokyčių stebėjimui ir populiacijos reguliavimo programos viršplaninėje sąmatoje</w:t>
      </w:r>
      <w:r w:rsidR="00782F2A">
        <w:rPr>
          <w:color w:val="auto"/>
        </w:rPr>
        <w:t xml:space="preserve"> numatytoms priemonėms apmokėti;</w:t>
      </w:r>
    </w:p>
    <w:p w:rsidR="00353487" w:rsidRPr="008279D3" w:rsidRDefault="00BD3565" w:rsidP="009133A4">
      <w:pPr>
        <w:pStyle w:val="Pagrindiniotekstotrauka"/>
        <w:numPr>
          <w:ilvl w:val="0"/>
          <w:numId w:val="30"/>
        </w:numPr>
        <w:spacing w:after="0"/>
        <w:ind w:left="0" w:firstLine="927"/>
        <w:jc w:val="both"/>
        <w:rPr>
          <w:color w:val="auto"/>
        </w:rPr>
      </w:pPr>
      <w:r w:rsidRPr="008279D3">
        <w:rPr>
          <w:color w:val="auto"/>
        </w:rPr>
        <w:t>Finansų min</w:t>
      </w:r>
      <w:r w:rsidR="00D37485" w:rsidRPr="008279D3">
        <w:rPr>
          <w:color w:val="auto"/>
        </w:rPr>
        <w:t>isterija pervedė savivaldybėms 27</w:t>
      </w:r>
      <w:r w:rsidRPr="008279D3">
        <w:rPr>
          <w:color w:val="auto"/>
        </w:rPr>
        <w:t>,</w:t>
      </w:r>
      <w:r w:rsidR="00D37485" w:rsidRPr="008279D3">
        <w:rPr>
          <w:color w:val="auto"/>
        </w:rPr>
        <w:t>8</w:t>
      </w:r>
      <w:r w:rsidRPr="008279D3">
        <w:rPr>
          <w:color w:val="auto"/>
        </w:rPr>
        <w:t xml:space="preserve"> mln. eurų išlaidoms susijusioms su piliečių nuosavybės teisėmis į išlikusius gyvenamuosius namus, jų dalis, butus, ūkinės-komercinės paskirties pastatus ir jų priklausinius atkurti</w:t>
      </w:r>
      <w:r w:rsidR="00B17B9D" w:rsidRPr="008279D3">
        <w:rPr>
          <w:color w:val="auto"/>
        </w:rPr>
        <w:t xml:space="preserve">, </w:t>
      </w:r>
      <w:r w:rsidRPr="008279D3">
        <w:rPr>
          <w:color w:val="auto"/>
        </w:rPr>
        <w:t>kompensacijoms už išperkamą nekilnojamąjį turtą religinėms bendrijoms išmokėti</w:t>
      </w:r>
      <w:r w:rsidR="00B17B9D" w:rsidRPr="008279D3">
        <w:rPr>
          <w:color w:val="auto"/>
        </w:rPr>
        <w:t xml:space="preserve">, taip pat </w:t>
      </w:r>
      <w:r w:rsidRPr="008279D3">
        <w:rPr>
          <w:color w:val="auto"/>
        </w:rPr>
        <w:t xml:space="preserve">pervesta pagal 2014-2020 metų Europos Sąjungos fondų investicijų veiksmų programą įgyvendinamų Europos socialinio fondo projektų nuosavam indėliui užtikrinti, taip pat </w:t>
      </w:r>
      <w:r w:rsidR="008D51FA" w:rsidRPr="008279D3">
        <w:rPr>
          <w:color w:val="auto"/>
        </w:rPr>
        <w:t xml:space="preserve">pagal </w:t>
      </w:r>
      <w:r w:rsidRPr="008279D3">
        <w:rPr>
          <w:color w:val="auto"/>
        </w:rPr>
        <w:t>valstybės investicijų 2014-2020 metų Europos Sąjungos fondų investicijų veiksmų programą įgyvendinamų infrastruktūros projektų nuosavam indėliui užtikr</w:t>
      </w:r>
      <w:r w:rsidR="00782F2A">
        <w:rPr>
          <w:color w:val="auto"/>
        </w:rPr>
        <w:t xml:space="preserve">inti  ir </w:t>
      </w:r>
      <w:r w:rsidR="001E6546">
        <w:rPr>
          <w:color w:val="auto"/>
        </w:rPr>
        <w:t xml:space="preserve">Vyriausybės, </w:t>
      </w:r>
      <w:r w:rsidR="00782F2A">
        <w:rPr>
          <w:color w:val="auto"/>
        </w:rPr>
        <w:t xml:space="preserve">valstybės rezervo </w:t>
      </w:r>
      <w:r w:rsidR="001E6546">
        <w:rPr>
          <w:color w:val="auto"/>
        </w:rPr>
        <w:t xml:space="preserve">bei skolintų </w:t>
      </w:r>
      <w:r w:rsidR="00782F2A">
        <w:rPr>
          <w:color w:val="auto"/>
        </w:rPr>
        <w:t>lėšų;</w:t>
      </w:r>
    </w:p>
    <w:p w:rsidR="00353487" w:rsidRPr="008279D3" w:rsidRDefault="00BD3565" w:rsidP="009133A4">
      <w:pPr>
        <w:pStyle w:val="Pagrindiniotekstotrauka"/>
        <w:numPr>
          <w:ilvl w:val="0"/>
          <w:numId w:val="30"/>
        </w:numPr>
        <w:spacing w:after="0"/>
        <w:ind w:left="0" w:firstLine="927"/>
        <w:jc w:val="both"/>
        <w:rPr>
          <w:color w:val="auto"/>
        </w:rPr>
      </w:pPr>
      <w:r w:rsidRPr="008279D3">
        <w:rPr>
          <w:color w:val="auto"/>
        </w:rPr>
        <w:t xml:space="preserve">Kultūros ministerija pervedė </w:t>
      </w:r>
      <w:r w:rsidR="00D37485" w:rsidRPr="008279D3">
        <w:rPr>
          <w:color w:val="auto"/>
        </w:rPr>
        <w:t>38</w:t>
      </w:r>
      <w:r w:rsidRPr="008279D3">
        <w:rPr>
          <w:color w:val="auto"/>
        </w:rPr>
        <w:t>,1 mln. eurų Kauno miesto savivaldybei „Europos kultūros sostinė 2022“ programai finansuoti</w:t>
      </w:r>
      <w:r w:rsidR="007220F7" w:rsidRPr="008279D3">
        <w:rPr>
          <w:color w:val="auto"/>
        </w:rPr>
        <w:t>,</w:t>
      </w:r>
      <w:r w:rsidR="007220F7" w:rsidRPr="008279D3">
        <w:t xml:space="preserve"> v</w:t>
      </w:r>
      <w:r w:rsidR="007220F7" w:rsidRPr="008279D3">
        <w:rPr>
          <w:color w:val="auto"/>
        </w:rPr>
        <w:t>ykdyti rezistentų ir kitų asmenų, nužudytų okupacinių režimų metu, palaikų perkėlimo, laidojimo vietų įamžinimą</w:t>
      </w:r>
      <w:r w:rsidRPr="008279D3">
        <w:rPr>
          <w:color w:val="auto"/>
        </w:rPr>
        <w:t xml:space="preserve"> ir ilgalaikiam materialiam i</w:t>
      </w:r>
      <w:r w:rsidR="00782F2A">
        <w:rPr>
          <w:color w:val="auto"/>
        </w:rPr>
        <w:t>r nematerialiam turtui įsigyti;</w:t>
      </w:r>
    </w:p>
    <w:p w:rsidR="00353487" w:rsidRPr="008279D3" w:rsidRDefault="00BD3565" w:rsidP="009133A4">
      <w:pPr>
        <w:pStyle w:val="Pagrindiniotekstotrauka"/>
        <w:numPr>
          <w:ilvl w:val="0"/>
          <w:numId w:val="30"/>
        </w:numPr>
        <w:spacing w:after="0"/>
        <w:ind w:left="0" w:firstLine="927"/>
        <w:jc w:val="both"/>
        <w:rPr>
          <w:color w:val="auto"/>
        </w:rPr>
      </w:pPr>
      <w:r w:rsidRPr="008279D3">
        <w:rPr>
          <w:color w:val="auto"/>
        </w:rPr>
        <w:t xml:space="preserve">Socialinės apsaugos ir darbo ministerija pervedė </w:t>
      </w:r>
      <w:r w:rsidR="008405AF" w:rsidRPr="008279D3">
        <w:rPr>
          <w:color w:val="auto"/>
        </w:rPr>
        <w:t>34</w:t>
      </w:r>
      <w:r w:rsidRPr="008279D3">
        <w:rPr>
          <w:color w:val="auto"/>
        </w:rPr>
        <w:t>,</w:t>
      </w:r>
      <w:r w:rsidR="008405AF" w:rsidRPr="008279D3">
        <w:rPr>
          <w:color w:val="auto"/>
        </w:rPr>
        <w:t>8</w:t>
      </w:r>
      <w:r w:rsidRPr="008279D3">
        <w:rPr>
          <w:color w:val="auto"/>
        </w:rPr>
        <w:t xml:space="preserve"> mln. eurų politinių kalinių ir tremtinių bei jų šeimų narių sugrįžimo į Lietuvą veiksmų planui įgyvendinti</w:t>
      </w:r>
      <w:r w:rsidR="005C2437" w:rsidRPr="008279D3">
        <w:rPr>
          <w:color w:val="auto"/>
        </w:rPr>
        <w:t xml:space="preserve">, sudaryti sąlygas socialinės globos ir kitų įstaigų teikiančių socialines paslaugas veiklai, </w:t>
      </w:r>
      <w:r w:rsidR="00960253" w:rsidRPr="008279D3">
        <w:rPr>
          <w:color w:val="auto"/>
        </w:rPr>
        <w:t>ilgalaikiam materialiam ir nematerialiam turtui įsigyti</w:t>
      </w:r>
      <w:r w:rsidR="005C2437" w:rsidRPr="008279D3">
        <w:rPr>
          <w:color w:val="auto"/>
        </w:rPr>
        <w:t>, lėšas savivaldybėms priemonei "Skiriant piniginę socialinę paramą nepasiturintiems gyventojams laikinai nevertinti turimo turto bei padidinti VRP dydį nuo 1 VRP iki 1,1 VRP teisei į socialinę pašalpą nustatyti bei lėšų savivaldybių socialinių įstaigų darbuotojams vienkartinėms premijoms už ypač svarbių užduočių vykdymą valstybės lygio ekstremaliosios situacijos ir karantino metu išmokėti</w:t>
      </w:r>
      <w:r w:rsidR="00782F2A">
        <w:rPr>
          <w:color w:val="auto"/>
        </w:rPr>
        <w:t>;</w:t>
      </w:r>
    </w:p>
    <w:p w:rsidR="00353487" w:rsidRPr="008279D3" w:rsidRDefault="00BD3565" w:rsidP="009133A4">
      <w:pPr>
        <w:pStyle w:val="Pagrindiniotekstotrauka"/>
        <w:numPr>
          <w:ilvl w:val="0"/>
          <w:numId w:val="30"/>
        </w:numPr>
        <w:spacing w:after="0"/>
        <w:ind w:left="0" w:firstLine="993"/>
        <w:jc w:val="both"/>
        <w:rPr>
          <w:color w:val="auto"/>
        </w:rPr>
      </w:pPr>
      <w:r w:rsidRPr="008279D3">
        <w:rPr>
          <w:color w:val="auto"/>
        </w:rPr>
        <w:t xml:space="preserve">Susisiekimo ministerija skyrė </w:t>
      </w:r>
      <w:r w:rsidR="008C1E40" w:rsidRPr="008279D3">
        <w:rPr>
          <w:color w:val="auto"/>
        </w:rPr>
        <w:t>302</w:t>
      </w:r>
      <w:r w:rsidRPr="008279D3">
        <w:rPr>
          <w:color w:val="auto"/>
        </w:rPr>
        <w:t>,</w:t>
      </w:r>
      <w:r w:rsidR="008C1E40" w:rsidRPr="008279D3">
        <w:rPr>
          <w:color w:val="auto"/>
        </w:rPr>
        <w:t>9</w:t>
      </w:r>
      <w:r w:rsidRPr="008279D3">
        <w:rPr>
          <w:color w:val="auto"/>
        </w:rPr>
        <w:t xml:space="preserve"> mln. eurų </w:t>
      </w:r>
      <w:r w:rsidR="000A4BC0" w:rsidRPr="008279D3">
        <w:rPr>
          <w:color w:val="auto"/>
        </w:rPr>
        <w:t xml:space="preserve">savivaldybėms vietinės reikšmės keliams (gatvėms) tiesti, taisyti, prižiūrėti ir saugaus eismo sąlygoms užtikrinti (einamiems tikslams finansuoti) </w:t>
      </w:r>
      <w:r w:rsidRPr="008279D3">
        <w:rPr>
          <w:color w:val="auto"/>
        </w:rPr>
        <w:t xml:space="preserve">bei ilgalaikiam materialiam </w:t>
      </w:r>
      <w:r w:rsidR="00782F2A">
        <w:rPr>
          <w:color w:val="auto"/>
        </w:rPr>
        <w:t>ir nematerialiam turtui įsigyti;</w:t>
      </w:r>
    </w:p>
    <w:p w:rsidR="00353487" w:rsidRPr="008279D3" w:rsidRDefault="00BD3565" w:rsidP="000A0DA4">
      <w:pPr>
        <w:pStyle w:val="Pagrindiniotekstotrauka"/>
        <w:numPr>
          <w:ilvl w:val="0"/>
          <w:numId w:val="30"/>
        </w:numPr>
        <w:spacing w:after="0"/>
        <w:ind w:left="0" w:firstLine="927"/>
        <w:jc w:val="both"/>
        <w:rPr>
          <w:color w:val="auto"/>
        </w:rPr>
      </w:pPr>
      <w:r w:rsidRPr="008279D3">
        <w:rPr>
          <w:color w:val="auto"/>
        </w:rPr>
        <w:t xml:space="preserve">Sveikatos apsaugos ministerija išmokėjo </w:t>
      </w:r>
      <w:r w:rsidR="008C1E40" w:rsidRPr="008279D3">
        <w:rPr>
          <w:color w:val="auto"/>
        </w:rPr>
        <w:t>21</w:t>
      </w:r>
      <w:r w:rsidRPr="008279D3">
        <w:rPr>
          <w:color w:val="auto"/>
        </w:rPr>
        <w:t>,2 mln. eurų ilgalaikiam materialiam ir nematerialiam turtui įsigyti</w:t>
      </w:r>
      <w:r w:rsidR="008B7494" w:rsidRPr="008279D3">
        <w:rPr>
          <w:color w:val="auto"/>
        </w:rPr>
        <w:t xml:space="preserve"> ir neplanuotoms išlaidoms kompensuoti</w:t>
      </w:r>
      <w:r w:rsidR="00782F2A">
        <w:rPr>
          <w:color w:val="auto"/>
        </w:rPr>
        <w:t>;</w:t>
      </w:r>
    </w:p>
    <w:p w:rsidR="00353487" w:rsidRPr="008279D3" w:rsidRDefault="00BD3565" w:rsidP="000A0DA4">
      <w:pPr>
        <w:pStyle w:val="Pagrindiniotekstotrauka"/>
        <w:numPr>
          <w:ilvl w:val="0"/>
          <w:numId w:val="30"/>
        </w:numPr>
        <w:spacing w:after="0"/>
        <w:ind w:left="0" w:firstLine="927"/>
        <w:jc w:val="both"/>
        <w:rPr>
          <w:color w:val="auto"/>
        </w:rPr>
      </w:pPr>
      <w:r w:rsidRPr="008279D3">
        <w:rPr>
          <w:color w:val="auto"/>
        </w:rPr>
        <w:t>Švietimo</w:t>
      </w:r>
      <w:r w:rsidR="008D51FA" w:rsidRPr="008279D3">
        <w:rPr>
          <w:color w:val="auto"/>
        </w:rPr>
        <w:t>,</w:t>
      </w:r>
      <w:r w:rsidRPr="008279D3">
        <w:rPr>
          <w:color w:val="auto"/>
        </w:rPr>
        <w:t xml:space="preserve"> mokslo</w:t>
      </w:r>
      <w:r w:rsidR="008D51FA" w:rsidRPr="008279D3">
        <w:rPr>
          <w:color w:val="auto"/>
        </w:rPr>
        <w:t xml:space="preserve"> ir sporto</w:t>
      </w:r>
      <w:r w:rsidRPr="008279D3">
        <w:rPr>
          <w:color w:val="auto"/>
        </w:rPr>
        <w:t xml:space="preserve"> ministerija skyrė 1</w:t>
      </w:r>
      <w:r w:rsidR="008C1E40" w:rsidRPr="008279D3">
        <w:rPr>
          <w:color w:val="auto"/>
        </w:rPr>
        <w:t>18</w:t>
      </w:r>
      <w:r w:rsidRPr="008279D3">
        <w:rPr>
          <w:color w:val="auto"/>
        </w:rPr>
        <w:t>,</w:t>
      </w:r>
      <w:r w:rsidR="008C1E40" w:rsidRPr="008279D3">
        <w:rPr>
          <w:color w:val="auto"/>
        </w:rPr>
        <w:t>4</w:t>
      </w:r>
      <w:r w:rsidRPr="008279D3">
        <w:rPr>
          <w:color w:val="auto"/>
        </w:rPr>
        <w:t xml:space="preserve"> mln. eurų išlaidoms, susijusioms su mokytojais, dirbančiais pagal neformaliojo vaikų švietimo programas darbo apmokėjimu</w:t>
      </w:r>
      <w:r w:rsidR="009D2714" w:rsidRPr="008279D3">
        <w:rPr>
          <w:color w:val="auto"/>
        </w:rPr>
        <w:t>, vaikų vasaros stovykloms ir kitoms neformaliojo vaikų švietimo veikloms finansuoti, išlaidoms susijusioms su mokyklų mokytojų skaičiaus optimizavimu apmokėti,</w:t>
      </w:r>
      <w:r w:rsidR="009D2714" w:rsidRPr="008279D3">
        <w:t xml:space="preserve"> </w:t>
      </w:r>
      <w:r w:rsidR="009D2714" w:rsidRPr="008279D3">
        <w:rPr>
          <w:color w:val="auto"/>
        </w:rPr>
        <w:t>ilgalaikių neigiamų COVID-19 pandemijos pasekmių visuomenės psichikos sveikatai mažinimo veiksmų veikloms finansuoti, Lietuvos vaikų ir jaunimo centro veiklos tęstinumui užtikrinti,</w:t>
      </w:r>
      <w:r w:rsidR="009D2714" w:rsidRPr="008279D3">
        <w:t xml:space="preserve"> </w:t>
      </w:r>
      <w:r w:rsidR="009D2714" w:rsidRPr="008279D3">
        <w:rPr>
          <w:color w:val="auto"/>
        </w:rPr>
        <w:t xml:space="preserve">Vilniaus "Šaltinio" pagrindinės </w:t>
      </w:r>
      <w:r w:rsidR="009D2714" w:rsidRPr="008279D3">
        <w:rPr>
          <w:color w:val="auto"/>
        </w:rPr>
        <w:lastRenderedPageBreak/>
        <w:t xml:space="preserve">mokyklos veiklos tęstinumui, skaitmeninio ugdymo plėtrai iš valstybės vardu pasiskolintų lėšų įgyvendinant Ateities ekonomikos DNR planą apmokėti, </w:t>
      </w:r>
      <w:r w:rsidRPr="008279D3">
        <w:rPr>
          <w:color w:val="auto"/>
        </w:rPr>
        <w:t>taip pat lėšos skirtos tarpinstitucinio bendradarbi</w:t>
      </w:r>
      <w:r w:rsidR="009D2714" w:rsidRPr="008279D3">
        <w:rPr>
          <w:color w:val="auto"/>
        </w:rPr>
        <w:t>avimo koordinatorių pareigybėms</w:t>
      </w:r>
      <w:r w:rsidRPr="008279D3">
        <w:rPr>
          <w:color w:val="auto"/>
        </w:rPr>
        <w:t xml:space="preserve"> išlaikyti ir ilgalaikiam materialiam </w:t>
      </w:r>
      <w:r w:rsidR="00782F2A">
        <w:rPr>
          <w:color w:val="auto"/>
        </w:rPr>
        <w:t>ir nematerialiam turtui įsigyti;</w:t>
      </w:r>
    </w:p>
    <w:p w:rsidR="00353487" w:rsidRPr="008279D3" w:rsidRDefault="008C1E40" w:rsidP="000A0DA4">
      <w:pPr>
        <w:pStyle w:val="Pagrindiniotekstotrauka"/>
        <w:numPr>
          <w:ilvl w:val="0"/>
          <w:numId w:val="30"/>
        </w:numPr>
        <w:spacing w:after="0"/>
        <w:ind w:left="0" w:firstLine="927"/>
        <w:jc w:val="both"/>
        <w:rPr>
          <w:color w:val="auto"/>
        </w:rPr>
      </w:pPr>
      <w:r w:rsidRPr="008279D3">
        <w:rPr>
          <w:color w:val="auto"/>
        </w:rPr>
        <w:t xml:space="preserve">Teisingumo ministerija pervedė 0,2 mln. eurų </w:t>
      </w:r>
      <w:r w:rsidR="00744CC4" w:rsidRPr="008279D3">
        <w:rPr>
          <w:color w:val="auto"/>
        </w:rPr>
        <w:t>savivaldybėms einamiesiems tikslams ir turtui įsigyti</w:t>
      </w:r>
      <w:r w:rsidR="00782F2A">
        <w:rPr>
          <w:color w:val="auto"/>
        </w:rPr>
        <w:t>;</w:t>
      </w:r>
    </w:p>
    <w:p w:rsidR="003C0A77" w:rsidRPr="008279D3" w:rsidRDefault="00BD3565" w:rsidP="000A0DA4">
      <w:pPr>
        <w:pStyle w:val="Pagrindiniotekstotrauka"/>
        <w:numPr>
          <w:ilvl w:val="0"/>
          <w:numId w:val="30"/>
        </w:numPr>
        <w:spacing w:after="0"/>
        <w:ind w:left="0" w:firstLine="927"/>
        <w:jc w:val="both"/>
        <w:rPr>
          <w:color w:val="auto"/>
        </w:rPr>
      </w:pPr>
      <w:r w:rsidRPr="008279D3">
        <w:rPr>
          <w:color w:val="auto"/>
        </w:rPr>
        <w:t xml:space="preserve">Ekonomikos ir inovacijų ministerija pervedė </w:t>
      </w:r>
      <w:r w:rsidR="008C1E40" w:rsidRPr="008279D3">
        <w:rPr>
          <w:color w:val="auto"/>
        </w:rPr>
        <w:t>4</w:t>
      </w:r>
      <w:r w:rsidRPr="008279D3">
        <w:rPr>
          <w:color w:val="auto"/>
        </w:rPr>
        <w:t>,</w:t>
      </w:r>
      <w:r w:rsidR="008C1E40" w:rsidRPr="008279D3">
        <w:rPr>
          <w:color w:val="auto"/>
        </w:rPr>
        <w:t>1</w:t>
      </w:r>
      <w:r w:rsidRPr="008279D3">
        <w:rPr>
          <w:color w:val="auto"/>
        </w:rPr>
        <w:t xml:space="preserve"> mln. eurų </w:t>
      </w:r>
      <w:r w:rsidR="00CD070B" w:rsidRPr="008279D3">
        <w:rPr>
          <w:color w:val="auto"/>
        </w:rPr>
        <w:t xml:space="preserve">lėšų </w:t>
      </w:r>
      <w:r w:rsidRPr="008279D3">
        <w:rPr>
          <w:color w:val="auto"/>
        </w:rPr>
        <w:t>infrastruktūros, skirtos investicijoms pr</w:t>
      </w:r>
      <w:r w:rsidR="00782F2A">
        <w:rPr>
          <w:color w:val="auto"/>
        </w:rPr>
        <w:t>itraukti, plėtrai savivaldybėse;</w:t>
      </w:r>
    </w:p>
    <w:p w:rsidR="003C0A77" w:rsidRPr="008279D3" w:rsidRDefault="00342016" w:rsidP="000A0DA4">
      <w:pPr>
        <w:pStyle w:val="Pagrindiniotekstotrauka"/>
        <w:numPr>
          <w:ilvl w:val="0"/>
          <w:numId w:val="30"/>
        </w:numPr>
        <w:spacing w:after="0"/>
        <w:ind w:left="0" w:firstLine="927"/>
        <w:jc w:val="both"/>
        <w:rPr>
          <w:color w:val="auto"/>
        </w:rPr>
      </w:pPr>
      <w:r w:rsidRPr="008279D3">
        <w:rPr>
          <w:color w:val="auto"/>
        </w:rPr>
        <w:t xml:space="preserve">Vidaus reikalų ministerija skyrė 0,7 mln. eurų </w:t>
      </w:r>
      <w:r w:rsidR="00EC01B9" w:rsidRPr="008279D3">
        <w:rPr>
          <w:color w:val="auto"/>
        </w:rPr>
        <w:t>ilgalaikiam materialiam ir nema</w:t>
      </w:r>
      <w:r w:rsidR="00782F2A">
        <w:rPr>
          <w:color w:val="auto"/>
        </w:rPr>
        <w:t>terialiam turtui įsigyti;</w:t>
      </w:r>
    </w:p>
    <w:p w:rsidR="003C0A77" w:rsidRPr="008279D3" w:rsidRDefault="00BD3565" w:rsidP="000A0DA4">
      <w:pPr>
        <w:pStyle w:val="Pagrindiniotekstotrauka"/>
        <w:numPr>
          <w:ilvl w:val="0"/>
          <w:numId w:val="30"/>
        </w:numPr>
        <w:spacing w:after="0"/>
        <w:ind w:left="0" w:firstLine="927"/>
        <w:jc w:val="both"/>
        <w:rPr>
          <w:color w:val="auto"/>
        </w:rPr>
      </w:pPr>
      <w:r w:rsidRPr="008279D3">
        <w:rPr>
          <w:color w:val="auto"/>
        </w:rPr>
        <w:t xml:space="preserve">Ilgalaikiam materialiam ir nematerialiam turtui įsigyti Žemės ūkio ministerija išmokėjo </w:t>
      </w:r>
      <w:r w:rsidR="0029615C" w:rsidRPr="008279D3">
        <w:rPr>
          <w:color w:val="auto"/>
        </w:rPr>
        <w:t>10</w:t>
      </w:r>
      <w:r w:rsidRPr="008279D3">
        <w:rPr>
          <w:color w:val="auto"/>
        </w:rPr>
        <w:t>,</w:t>
      </w:r>
      <w:r w:rsidR="0029615C" w:rsidRPr="008279D3">
        <w:rPr>
          <w:color w:val="auto"/>
        </w:rPr>
        <w:t>3</w:t>
      </w:r>
      <w:r w:rsidR="003C0A77" w:rsidRPr="008279D3">
        <w:rPr>
          <w:color w:val="auto"/>
        </w:rPr>
        <w:t xml:space="preserve"> mln. eurų</w:t>
      </w:r>
      <w:r w:rsidR="00782F2A">
        <w:rPr>
          <w:color w:val="auto"/>
        </w:rPr>
        <w:t>;</w:t>
      </w:r>
    </w:p>
    <w:p w:rsidR="00BD3565" w:rsidRPr="008279D3" w:rsidRDefault="0029615C" w:rsidP="000A0DA4">
      <w:pPr>
        <w:pStyle w:val="Pagrindiniotekstotrauka"/>
        <w:numPr>
          <w:ilvl w:val="0"/>
          <w:numId w:val="30"/>
        </w:numPr>
        <w:spacing w:after="0"/>
        <w:ind w:left="0" w:firstLine="927"/>
        <w:jc w:val="both"/>
        <w:rPr>
          <w:color w:val="auto"/>
        </w:rPr>
      </w:pPr>
      <w:r w:rsidRPr="008279D3">
        <w:rPr>
          <w:color w:val="auto"/>
        </w:rPr>
        <w:t>Energetikos ministerija skyrė</w:t>
      </w:r>
      <w:r w:rsidR="00BD3565" w:rsidRPr="008279D3">
        <w:rPr>
          <w:color w:val="auto"/>
        </w:rPr>
        <w:t xml:space="preserve"> </w:t>
      </w:r>
      <w:r w:rsidRPr="008279D3">
        <w:rPr>
          <w:color w:val="auto"/>
        </w:rPr>
        <w:t>0</w:t>
      </w:r>
      <w:r w:rsidR="00BD3565" w:rsidRPr="008279D3">
        <w:rPr>
          <w:color w:val="auto"/>
        </w:rPr>
        <w:t>,</w:t>
      </w:r>
      <w:r w:rsidRPr="008279D3">
        <w:rPr>
          <w:color w:val="auto"/>
        </w:rPr>
        <w:t>2</w:t>
      </w:r>
      <w:r w:rsidR="00BD3565" w:rsidRPr="008279D3">
        <w:rPr>
          <w:color w:val="auto"/>
        </w:rPr>
        <w:t xml:space="preserve"> mln. eurų</w:t>
      </w:r>
      <w:r w:rsidRPr="008279D3">
        <w:rPr>
          <w:color w:val="auto"/>
        </w:rPr>
        <w:t xml:space="preserve"> </w:t>
      </w:r>
      <w:r w:rsidR="008B7494" w:rsidRPr="008279D3">
        <w:rPr>
          <w:color w:val="auto"/>
        </w:rPr>
        <w:t>s</w:t>
      </w:r>
      <w:r w:rsidRPr="008279D3">
        <w:rPr>
          <w:color w:val="auto"/>
        </w:rPr>
        <w:t>aulės jėgainių Visagine įrengimas (įskaitant parengiamuosius darbus)</w:t>
      </w:r>
      <w:r w:rsidR="00BD3565" w:rsidRPr="008279D3">
        <w:rPr>
          <w:color w:val="auto"/>
        </w:rPr>
        <w:t>.</w:t>
      </w:r>
    </w:p>
    <w:p w:rsidR="00F34C8F" w:rsidRPr="006755A5" w:rsidRDefault="00F34C8F" w:rsidP="00F34C8F">
      <w:pPr>
        <w:ind w:firstLine="720"/>
        <w:jc w:val="both"/>
        <w:rPr>
          <w:lang w:eastAsia="lt-LT"/>
        </w:rPr>
      </w:pPr>
      <w:r w:rsidRPr="006755A5">
        <w:t>Finansų ministerijos asignavimuose 2020 metais iš Lietuvos Respublikos Vyriausybės rezervo lėšų buvo numatyta</w:t>
      </w:r>
      <w:r w:rsidR="00261C65">
        <w:t xml:space="preserve"> skirti</w:t>
      </w:r>
      <w:r w:rsidRPr="006755A5">
        <w:t xml:space="preserve"> 1,4 mln. eurų. Vadovaudamasi Lietuvos Respublikos Vyriausybės nutarimu Lietuvos Respublikos Vyriausybės 2011 m. kovo 2 d. nutarim</w:t>
      </w:r>
      <w:r w:rsidR="00042D6A">
        <w:t>u</w:t>
      </w:r>
      <w:r w:rsidRPr="006755A5">
        <w:t xml:space="preserve"> Nr. 277 ,,Dėl Lietuvos Respublikos Vyriausybės rezervo lėšų skyrimo ir naudojimo taisyklių patvirtinimo“ patvirtintomis Vyriausybės rezervo lėšų skyrimo ir naudojimo taisyklėmis, 2020 metais Vyriausybė priėmė 17 nutarimų, kuriais asignavimų valdytojams ir savivaldybėms, nurodydama konkrečią skiriamų lėšų paskirtį, paskyrė 1,4 mln. eurų Vyriausybės rezervo lėšų. Didžioji dalis rezervo lėšų skirta </w:t>
      </w:r>
      <w:r w:rsidR="00732BA9" w:rsidRPr="006755A5">
        <w:t>Užs</w:t>
      </w:r>
      <w:r w:rsidR="00732BA9">
        <w:t>ienio reikalų ministerijai (0,6</w:t>
      </w:r>
      <w:r w:rsidR="00732BA9" w:rsidRPr="006755A5">
        <w:t xml:space="preserve"> mln. eurų)</w:t>
      </w:r>
      <w:r w:rsidR="00732BA9" w:rsidRPr="00732BA9">
        <w:t xml:space="preserve"> </w:t>
      </w:r>
      <w:r w:rsidR="00732BA9" w:rsidRPr="006755A5">
        <w:t xml:space="preserve">humanitarinei </w:t>
      </w:r>
      <w:r w:rsidR="00732BA9" w:rsidRPr="00732BA9">
        <w:t xml:space="preserve">pagalbai </w:t>
      </w:r>
      <w:r w:rsidR="00732BA9" w:rsidRPr="00732BA9">
        <w:rPr>
          <w:lang w:eastAsia="lt-LT"/>
        </w:rPr>
        <w:t>Italijos Respublikai, Ispanijos Karalystei, Armėnijos Respublikai, Gruzijai, Moldovos Respublikai, Ukrainai bei kitoms šalims</w:t>
      </w:r>
      <w:r w:rsidR="00732BA9" w:rsidRPr="00732BA9">
        <w:t>,</w:t>
      </w:r>
      <w:r w:rsidR="00732BA9">
        <w:t xml:space="preserve"> </w:t>
      </w:r>
      <w:r w:rsidRPr="006755A5">
        <w:t>Teisingumo ministerijai (0,3 mln. eurų)  patirtoms išlaidoms padengti</w:t>
      </w:r>
      <w:r w:rsidRPr="006755A5">
        <w:rPr>
          <w:lang w:eastAsia="lt-LT"/>
        </w:rPr>
        <w:t xml:space="preserve"> pagal Europos Žmogaus Teisių Teismo sprendimus ir nacionalinių teismų sprendimus priteistoms kompensacijoms sumokėti, </w:t>
      </w:r>
      <w:r w:rsidR="00732BA9">
        <w:rPr>
          <w:lang w:eastAsia="lt-LT"/>
        </w:rPr>
        <w:t xml:space="preserve">ir Sveikatos apsaugos ministerijai (0,2 mln. eurų) </w:t>
      </w:r>
      <w:r w:rsidR="00732BA9" w:rsidRPr="000303FA">
        <w:t xml:space="preserve">priemonėms kovai </w:t>
      </w:r>
      <w:r w:rsidR="00732BA9">
        <w:t>dėl</w:t>
      </w:r>
      <w:r w:rsidR="00732BA9" w:rsidRPr="000303FA">
        <w:t xml:space="preserve"> koronaviruso epidemijos</w:t>
      </w:r>
      <w:r w:rsidRPr="006755A5">
        <w:rPr>
          <w:lang w:eastAsia="lt-LT"/>
        </w:rPr>
        <w:t>.</w:t>
      </w:r>
    </w:p>
    <w:p w:rsidR="00BD3565" w:rsidRDefault="00BD3565" w:rsidP="00BD3565">
      <w:pPr>
        <w:pStyle w:val="Antrat33"/>
        <w:spacing w:line="240" w:lineRule="auto"/>
        <w:ind w:right="0" w:firstLine="0"/>
        <w:rPr>
          <w:color w:val="auto"/>
          <w:sz w:val="26"/>
          <w:szCs w:val="26"/>
          <w:highlight w:val="yellow"/>
        </w:rPr>
      </w:pPr>
    </w:p>
    <w:p w:rsidR="00A96843" w:rsidRPr="004272C9" w:rsidRDefault="00A96843" w:rsidP="00BD3565">
      <w:pPr>
        <w:pStyle w:val="Antrat33"/>
        <w:spacing w:line="240" w:lineRule="auto"/>
        <w:ind w:right="0" w:firstLine="0"/>
        <w:rPr>
          <w:color w:val="auto"/>
          <w:sz w:val="26"/>
          <w:szCs w:val="26"/>
          <w:highlight w:val="yellow"/>
        </w:rPr>
      </w:pPr>
    </w:p>
    <w:p w:rsidR="00BD3565" w:rsidRPr="00A33D81" w:rsidRDefault="00BD3565" w:rsidP="00BD3565">
      <w:pPr>
        <w:pStyle w:val="Antrat33"/>
        <w:spacing w:line="240" w:lineRule="auto"/>
        <w:ind w:right="0" w:firstLine="0"/>
        <w:jc w:val="both"/>
        <w:rPr>
          <w:color w:val="auto"/>
          <w:sz w:val="22"/>
        </w:rPr>
      </w:pPr>
      <w:r w:rsidRPr="00A33D81">
        <w:rPr>
          <w:color w:val="auto"/>
          <w:sz w:val="22"/>
        </w:rPr>
        <w:t>VALSTYBĖS BIUDŽETO ASIGNAVIMŲ NEPANAUDOJIMO PRIEŽASTYS</w:t>
      </w:r>
    </w:p>
    <w:p w:rsidR="00BD3565" w:rsidRPr="004272C9" w:rsidRDefault="00BD3565" w:rsidP="00BD3565">
      <w:pPr>
        <w:autoSpaceDE w:val="0"/>
        <w:autoSpaceDN w:val="0"/>
        <w:adjustRightInd w:val="0"/>
        <w:ind w:firstLine="539"/>
        <w:jc w:val="both"/>
        <w:rPr>
          <w:color w:val="auto"/>
          <w:highlight w:val="yellow"/>
        </w:rPr>
      </w:pPr>
    </w:p>
    <w:p w:rsidR="001F3680" w:rsidRPr="003E2AEB" w:rsidRDefault="001F3680" w:rsidP="001F3680">
      <w:pPr>
        <w:ind w:firstLine="539"/>
        <w:jc w:val="both"/>
        <w:rPr>
          <w:color w:val="auto"/>
        </w:rPr>
      </w:pPr>
      <w:r w:rsidRPr="003E2AEB">
        <w:rPr>
          <w:color w:val="auto"/>
        </w:rPr>
        <w:t xml:space="preserve">Nepanaudoti asignavimai, palyginus išlaidas su planu su leistinais patikslinimais, sudaro </w:t>
      </w:r>
      <w:r>
        <w:rPr>
          <w:color w:val="auto"/>
        </w:rPr>
        <w:t>832</w:t>
      </w:r>
      <w:r w:rsidRPr="003E2AEB">
        <w:rPr>
          <w:color w:val="auto"/>
        </w:rPr>
        <w:t>,</w:t>
      </w:r>
      <w:r>
        <w:rPr>
          <w:color w:val="auto"/>
        </w:rPr>
        <w:t>8</w:t>
      </w:r>
      <w:r w:rsidRPr="003E2AEB">
        <w:rPr>
          <w:color w:val="auto"/>
        </w:rPr>
        <w:t xml:space="preserve"> mln. eurų, iš jų: </w:t>
      </w:r>
      <w:r w:rsidRPr="00EE4279">
        <w:rPr>
          <w:color w:val="auto"/>
        </w:rPr>
        <w:t>298,4 mln. eurų – nepanaudota programų asignavimų dalis, finansuojama iš ES ir kitos tarptautinės finansinės paramos lėšų, 49,9 mln. eurų – nepanaudotos bendrojo finansavimo lėšos,</w:t>
      </w:r>
      <w:r w:rsidR="00CD3F03" w:rsidRPr="00EE4279">
        <w:rPr>
          <w:color w:val="auto"/>
        </w:rPr>
        <w:t xml:space="preserve"> 200,9 mln. eurų – tikslinės paskirties valstybės biudžeto lėšos, </w:t>
      </w:r>
      <w:r w:rsidR="00DC1273" w:rsidRPr="00EE4279">
        <w:rPr>
          <w:color w:val="auto"/>
        </w:rPr>
        <w:t>32,7</w:t>
      </w:r>
      <w:r w:rsidRPr="00EE4279">
        <w:rPr>
          <w:color w:val="auto"/>
        </w:rPr>
        <w:t xml:space="preserve"> mln. eurų – nepanaudoti asignavimai programoms, kurios finansuojamos iš įmokėtų biudžetinių įstaigų pajamų ir pajamų iš mokesčių dalies ir kitų tikslinių lėšų, 239,7 mln. eurų – nepanaudoti asignavimai programoms, kurių finansavimo šaltinis valstybės biudžeto lėšos, 10,9 mln. eurų –  dotacijų savivaldybėms ir 0,3 mln. eurų – valstybės rezervo lėšų.</w:t>
      </w:r>
      <w:r w:rsidRPr="003E2AEB">
        <w:rPr>
          <w:color w:val="auto"/>
        </w:rPr>
        <w:t xml:space="preserve"> </w:t>
      </w:r>
    </w:p>
    <w:p w:rsidR="001F3680" w:rsidRPr="003E2AEB" w:rsidRDefault="001F3680" w:rsidP="001F3680">
      <w:pPr>
        <w:autoSpaceDE w:val="0"/>
        <w:autoSpaceDN w:val="0"/>
        <w:adjustRightInd w:val="0"/>
        <w:ind w:firstLine="539"/>
        <w:jc w:val="both"/>
        <w:rPr>
          <w:color w:val="auto"/>
        </w:rPr>
      </w:pPr>
      <w:r w:rsidRPr="003E2AEB">
        <w:rPr>
          <w:color w:val="auto"/>
        </w:rPr>
        <w:t xml:space="preserve">Apibendrinta informacija apie asignavimų valdytojų paaiškinimus dėl nepanaudotų ir (arba) sutaupytų valstybės biudžeto lėšų pateikiama 6 paveiksle, o datali informacija – aiškinamojo rašto </w:t>
      </w:r>
      <w:r w:rsidRPr="003E2AEB">
        <w:rPr>
          <w:b/>
          <w:color w:val="auto"/>
        </w:rPr>
        <w:t>3 priede</w:t>
      </w:r>
      <w:r w:rsidRPr="003E2AEB">
        <w:rPr>
          <w:color w:val="auto"/>
        </w:rPr>
        <w:t>. Šiame priede informacija apie asignavimų nepanaudojimo priežastis pateikiama, kai asignavimų valdytojo pagal atitinkamą programą panaudoti asignavimai, palyginti su planu, su leistinais patikslinimais, sudaro 90 ar mažiau procentų ir kai asignavimų valdytojo pagal atitinkamą programą nepanaudoti asignavimai siekia 1 mln. eurų ar daugiau.</w:t>
      </w:r>
    </w:p>
    <w:p w:rsidR="00BD3565" w:rsidRPr="00630C59" w:rsidRDefault="00BD3565" w:rsidP="00BD3565">
      <w:pPr>
        <w:autoSpaceDE w:val="0"/>
        <w:autoSpaceDN w:val="0"/>
        <w:adjustRightInd w:val="0"/>
        <w:ind w:firstLine="539"/>
        <w:jc w:val="both"/>
        <w:rPr>
          <w:color w:val="auto"/>
        </w:rPr>
      </w:pPr>
    </w:p>
    <w:p w:rsidR="00630C59" w:rsidRPr="00630C59" w:rsidRDefault="00E466B2" w:rsidP="00BD3565">
      <w:pPr>
        <w:spacing w:after="240"/>
        <w:rPr>
          <w:color w:val="auto"/>
          <w:sz w:val="20"/>
          <w:szCs w:val="20"/>
        </w:rPr>
      </w:pPr>
      <w:r>
        <w:rPr>
          <w:b/>
        </w:rPr>
        <w:lastRenderedPageBreak/>
        <w:t>5</w:t>
      </w:r>
      <w:r w:rsidR="00BD3565" w:rsidRPr="00630C59">
        <w:rPr>
          <w:b/>
        </w:rPr>
        <w:t xml:space="preserve"> paveikslas</w:t>
      </w:r>
      <w:r w:rsidR="00BD3565" w:rsidRPr="00630C59">
        <w:t>. Asignavimų nepanaudojimo priežasčių struktūra.</w:t>
      </w:r>
      <w:r w:rsidR="00BD3565" w:rsidRPr="00630C59">
        <w:rPr>
          <w:noProof/>
        </w:rPr>
        <w:t xml:space="preserve"> </w:t>
      </w:r>
      <w:r w:rsidR="00630C59" w:rsidRPr="00630C59">
        <w:rPr>
          <w:noProof/>
          <w:lang w:eastAsia="lt-LT"/>
        </w:rPr>
        <w:drawing>
          <wp:inline distT="0" distB="0" distL="0" distR="0" wp14:anchorId="307E20E2" wp14:editId="71C04F8C">
            <wp:extent cx="6115050" cy="3590925"/>
            <wp:effectExtent l="0" t="0" r="19050" b="9525"/>
            <wp:docPr id="3" name="Diagrama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E9DF3AEB-A52F-48B4-B548-72CD8EE5ED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D3565" w:rsidRPr="00630C59" w:rsidRDefault="00BD3565" w:rsidP="00BD3565">
      <w:pPr>
        <w:spacing w:after="240"/>
        <w:rPr>
          <w:i/>
          <w:color w:val="auto"/>
          <w:sz w:val="20"/>
          <w:szCs w:val="20"/>
        </w:rPr>
      </w:pPr>
      <w:r w:rsidRPr="00630C59">
        <w:rPr>
          <w:i/>
          <w:color w:val="auto"/>
          <w:sz w:val="20"/>
          <w:szCs w:val="20"/>
        </w:rPr>
        <w:t>Šaltinis –  Finansų ministerija</w:t>
      </w:r>
    </w:p>
    <w:p w:rsidR="004718E7" w:rsidRDefault="00896473" w:rsidP="004718E7">
      <w:pPr>
        <w:autoSpaceDE w:val="0"/>
        <w:autoSpaceDN w:val="0"/>
        <w:adjustRightInd w:val="0"/>
        <w:ind w:firstLine="539"/>
        <w:jc w:val="both"/>
      </w:pPr>
      <w:r w:rsidRPr="003E2AEB">
        <w:t xml:space="preserve">Didžiausia dalis asignavimų </w:t>
      </w:r>
      <w:r w:rsidRPr="003E2AEB">
        <w:rPr>
          <w:color w:val="auto"/>
        </w:rPr>
        <w:t xml:space="preserve">– </w:t>
      </w:r>
      <w:r>
        <w:t>per</w:t>
      </w:r>
      <w:r w:rsidRPr="003E2AEB">
        <w:t xml:space="preserve"> </w:t>
      </w:r>
      <w:r>
        <w:t>147</w:t>
      </w:r>
      <w:r w:rsidRPr="003E2AEB">
        <w:t xml:space="preserve"> mln. eurų arba </w:t>
      </w:r>
      <w:r>
        <w:t>18</w:t>
      </w:r>
      <w:r w:rsidRPr="003E2AEB">
        <w:t xml:space="preserve"> proc. visų nepanaudotų asignavimų, liko nepanaudota dėl užsitęsusių viešųjų pirkimų ir susijusių teisinių, administracinių procedūrų, vėluojančio sutarčių pasirašymo, neįvykusių viešųjų pirkimų, arba paskelbus viešąjį pirkimą negavus pasiūlymų.</w:t>
      </w:r>
      <w:r w:rsidR="004718E7">
        <w:t xml:space="preserve"> </w:t>
      </w:r>
      <w:r w:rsidR="00630C59" w:rsidRPr="003E2AEB">
        <w:t xml:space="preserve">Pažymėtina, kad ši priežastis nurodoma kaip pagrindinė ES ir kitos tarptautinės finansinės paramos asignavimų plano nevykdymo priežastis. </w:t>
      </w:r>
    </w:p>
    <w:p w:rsidR="00630C59" w:rsidRPr="003E2AEB" w:rsidRDefault="00630C59" w:rsidP="004718E7">
      <w:pPr>
        <w:autoSpaceDE w:val="0"/>
        <w:autoSpaceDN w:val="0"/>
        <w:adjustRightInd w:val="0"/>
        <w:ind w:firstLine="539"/>
        <w:jc w:val="both"/>
      </w:pPr>
      <w:r w:rsidRPr="003E2AEB">
        <w:t>Kitos dažniausiai nurodomos priežastys – kitos šalies vėlavimas ir užsitęsę ar projekto pradžioje neįsibėgėję darbai</w:t>
      </w:r>
      <w:r>
        <w:t>, tebevykstančios paraiškų ar projektų vertinimo procedūros</w:t>
      </w:r>
      <w:r w:rsidRPr="003E2AEB">
        <w:t xml:space="preserve"> sąlygoja dar apie </w:t>
      </w:r>
      <w:r>
        <w:t>243,3</w:t>
      </w:r>
      <w:r w:rsidRPr="003E2AEB">
        <w:t xml:space="preserve"> mln. eurų arba 2</w:t>
      </w:r>
      <w:r>
        <w:t>9</w:t>
      </w:r>
      <w:r w:rsidRPr="003E2AEB">
        <w:t xml:space="preserve"> proc. visų nepanaudotų asignavimų</w:t>
      </w:r>
      <w:r w:rsidR="004718E7">
        <w:t>.</w:t>
      </w:r>
      <w:r w:rsidRPr="003E2AEB">
        <w:t xml:space="preserve"> </w:t>
      </w:r>
      <w:r w:rsidR="004718E7">
        <w:t>T</w:t>
      </w:r>
      <w:r w:rsidRPr="003E2AEB">
        <w:t xml:space="preserve">ikėtina, </w:t>
      </w:r>
      <w:r w:rsidR="004718E7">
        <w:t xml:space="preserve">kad </w:t>
      </w:r>
      <w:r w:rsidRPr="003E2AEB">
        <w:t xml:space="preserve">šie vėlavimai </w:t>
      </w:r>
      <w:r w:rsidR="004718E7" w:rsidRPr="003E2AEB">
        <w:t xml:space="preserve">yra </w:t>
      </w:r>
      <w:r w:rsidR="004718E7">
        <w:t>didele</w:t>
      </w:r>
      <w:r w:rsidRPr="003E2AEB">
        <w:t xml:space="preserve"> dalimi nulemti prieš tai užsitęsusių viešųjų pirkimų ir susijusių procedūrų. </w:t>
      </w:r>
      <w:r>
        <w:t>Nemaža dalis asignavimų valdytojų nurodė, kad lėšos liko nepanaudotos dėl užsitęsusių, atidėtų darbų,</w:t>
      </w:r>
      <w:r w:rsidRPr="003E2AEB">
        <w:t xml:space="preserve"> veikl</w:t>
      </w:r>
      <w:r>
        <w:t>ų, neįvykusių pirkimų</w:t>
      </w:r>
      <w:r w:rsidRPr="003E2AEB">
        <w:t xml:space="preserve"> dėl </w:t>
      </w:r>
      <w:r>
        <w:t xml:space="preserve">karantino apribojimų – dėl šios priežasties liko nepanaudota dar apie 9 proc. arba 78 mln. eurų. </w:t>
      </w:r>
      <w:r w:rsidRPr="003E2AEB">
        <w:t xml:space="preserve">Apie 4 proc., arba apie 35 mln. eurų liko nepanaudota </w:t>
      </w:r>
      <w:r>
        <w:t>d</w:t>
      </w:r>
      <w:r w:rsidRPr="003E2AEB">
        <w:t xml:space="preserve">ėl mažesnio nei planuota socialinės paramos </w:t>
      </w:r>
      <w:r>
        <w:t>gavėjų skaičiaus, dar po 3 proc., arba po kiek daugiau nei 20 mln. eurų visų asignavimų liko nepanaudota dėl netikslus planavimo, mažesnio, nei planuota, pirkimų poreikio, užsitęsęsusio teisės aktų parengimo ir mažesnio, nei planuota faktinio subsidijų užimtumo didinimui poreikio.</w:t>
      </w:r>
    </w:p>
    <w:p w:rsidR="00BD3565" w:rsidRPr="004272C9" w:rsidRDefault="00BD3565" w:rsidP="00BD3565">
      <w:pPr>
        <w:pStyle w:val="Pagrindiniotekstotrauka"/>
        <w:spacing w:after="0"/>
        <w:ind w:left="0" w:right="-1" w:firstLine="539"/>
        <w:jc w:val="both"/>
        <w:rPr>
          <w:color w:val="auto"/>
          <w:sz w:val="22"/>
          <w:highlight w:val="yellow"/>
        </w:rPr>
      </w:pPr>
    </w:p>
    <w:p w:rsidR="00BD3565" w:rsidRPr="004272C9" w:rsidRDefault="00BD3565" w:rsidP="00BD3565">
      <w:pPr>
        <w:pStyle w:val="Antrat33"/>
        <w:spacing w:line="240" w:lineRule="auto"/>
        <w:ind w:right="0" w:firstLine="0"/>
        <w:rPr>
          <w:color w:val="auto"/>
          <w:sz w:val="22"/>
          <w:highlight w:val="yellow"/>
        </w:rPr>
      </w:pPr>
    </w:p>
    <w:p w:rsidR="00BD3565" w:rsidRPr="00A33D81" w:rsidRDefault="00BD3565" w:rsidP="00BD3565">
      <w:pPr>
        <w:pStyle w:val="Antrat33"/>
        <w:spacing w:line="240" w:lineRule="auto"/>
        <w:ind w:right="0" w:firstLine="0"/>
        <w:rPr>
          <w:color w:val="auto"/>
          <w:sz w:val="22"/>
        </w:rPr>
      </w:pPr>
      <w:r w:rsidRPr="00A33D81">
        <w:rPr>
          <w:color w:val="auto"/>
          <w:sz w:val="22"/>
        </w:rPr>
        <w:t>INFORMACIJA APIE VALSTYBĖS BIUDŽETO ASIGNAVIMŲ EKONOMIJĄ IR JOS PANAUDOJIMĄ</w:t>
      </w:r>
    </w:p>
    <w:p w:rsidR="00BD3565" w:rsidRPr="004272C9" w:rsidRDefault="00BD3565" w:rsidP="00BD3565">
      <w:pPr>
        <w:autoSpaceDE w:val="0"/>
        <w:autoSpaceDN w:val="0"/>
        <w:adjustRightInd w:val="0"/>
        <w:ind w:firstLine="539"/>
        <w:rPr>
          <w:color w:val="auto"/>
          <w:sz w:val="22"/>
          <w:highlight w:val="yellow"/>
        </w:rPr>
      </w:pPr>
    </w:p>
    <w:p w:rsidR="00A95AFD" w:rsidRPr="004272C9" w:rsidRDefault="00A95AFD" w:rsidP="00A95AFD">
      <w:pPr>
        <w:ind w:firstLine="567"/>
        <w:jc w:val="both"/>
        <w:rPr>
          <w:color w:val="auto"/>
          <w:highlight w:val="yellow"/>
        </w:rPr>
      </w:pPr>
      <w:r w:rsidRPr="00033A8E">
        <w:rPr>
          <w:color w:val="auto"/>
        </w:rPr>
        <w:t>Asignavimų valdytojai, vadovaudamiesi Biudžetų sudarymo ir vykdymo taisyklių 60 punktu, gali ne anksčiau kaip likus 7 darbo dienoms iki biudžetinių metų pabaigos skirti lėšų įsiskolinimams padengti iš bendros patvirtintų asignavimų išlaidoms ekonomijos (išskyrus ES finansinę paramą ir kitą gaunamą tarptautinę finansinę paramą), nekeisdami patvirtintų programų sąmatų, neatsižvelgdami į asignavimų paskirstymą pagal funkcijas ir programas. Pagal asignavimų valdytojų pateiktus duomenis, Užsienio reikalų, Krašto apsaugos</w:t>
      </w:r>
      <w:r>
        <w:rPr>
          <w:color w:val="auto"/>
        </w:rPr>
        <w:t xml:space="preserve"> ir Kultūros. Teisingumo</w:t>
      </w:r>
      <w:r w:rsidRPr="004272C9">
        <w:rPr>
          <w:color w:val="auto"/>
          <w:highlight w:val="yellow"/>
        </w:rPr>
        <w:t xml:space="preserve"> </w:t>
      </w:r>
      <w:r w:rsidRPr="00033A8E">
        <w:rPr>
          <w:color w:val="auto"/>
        </w:rPr>
        <w:t xml:space="preserve">ministerijos pasiektą ekonomiją skyrė kitoms programoms finansuoti.  </w:t>
      </w:r>
    </w:p>
    <w:p w:rsidR="00A95AFD" w:rsidRDefault="00A95AFD" w:rsidP="00A95AFD">
      <w:pPr>
        <w:ind w:firstLine="567"/>
        <w:jc w:val="both"/>
      </w:pPr>
      <w:r w:rsidRPr="0047331B">
        <w:rPr>
          <w:b/>
        </w:rPr>
        <w:lastRenderedPageBreak/>
        <w:t xml:space="preserve">Užsienio reikalų ministerijai </w:t>
      </w:r>
      <w:r w:rsidRPr="0047331B">
        <w:rPr>
          <w:color w:val="auto"/>
        </w:rPr>
        <w:t xml:space="preserve">vykdant programas </w:t>
      </w:r>
      <w:r w:rsidRPr="0047331B">
        <w:t>0,7</w:t>
      </w:r>
      <w:r w:rsidRPr="0047331B">
        <w:rPr>
          <w:color w:val="auto"/>
        </w:rPr>
        <w:t xml:space="preserve"> mln. eurų ekonomija susidarė dėl mažesnio, nei planuota pirkimų poreikio, darbuotojų kaitos ir laikino nedarbingumo, sutaupytų išlaidų dėl pandemijos nulemtų ribojimų atidėtų</w:t>
      </w:r>
      <w:r>
        <w:rPr>
          <w:color w:val="auto"/>
        </w:rPr>
        <w:t xml:space="preserve"> </w:t>
      </w:r>
      <w:r w:rsidRPr="0047331B">
        <w:rPr>
          <w:color w:val="auto"/>
        </w:rPr>
        <w:t>komandiruo</w:t>
      </w:r>
      <w:r>
        <w:rPr>
          <w:color w:val="auto"/>
        </w:rPr>
        <w:t>čių</w:t>
      </w:r>
      <w:r w:rsidRPr="0047331B">
        <w:rPr>
          <w:color w:val="auto"/>
        </w:rPr>
        <w:t>, neįvyk</w:t>
      </w:r>
      <w:r>
        <w:rPr>
          <w:color w:val="auto"/>
        </w:rPr>
        <w:t>usių</w:t>
      </w:r>
      <w:r w:rsidRPr="0047331B">
        <w:rPr>
          <w:color w:val="auto"/>
        </w:rPr>
        <w:t xml:space="preserve"> rengini</w:t>
      </w:r>
      <w:r>
        <w:rPr>
          <w:color w:val="auto"/>
        </w:rPr>
        <w:t>ų</w:t>
      </w:r>
      <w:r w:rsidRPr="0047331B">
        <w:rPr>
          <w:color w:val="auto"/>
        </w:rPr>
        <w:t xml:space="preserve">, </w:t>
      </w:r>
      <w:r>
        <w:rPr>
          <w:color w:val="auto"/>
        </w:rPr>
        <w:t>vizitų, projektų</w:t>
      </w:r>
      <w:r w:rsidRPr="0047331B">
        <w:rPr>
          <w:color w:val="auto"/>
        </w:rPr>
        <w:t xml:space="preserve">, įteisinus nuotolinį darbą sumažėjus transporto išlaikymo, eksploatacijos, nuomos poreikiui, </w:t>
      </w:r>
      <w:r w:rsidRPr="0047331B">
        <w:t xml:space="preserve">ir kitų priežasčių. Sutaupytos lėšos skirtos narystės mokesčiui Europos Taryboje ir Europos  saugumo ir bendradarbiavimo organizacijoje </w:t>
      </w:r>
      <w:r>
        <w:t>sumokėti.</w:t>
      </w:r>
      <w:r w:rsidRPr="0047331B" w:rsidDel="0047331B">
        <w:t xml:space="preserve"> </w:t>
      </w:r>
    </w:p>
    <w:p w:rsidR="00A95AFD" w:rsidRPr="008B45A7" w:rsidRDefault="00A95AFD" w:rsidP="00A95AFD">
      <w:pPr>
        <w:ind w:firstLine="567"/>
        <w:jc w:val="both"/>
        <w:rPr>
          <w:color w:val="auto"/>
        </w:rPr>
      </w:pPr>
      <w:r w:rsidRPr="008B45A7">
        <w:rPr>
          <w:b/>
          <w:color w:val="auto"/>
        </w:rPr>
        <w:t xml:space="preserve">Krašto apsaugos ministerijai </w:t>
      </w:r>
      <w:r w:rsidRPr="008B45A7">
        <w:rPr>
          <w:color w:val="auto"/>
        </w:rPr>
        <w:t xml:space="preserve">vykdant programas 0,21 mln. eurų ekonomija susidarė dėl mažesnių, nei planuota, </w:t>
      </w:r>
      <w:r>
        <w:rPr>
          <w:color w:val="auto"/>
        </w:rPr>
        <w:t>pirkimų</w:t>
      </w:r>
      <w:r w:rsidRPr="008B45A7">
        <w:rPr>
          <w:color w:val="auto"/>
        </w:rPr>
        <w:t>, laisvų pareigybių</w:t>
      </w:r>
      <w:r>
        <w:rPr>
          <w:color w:val="auto"/>
        </w:rPr>
        <w:t>,</w:t>
      </w:r>
      <w:r w:rsidRPr="008B45A7">
        <w:rPr>
          <w:color w:val="auto"/>
        </w:rPr>
        <w:t xml:space="preserve"> </w:t>
      </w:r>
      <w:r w:rsidRPr="00DC20BA">
        <w:rPr>
          <w:color w:val="auto"/>
        </w:rPr>
        <w:t>užsitęsusių viešųjų pirkimų procedūrų įsigyjant baldus ir sportinį inventorių</w:t>
      </w:r>
      <w:r w:rsidRPr="008B45A7">
        <w:rPr>
          <w:color w:val="auto"/>
        </w:rPr>
        <w:t xml:space="preserve"> ir kitų priežasčių. Šios lėšos panaudotos krediti</w:t>
      </w:r>
      <w:r>
        <w:rPr>
          <w:color w:val="auto"/>
        </w:rPr>
        <w:t>niams</w:t>
      </w:r>
      <w:r w:rsidRPr="008B45A7">
        <w:rPr>
          <w:color w:val="auto"/>
        </w:rPr>
        <w:t xml:space="preserve"> įsiskolinimams padengti.</w:t>
      </w:r>
    </w:p>
    <w:p w:rsidR="00A95AFD" w:rsidRDefault="00A95AFD" w:rsidP="00A95AFD">
      <w:pPr>
        <w:ind w:firstLine="567"/>
        <w:jc w:val="both"/>
        <w:rPr>
          <w:color w:val="auto"/>
        </w:rPr>
      </w:pPr>
      <w:r w:rsidRPr="008B45A7">
        <w:rPr>
          <w:b/>
          <w:color w:val="auto"/>
        </w:rPr>
        <w:t>Kultūros ministerijai</w:t>
      </w:r>
      <w:r w:rsidRPr="008B45A7">
        <w:rPr>
          <w:color w:val="auto"/>
        </w:rPr>
        <w:t xml:space="preserve"> vykdant programas </w:t>
      </w:r>
      <w:r>
        <w:rPr>
          <w:color w:val="auto"/>
        </w:rPr>
        <w:t xml:space="preserve">asignavimų 0,9 mln. eurų ekonomija susidarė </w:t>
      </w:r>
      <w:r w:rsidRPr="008B45A7">
        <w:rPr>
          <w:color w:val="auto"/>
        </w:rPr>
        <w:t>dėl teisminių ginčų</w:t>
      </w:r>
      <w:r>
        <w:rPr>
          <w:color w:val="auto"/>
        </w:rPr>
        <w:t xml:space="preserve"> neįvykusių suplanuotų p</w:t>
      </w:r>
      <w:r w:rsidRPr="008B45A7">
        <w:rPr>
          <w:color w:val="auto"/>
        </w:rPr>
        <w:t xml:space="preserve">aminklų statybos Lukiškių aikštėje ir Kryžkalnyje </w:t>
      </w:r>
      <w:r>
        <w:rPr>
          <w:color w:val="auto"/>
        </w:rPr>
        <w:t>darbų</w:t>
      </w:r>
      <w:r w:rsidRPr="008B45A7">
        <w:rPr>
          <w:color w:val="auto"/>
        </w:rPr>
        <w:t>.</w:t>
      </w:r>
      <w:r w:rsidRPr="008B45A7">
        <w:t xml:space="preserve"> </w:t>
      </w:r>
      <w:r w:rsidRPr="008B45A7">
        <w:rPr>
          <w:color w:val="auto"/>
        </w:rPr>
        <w:t>Šios lėšos panaudotos kitų programų vykdymui užtikrinti.</w:t>
      </w:r>
    </w:p>
    <w:p w:rsidR="00A95AFD" w:rsidRDefault="00A95AFD" w:rsidP="00A95AFD">
      <w:pPr>
        <w:ind w:firstLine="567"/>
        <w:jc w:val="both"/>
        <w:rPr>
          <w:color w:val="auto"/>
        </w:rPr>
      </w:pPr>
      <w:r w:rsidRPr="008B45A7">
        <w:rPr>
          <w:b/>
          <w:color w:val="auto"/>
        </w:rPr>
        <w:t>Teisingumo ministerijai</w:t>
      </w:r>
      <w:r>
        <w:rPr>
          <w:color w:val="auto"/>
        </w:rPr>
        <w:t xml:space="preserve"> </w:t>
      </w:r>
      <w:r w:rsidRPr="008B45A7">
        <w:rPr>
          <w:color w:val="auto"/>
        </w:rPr>
        <w:t>vykdant programas 0,</w:t>
      </w:r>
      <w:r>
        <w:rPr>
          <w:color w:val="auto"/>
        </w:rPr>
        <w:t>02</w:t>
      </w:r>
      <w:r w:rsidRPr="008B45A7">
        <w:rPr>
          <w:color w:val="auto"/>
        </w:rPr>
        <w:t xml:space="preserve"> mln. eurų ekonomija susidarė dėl </w:t>
      </w:r>
      <w:r>
        <w:rPr>
          <w:color w:val="auto"/>
        </w:rPr>
        <w:t>lėšų darbo užmokesčiui ekonomijos</w:t>
      </w:r>
      <w:r w:rsidRPr="008B45A7">
        <w:rPr>
          <w:color w:val="auto"/>
        </w:rPr>
        <w:t xml:space="preserve">. Sutaupytos lėšos buvo panaudotos </w:t>
      </w:r>
      <w:r>
        <w:rPr>
          <w:color w:val="auto"/>
        </w:rPr>
        <w:t xml:space="preserve">kreditiniams </w:t>
      </w:r>
      <w:r w:rsidRPr="008B45A7">
        <w:rPr>
          <w:color w:val="auto"/>
        </w:rPr>
        <w:t xml:space="preserve">įsiskolinimams padengti </w:t>
      </w:r>
      <w:r>
        <w:rPr>
          <w:color w:val="auto"/>
        </w:rPr>
        <w:t>–</w:t>
      </w:r>
      <w:r w:rsidRPr="008B45A7">
        <w:rPr>
          <w:color w:val="auto"/>
        </w:rPr>
        <w:t xml:space="preserve"> žalai pagal teismų sprendimus dėl netinkamų kalinimo sąlygų atlyginti.</w:t>
      </w:r>
    </w:p>
    <w:p w:rsidR="00BD3565" w:rsidRDefault="00BD3565" w:rsidP="00BD3565">
      <w:pPr>
        <w:ind w:firstLine="600"/>
        <w:jc w:val="both"/>
        <w:rPr>
          <w:color w:val="auto"/>
          <w:highlight w:val="yellow"/>
        </w:rPr>
      </w:pPr>
    </w:p>
    <w:p w:rsidR="00554758" w:rsidRPr="004272C9" w:rsidRDefault="00554758" w:rsidP="00BD3565">
      <w:pPr>
        <w:ind w:firstLine="600"/>
        <w:jc w:val="both"/>
        <w:rPr>
          <w:color w:val="auto"/>
          <w:highlight w:val="yellow"/>
        </w:rPr>
      </w:pPr>
    </w:p>
    <w:p w:rsidR="00BD3565" w:rsidRPr="00A33D81" w:rsidRDefault="00BD3565" w:rsidP="00BD3565">
      <w:pPr>
        <w:pStyle w:val="Antrat33"/>
        <w:spacing w:line="240" w:lineRule="auto"/>
        <w:ind w:right="0"/>
        <w:rPr>
          <w:color w:val="auto"/>
          <w:sz w:val="26"/>
          <w:szCs w:val="26"/>
        </w:rPr>
      </w:pPr>
      <w:r w:rsidRPr="00A33D81">
        <w:rPr>
          <w:color w:val="auto"/>
          <w:sz w:val="26"/>
          <w:szCs w:val="26"/>
        </w:rPr>
        <w:t>Europos Sąjungos ir kitos tarptautinės finansinės paramos lėšomis finansuojamų programų vykdymas</w:t>
      </w:r>
    </w:p>
    <w:p w:rsidR="00BD3565" w:rsidRPr="004272C9" w:rsidRDefault="00BD3565" w:rsidP="00BD3565">
      <w:pPr>
        <w:pStyle w:val="Antrat33"/>
        <w:spacing w:line="240" w:lineRule="auto"/>
        <w:ind w:right="0"/>
        <w:rPr>
          <w:color w:val="auto"/>
          <w:sz w:val="26"/>
          <w:szCs w:val="26"/>
          <w:highlight w:val="yellow"/>
        </w:rPr>
      </w:pPr>
    </w:p>
    <w:p w:rsidR="00BD3565" w:rsidRPr="00780D71" w:rsidRDefault="00BD3565" w:rsidP="00BD3565">
      <w:pPr>
        <w:pStyle w:val="Pagrindiniotekstotrauka"/>
        <w:spacing w:after="0"/>
        <w:ind w:left="0" w:firstLine="539"/>
        <w:jc w:val="both"/>
        <w:rPr>
          <w:color w:val="auto"/>
        </w:rPr>
      </w:pPr>
      <w:r w:rsidRPr="00780D71">
        <w:rPr>
          <w:color w:val="auto"/>
        </w:rPr>
        <w:t xml:space="preserve">Lietuvos Respublikos Vyriausybei patvirtinus asignavimų paskirstymą pagal programas, planuota </w:t>
      </w:r>
      <w:r w:rsidRPr="00780D71">
        <w:rPr>
          <w:b/>
          <w:color w:val="auto"/>
        </w:rPr>
        <w:t>2 2</w:t>
      </w:r>
      <w:r w:rsidR="00354C97" w:rsidRPr="00780D71">
        <w:rPr>
          <w:b/>
          <w:color w:val="auto"/>
        </w:rPr>
        <w:t>35</w:t>
      </w:r>
      <w:r w:rsidRPr="00780D71">
        <w:rPr>
          <w:b/>
          <w:color w:val="auto"/>
        </w:rPr>
        <w:t>,</w:t>
      </w:r>
      <w:r w:rsidR="00354C97" w:rsidRPr="00780D71">
        <w:rPr>
          <w:b/>
          <w:color w:val="auto"/>
        </w:rPr>
        <w:t>6</w:t>
      </w:r>
      <w:r w:rsidRPr="00780D71">
        <w:rPr>
          <w:b/>
          <w:color w:val="auto"/>
        </w:rPr>
        <w:t xml:space="preserve"> mln. eurų</w:t>
      </w:r>
      <w:r w:rsidRPr="00780D71">
        <w:rPr>
          <w:color w:val="auto"/>
        </w:rPr>
        <w:t xml:space="preserve"> įgyvendinamų programų išlaidų apmokėti iš </w:t>
      </w:r>
      <w:r w:rsidRPr="00780D71">
        <w:rPr>
          <w:bCs/>
        </w:rPr>
        <w:t xml:space="preserve">ES </w:t>
      </w:r>
      <w:r w:rsidRPr="00780D71">
        <w:rPr>
          <w:color w:val="auto"/>
        </w:rPr>
        <w:t>ir kitos tarptautinės finansinės paramos lėšų.</w:t>
      </w:r>
    </w:p>
    <w:p w:rsidR="00BD3565" w:rsidRPr="004272C9" w:rsidRDefault="00BD3565" w:rsidP="00BD3565">
      <w:pPr>
        <w:pStyle w:val="Pagrindiniotekstotrauka"/>
        <w:tabs>
          <w:tab w:val="left" w:pos="360"/>
        </w:tabs>
        <w:spacing w:after="0"/>
        <w:ind w:left="0" w:firstLine="539"/>
        <w:jc w:val="both"/>
        <w:rPr>
          <w:b/>
          <w:color w:val="auto"/>
          <w:sz w:val="20"/>
          <w:szCs w:val="20"/>
          <w:highlight w:val="yellow"/>
        </w:rPr>
      </w:pPr>
    </w:p>
    <w:p w:rsidR="00BD3565" w:rsidRPr="00636C13" w:rsidRDefault="00BD3565" w:rsidP="00BD3565">
      <w:pPr>
        <w:jc w:val="both"/>
        <w:rPr>
          <w:color w:val="auto"/>
        </w:rPr>
      </w:pPr>
      <w:r w:rsidRPr="00636C13">
        <w:rPr>
          <w:b/>
          <w:color w:val="auto"/>
        </w:rPr>
        <w:t>1</w:t>
      </w:r>
      <w:r w:rsidR="00A96843">
        <w:rPr>
          <w:b/>
          <w:color w:val="auto"/>
        </w:rPr>
        <w:t>2</w:t>
      </w:r>
      <w:r w:rsidRPr="00636C13">
        <w:rPr>
          <w:b/>
          <w:color w:val="auto"/>
        </w:rPr>
        <w:t xml:space="preserve"> lentelė</w:t>
      </w:r>
      <w:r w:rsidRPr="00636C13">
        <w:rPr>
          <w:color w:val="auto"/>
        </w:rPr>
        <w:t>. 20</w:t>
      </w:r>
      <w:r w:rsidR="00636C13" w:rsidRPr="00636C13">
        <w:rPr>
          <w:color w:val="auto"/>
        </w:rPr>
        <w:t>20</w:t>
      </w:r>
      <w:r w:rsidRPr="00636C13">
        <w:rPr>
          <w:color w:val="auto"/>
        </w:rPr>
        <w:t xml:space="preserve"> metų ES ir kitos tarptautinės finansinės paramos ir bendrojo finansavimo lėšomis vykdomų programų išlaidos, mln. eurų</w:t>
      </w:r>
    </w:p>
    <w:tbl>
      <w:tblPr>
        <w:tblW w:w="9751" w:type="dxa"/>
        <w:tblInd w:w="98" w:type="dxa"/>
        <w:tblLook w:val="04A0" w:firstRow="1" w:lastRow="0" w:firstColumn="1" w:lastColumn="0" w:noHBand="0" w:noVBand="1"/>
      </w:tblPr>
      <w:tblGrid>
        <w:gridCol w:w="3516"/>
        <w:gridCol w:w="1503"/>
        <w:gridCol w:w="1524"/>
        <w:gridCol w:w="1554"/>
        <w:gridCol w:w="1654"/>
      </w:tblGrid>
      <w:tr w:rsidR="005D4CAD" w:rsidRPr="005D4CAD" w:rsidTr="005D4CAD">
        <w:trPr>
          <w:trHeight w:val="450"/>
        </w:trPr>
        <w:tc>
          <w:tcPr>
            <w:tcW w:w="3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4CAD" w:rsidRPr="005D4CAD" w:rsidRDefault="005D4CAD" w:rsidP="005D4CAD">
            <w:pPr>
              <w:jc w:val="center"/>
              <w:rPr>
                <w:b/>
                <w:bCs/>
                <w:color w:val="auto"/>
                <w:sz w:val="22"/>
                <w:szCs w:val="22"/>
                <w:lang w:eastAsia="lt-LT"/>
              </w:rPr>
            </w:pPr>
            <w:r w:rsidRPr="005D4CAD">
              <w:rPr>
                <w:b/>
                <w:bCs/>
                <w:color w:val="auto"/>
                <w:sz w:val="22"/>
                <w:szCs w:val="22"/>
                <w:lang w:eastAsia="lt-LT"/>
              </w:rPr>
              <w:t>Programos finansuojamos</w:t>
            </w:r>
          </w:p>
        </w:tc>
        <w:tc>
          <w:tcPr>
            <w:tcW w:w="1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4CAD" w:rsidRPr="005D4CAD" w:rsidRDefault="005D4CAD" w:rsidP="00DA6A82">
            <w:pPr>
              <w:jc w:val="center"/>
              <w:rPr>
                <w:b/>
                <w:bCs/>
                <w:color w:val="auto"/>
                <w:sz w:val="22"/>
                <w:szCs w:val="22"/>
                <w:lang w:eastAsia="lt-LT"/>
              </w:rPr>
            </w:pPr>
            <w:r w:rsidRPr="005D4CAD">
              <w:rPr>
                <w:b/>
                <w:bCs/>
                <w:color w:val="auto"/>
                <w:sz w:val="22"/>
                <w:szCs w:val="22"/>
                <w:lang w:eastAsia="lt-LT"/>
              </w:rPr>
              <w:t>2020 m. asignavimų planas</w:t>
            </w:r>
          </w:p>
        </w:tc>
        <w:tc>
          <w:tcPr>
            <w:tcW w:w="15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4CAD" w:rsidRPr="005D4CAD" w:rsidRDefault="005D4CAD" w:rsidP="005D4CAD">
            <w:pPr>
              <w:jc w:val="center"/>
              <w:rPr>
                <w:b/>
                <w:bCs/>
                <w:color w:val="auto"/>
                <w:sz w:val="22"/>
                <w:szCs w:val="22"/>
                <w:lang w:eastAsia="lt-LT"/>
              </w:rPr>
            </w:pPr>
            <w:r w:rsidRPr="005D4CAD">
              <w:rPr>
                <w:b/>
                <w:bCs/>
                <w:color w:val="auto"/>
                <w:sz w:val="22"/>
                <w:szCs w:val="22"/>
                <w:lang w:eastAsia="lt-LT"/>
              </w:rPr>
              <w:t>Patikslintas asignavimų planas</w:t>
            </w:r>
          </w:p>
        </w:tc>
        <w:tc>
          <w:tcPr>
            <w:tcW w:w="15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4CAD" w:rsidRPr="005D4CAD" w:rsidRDefault="005D4CAD" w:rsidP="005D4CAD">
            <w:pPr>
              <w:jc w:val="center"/>
              <w:rPr>
                <w:b/>
                <w:bCs/>
                <w:color w:val="auto"/>
                <w:sz w:val="22"/>
                <w:szCs w:val="22"/>
                <w:lang w:eastAsia="lt-LT"/>
              </w:rPr>
            </w:pPr>
            <w:r w:rsidRPr="005D4CAD">
              <w:rPr>
                <w:b/>
                <w:bCs/>
                <w:color w:val="auto"/>
                <w:sz w:val="22"/>
                <w:szCs w:val="22"/>
                <w:lang w:eastAsia="lt-LT"/>
              </w:rPr>
              <w:t>Panaudoti asignavimai</w:t>
            </w:r>
          </w:p>
        </w:tc>
        <w:tc>
          <w:tcPr>
            <w:tcW w:w="16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4CAD" w:rsidRPr="005D4CAD" w:rsidRDefault="005D4CAD" w:rsidP="005D4CAD">
            <w:pPr>
              <w:jc w:val="center"/>
              <w:rPr>
                <w:b/>
                <w:bCs/>
                <w:color w:val="auto"/>
                <w:sz w:val="22"/>
                <w:szCs w:val="22"/>
                <w:lang w:eastAsia="lt-LT"/>
              </w:rPr>
            </w:pPr>
            <w:r w:rsidRPr="005D4CAD">
              <w:rPr>
                <w:b/>
                <w:bCs/>
                <w:color w:val="auto"/>
                <w:sz w:val="22"/>
                <w:szCs w:val="22"/>
                <w:lang w:eastAsia="lt-LT"/>
              </w:rPr>
              <w:t>Nepanaudoti asignavimai</w:t>
            </w:r>
          </w:p>
        </w:tc>
      </w:tr>
      <w:tr w:rsidR="005D4CAD" w:rsidRPr="005D4CAD" w:rsidTr="005D4CAD">
        <w:trPr>
          <w:trHeight w:val="253"/>
        </w:trPr>
        <w:tc>
          <w:tcPr>
            <w:tcW w:w="3516" w:type="dxa"/>
            <w:vMerge/>
            <w:tcBorders>
              <w:top w:val="single" w:sz="8" w:space="0" w:color="auto"/>
              <w:left w:val="single" w:sz="8" w:space="0" w:color="auto"/>
              <w:bottom w:val="single" w:sz="8" w:space="0" w:color="000000"/>
              <w:right w:val="single" w:sz="8" w:space="0" w:color="auto"/>
            </w:tcBorders>
            <w:vAlign w:val="center"/>
            <w:hideMark/>
          </w:tcPr>
          <w:p w:rsidR="005D4CAD" w:rsidRPr="005D4CAD" w:rsidRDefault="005D4CAD" w:rsidP="005D4CAD">
            <w:pPr>
              <w:rPr>
                <w:b/>
                <w:bCs/>
                <w:color w:val="auto"/>
                <w:sz w:val="22"/>
                <w:szCs w:val="22"/>
                <w:lang w:eastAsia="lt-LT"/>
              </w:rPr>
            </w:pPr>
          </w:p>
        </w:tc>
        <w:tc>
          <w:tcPr>
            <w:tcW w:w="1503" w:type="dxa"/>
            <w:vMerge/>
            <w:tcBorders>
              <w:top w:val="single" w:sz="8" w:space="0" w:color="auto"/>
              <w:left w:val="single" w:sz="8" w:space="0" w:color="auto"/>
              <w:bottom w:val="single" w:sz="8" w:space="0" w:color="000000"/>
              <w:right w:val="single" w:sz="8" w:space="0" w:color="auto"/>
            </w:tcBorders>
            <w:vAlign w:val="center"/>
            <w:hideMark/>
          </w:tcPr>
          <w:p w:rsidR="005D4CAD" w:rsidRPr="005D4CAD" w:rsidRDefault="005D4CAD" w:rsidP="005D4CAD">
            <w:pPr>
              <w:rPr>
                <w:b/>
                <w:bCs/>
                <w:color w:val="auto"/>
                <w:sz w:val="22"/>
                <w:szCs w:val="22"/>
                <w:lang w:eastAsia="lt-LT"/>
              </w:rPr>
            </w:pPr>
          </w:p>
        </w:tc>
        <w:tc>
          <w:tcPr>
            <w:tcW w:w="1524" w:type="dxa"/>
            <w:vMerge/>
            <w:tcBorders>
              <w:top w:val="single" w:sz="8" w:space="0" w:color="auto"/>
              <w:left w:val="single" w:sz="8" w:space="0" w:color="auto"/>
              <w:bottom w:val="single" w:sz="8" w:space="0" w:color="000000"/>
              <w:right w:val="single" w:sz="8" w:space="0" w:color="auto"/>
            </w:tcBorders>
            <w:vAlign w:val="center"/>
            <w:hideMark/>
          </w:tcPr>
          <w:p w:rsidR="005D4CAD" w:rsidRPr="005D4CAD" w:rsidRDefault="005D4CAD" w:rsidP="005D4CAD">
            <w:pPr>
              <w:rPr>
                <w:b/>
                <w:bCs/>
                <w:color w:val="auto"/>
                <w:sz w:val="22"/>
                <w:szCs w:val="22"/>
                <w:lang w:eastAsia="lt-LT"/>
              </w:rPr>
            </w:pPr>
          </w:p>
        </w:tc>
        <w:tc>
          <w:tcPr>
            <w:tcW w:w="1554" w:type="dxa"/>
            <w:vMerge/>
            <w:tcBorders>
              <w:top w:val="single" w:sz="8" w:space="0" w:color="auto"/>
              <w:left w:val="single" w:sz="8" w:space="0" w:color="auto"/>
              <w:bottom w:val="single" w:sz="8" w:space="0" w:color="000000"/>
              <w:right w:val="single" w:sz="8" w:space="0" w:color="auto"/>
            </w:tcBorders>
            <w:vAlign w:val="center"/>
            <w:hideMark/>
          </w:tcPr>
          <w:p w:rsidR="005D4CAD" w:rsidRPr="005D4CAD" w:rsidRDefault="005D4CAD" w:rsidP="005D4CAD">
            <w:pPr>
              <w:rPr>
                <w:b/>
                <w:bCs/>
                <w:color w:val="auto"/>
                <w:sz w:val="22"/>
                <w:szCs w:val="22"/>
                <w:lang w:eastAsia="lt-LT"/>
              </w:rPr>
            </w:pPr>
          </w:p>
        </w:tc>
        <w:tc>
          <w:tcPr>
            <w:tcW w:w="1654" w:type="dxa"/>
            <w:vMerge/>
            <w:tcBorders>
              <w:top w:val="single" w:sz="8" w:space="0" w:color="auto"/>
              <w:left w:val="single" w:sz="8" w:space="0" w:color="auto"/>
              <w:bottom w:val="single" w:sz="8" w:space="0" w:color="000000"/>
              <w:right w:val="single" w:sz="8" w:space="0" w:color="auto"/>
            </w:tcBorders>
            <w:vAlign w:val="center"/>
            <w:hideMark/>
          </w:tcPr>
          <w:p w:rsidR="005D4CAD" w:rsidRPr="005D4CAD" w:rsidRDefault="005D4CAD" w:rsidP="005D4CAD">
            <w:pPr>
              <w:rPr>
                <w:b/>
                <w:bCs/>
                <w:color w:val="auto"/>
                <w:sz w:val="22"/>
                <w:szCs w:val="22"/>
                <w:lang w:eastAsia="lt-LT"/>
              </w:rPr>
            </w:pPr>
          </w:p>
        </w:tc>
      </w:tr>
      <w:tr w:rsidR="005D4CAD" w:rsidRPr="005D4CAD" w:rsidTr="005D4CAD">
        <w:trPr>
          <w:trHeight w:val="450"/>
        </w:trPr>
        <w:tc>
          <w:tcPr>
            <w:tcW w:w="3516" w:type="dxa"/>
            <w:tcBorders>
              <w:top w:val="nil"/>
              <w:left w:val="single" w:sz="8" w:space="0" w:color="auto"/>
              <w:bottom w:val="single" w:sz="8" w:space="0" w:color="auto"/>
              <w:right w:val="single" w:sz="8" w:space="0" w:color="auto"/>
            </w:tcBorders>
            <w:shd w:val="clear" w:color="auto" w:fill="auto"/>
            <w:vAlign w:val="center"/>
            <w:hideMark/>
          </w:tcPr>
          <w:p w:rsidR="005D4CAD" w:rsidRPr="005D4CAD" w:rsidRDefault="005D4CAD" w:rsidP="005D4CAD">
            <w:pPr>
              <w:rPr>
                <w:color w:val="auto"/>
                <w:sz w:val="22"/>
                <w:szCs w:val="22"/>
                <w:lang w:eastAsia="lt-LT"/>
              </w:rPr>
            </w:pPr>
            <w:r w:rsidRPr="005D4CAD">
              <w:rPr>
                <w:color w:val="auto"/>
                <w:sz w:val="22"/>
                <w:szCs w:val="22"/>
                <w:lang w:eastAsia="lt-LT"/>
              </w:rPr>
              <w:t>Europos Sąjungos ir kitos tarptautinės finansinės paramos lėšomis</w:t>
            </w:r>
          </w:p>
        </w:tc>
        <w:tc>
          <w:tcPr>
            <w:tcW w:w="1503"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2 235,6</w:t>
            </w:r>
          </w:p>
        </w:tc>
        <w:tc>
          <w:tcPr>
            <w:tcW w:w="152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2 238,6</w:t>
            </w:r>
          </w:p>
        </w:tc>
        <w:tc>
          <w:tcPr>
            <w:tcW w:w="155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1 940,2</w:t>
            </w:r>
          </w:p>
        </w:tc>
        <w:tc>
          <w:tcPr>
            <w:tcW w:w="165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298,4</w:t>
            </w:r>
          </w:p>
        </w:tc>
      </w:tr>
      <w:tr w:rsidR="005D4CAD" w:rsidRPr="005D4CAD" w:rsidTr="005D4CAD">
        <w:trPr>
          <w:trHeight w:val="303"/>
        </w:trPr>
        <w:tc>
          <w:tcPr>
            <w:tcW w:w="3516" w:type="dxa"/>
            <w:tcBorders>
              <w:top w:val="nil"/>
              <w:left w:val="single" w:sz="8" w:space="0" w:color="auto"/>
              <w:bottom w:val="single" w:sz="8" w:space="0" w:color="auto"/>
              <w:right w:val="single" w:sz="8" w:space="0" w:color="auto"/>
            </w:tcBorders>
            <w:shd w:val="clear" w:color="auto" w:fill="auto"/>
            <w:vAlign w:val="center"/>
            <w:hideMark/>
          </w:tcPr>
          <w:p w:rsidR="005D4CAD" w:rsidRPr="005D4CAD" w:rsidRDefault="005D4CAD" w:rsidP="005D4CAD">
            <w:pPr>
              <w:rPr>
                <w:color w:val="auto"/>
                <w:sz w:val="22"/>
                <w:szCs w:val="22"/>
                <w:lang w:eastAsia="lt-LT"/>
              </w:rPr>
            </w:pPr>
            <w:r w:rsidRPr="005D4CAD">
              <w:rPr>
                <w:color w:val="auto"/>
                <w:sz w:val="22"/>
                <w:szCs w:val="22"/>
                <w:lang w:eastAsia="lt-LT"/>
              </w:rPr>
              <w:t>Valstybės biudžeto bendrojo finansavimo lėšomis</w:t>
            </w:r>
          </w:p>
        </w:tc>
        <w:tc>
          <w:tcPr>
            <w:tcW w:w="1503"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176,9</w:t>
            </w:r>
          </w:p>
        </w:tc>
        <w:tc>
          <w:tcPr>
            <w:tcW w:w="152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211,1</w:t>
            </w:r>
          </w:p>
        </w:tc>
        <w:tc>
          <w:tcPr>
            <w:tcW w:w="155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161,2</w:t>
            </w:r>
          </w:p>
        </w:tc>
        <w:tc>
          <w:tcPr>
            <w:tcW w:w="165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color w:val="auto"/>
                <w:sz w:val="22"/>
                <w:szCs w:val="22"/>
                <w:lang w:eastAsia="lt-LT"/>
              </w:rPr>
            </w:pPr>
            <w:r w:rsidRPr="005D4CAD">
              <w:rPr>
                <w:color w:val="auto"/>
                <w:sz w:val="22"/>
                <w:szCs w:val="22"/>
                <w:lang w:eastAsia="lt-LT"/>
              </w:rPr>
              <w:t>49,9</w:t>
            </w:r>
          </w:p>
        </w:tc>
      </w:tr>
      <w:tr w:rsidR="005D4CAD" w:rsidRPr="005D4CAD" w:rsidTr="005D4CAD">
        <w:trPr>
          <w:trHeight w:val="148"/>
        </w:trPr>
        <w:tc>
          <w:tcPr>
            <w:tcW w:w="3516" w:type="dxa"/>
            <w:tcBorders>
              <w:top w:val="nil"/>
              <w:left w:val="single" w:sz="8" w:space="0" w:color="auto"/>
              <w:bottom w:val="single" w:sz="8" w:space="0" w:color="auto"/>
              <w:right w:val="single" w:sz="8" w:space="0" w:color="auto"/>
            </w:tcBorders>
            <w:shd w:val="clear" w:color="auto" w:fill="auto"/>
            <w:vAlign w:val="center"/>
            <w:hideMark/>
          </w:tcPr>
          <w:p w:rsidR="005D4CAD" w:rsidRPr="005D4CAD" w:rsidRDefault="005D4CAD" w:rsidP="005D4CAD">
            <w:pPr>
              <w:rPr>
                <w:b/>
                <w:bCs/>
                <w:color w:val="auto"/>
                <w:sz w:val="22"/>
                <w:szCs w:val="22"/>
                <w:lang w:eastAsia="lt-LT"/>
              </w:rPr>
            </w:pPr>
            <w:r w:rsidRPr="005D4CAD">
              <w:rPr>
                <w:b/>
                <w:bCs/>
                <w:color w:val="auto"/>
                <w:sz w:val="22"/>
                <w:szCs w:val="22"/>
                <w:lang w:eastAsia="lt-LT"/>
              </w:rPr>
              <w:t>Iš viso:</w:t>
            </w:r>
          </w:p>
        </w:tc>
        <w:tc>
          <w:tcPr>
            <w:tcW w:w="1503"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b/>
                <w:bCs/>
                <w:color w:val="auto"/>
                <w:sz w:val="22"/>
                <w:szCs w:val="22"/>
                <w:lang w:eastAsia="lt-LT"/>
              </w:rPr>
            </w:pPr>
            <w:r w:rsidRPr="005D4CAD">
              <w:rPr>
                <w:b/>
                <w:bCs/>
                <w:color w:val="auto"/>
                <w:sz w:val="22"/>
                <w:szCs w:val="22"/>
                <w:lang w:eastAsia="lt-LT"/>
              </w:rPr>
              <w:t>2 412,5</w:t>
            </w:r>
          </w:p>
        </w:tc>
        <w:tc>
          <w:tcPr>
            <w:tcW w:w="152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b/>
                <w:bCs/>
                <w:color w:val="auto"/>
                <w:sz w:val="22"/>
                <w:szCs w:val="22"/>
                <w:lang w:eastAsia="lt-LT"/>
              </w:rPr>
            </w:pPr>
            <w:r w:rsidRPr="005D4CAD">
              <w:rPr>
                <w:b/>
                <w:bCs/>
                <w:color w:val="auto"/>
                <w:sz w:val="22"/>
                <w:szCs w:val="22"/>
                <w:lang w:eastAsia="lt-LT"/>
              </w:rPr>
              <w:t>2 449,7</w:t>
            </w:r>
          </w:p>
        </w:tc>
        <w:tc>
          <w:tcPr>
            <w:tcW w:w="155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b/>
                <w:bCs/>
                <w:color w:val="auto"/>
                <w:sz w:val="22"/>
                <w:szCs w:val="22"/>
                <w:lang w:eastAsia="lt-LT"/>
              </w:rPr>
            </w:pPr>
            <w:r w:rsidRPr="005D4CAD">
              <w:rPr>
                <w:b/>
                <w:bCs/>
                <w:color w:val="auto"/>
                <w:sz w:val="22"/>
                <w:szCs w:val="22"/>
                <w:lang w:eastAsia="lt-LT"/>
              </w:rPr>
              <w:t>2 101,4</w:t>
            </w:r>
          </w:p>
        </w:tc>
        <w:tc>
          <w:tcPr>
            <w:tcW w:w="1654" w:type="dxa"/>
            <w:tcBorders>
              <w:top w:val="nil"/>
              <w:left w:val="nil"/>
              <w:bottom w:val="single" w:sz="8" w:space="0" w:color="auto"/>
              <w:right w:val="single" w:sz="8" w:space="0" w:color="auto"/>
            </w:tcBorders>
            <w:shd w:val="clear" w:color="auto" w:fill="auto"/>
            <w:vAlign w:val="center"/>
            <w:hideMark/>
          </w:tcPr>
          <w:p w:rsidR="005D4CAD" w:rsidRPr="005D4CAD" w:rsidRDefault="005D4CAD" w:rsidP="005D4CAD">
            <w:pPr>
              <w:jc w:val="right"/>
              <w:rPr>
                <w:b/>
                <w:bCs/>
                <w:color w:val="auto"/>
                <w:sz w:val="22"/>
                <w:szCs w:val="22"/>
                <w:lang w:eastAsia="lt-LT"/>
              </w:rPr>
            </w:pPr>
            <w:r w:rsidRPr="005D4CAD">
              <w:rPr>
                <w:b/>
                <w:bCs/>
                <w:color w:val="auto"/>
                <w:sz w:val="22"/>
                <w:szCs w:val="22"/>
                <w:lang w:eastAsia="lt-LT"/>
              </w:rPr>
              <w:t>348,3</w:t>
            </w:r>
          </w:p>
        </w:tc>
      </w:tr>
    </w:tbl>
    <w:p w:rsidR="00BD3565" w:rsidRPr="006B6193" w:rsidRDefault="00BD3565" w:rsidP="00BD3565">
      <w:pPr>
        <w:jc w:val="both"/>
        <w:rPr>
          <w:i/>
          <w:color w:val="auto"/>
          <w:sz w:val="20"/>
          <w:szCs w:val="20"/>
        </w:rPr>
      </w:pPr>
      <w:r w:rsidRPr="006B6193">
        <w:rPr>
          <w:i/>
          <w:color w:val="auto"/>
          <w:sz w:val="20"/>
          <w:szCs w:val="20"/>
        </w:rPr>
        <w:t>Šaltinis –  Finansų ministerija</w:t>
      </w:r>
    </w:p>
    <w:p w:rsidR="00BD3565" w:rsidRPr="004272C9" w:rsidRDefault="00BD3565" w:rsidP="00BD3565">
      <w:pPr>
        <w:jc w:val="both"/>
        <w:rPr>
          <w:i/>
          <w:color w:val="auto"/>
          <w:sz w:val="20"/>
          <w:szCs w:val="20"/>
          <w:highlight w:val="yellow"/>
        </w:rPr>
      </w:pPr>
    </w:p>
    <w:p w:rsidR="00BD3565" w:rsidRPr="009937A0" w:rsidRDefault="00BD3565" w:rsidP="00BD3565">
      <w:pPr>
        <w:pStyle w:val="Pagrindiniotekstotrauka"/>
        <w:tabs>
          <w:tab w:val="left" w:pos="360"/>
        </w:tabs>
        <w:spacing w:after="0"/>
        <w:ind w:left="0" w:firstLine="539"/>
        <w:jc w:val="both"/>
        <w:rPr>
          <w:b/>
          <w:color w:val="auto"/>
        </w:rPr>
      </w:pPr>
      <w:r w:rsidRPr="009937A0">
        <w:rPr>
          <w:color w:val="auto"/>
        </w:rPr>
        <w:t xml:space="preserve">Pagal asignavimų valdytojų pateiktus su Finansų ministerija suderintus prašymus, bendroms ES, kitos tarptautinės finansinės paramos ir valstybės biudžeto lėšomis įgyvendinamoms programoms (priemonėms), projektams ir subsidijų schemoms skirti asignavimai Vyriausybės nutarimais buvo tikslinami perskirstant juos tarp asignavimų valdytojų, jų programų, investavimo sričių, valstybės funkcijų ir ekonominės klasifikacijos straipsnių. Asignavimų planas su leistinais patikslinimais viršijant įstatymu patvirtintas sumas buvo </w:t>
      </w:r>
      <w:r w:rsidRPr="009937A0">
        <w:rPr>
          <w:b/>
          <w:color w:val="auto"/>
        </w:rPr>
        <w:t>2 2</w:t>
      </w:r>
      <w:r w:rsidR="009937A0" w:rsidRPr="009937A0">
        <w:rPr>
          <w:b/>
          <w:color w:val="auto"/>
        </w:rPr>
        <w:t>3</w:t>
      </w:r>
      <w:r w:rsidRPr="009937A0">
        <w:rPr>
          <w:b/>
          <w:color w:val="auto"/>
        </w:rPr>
        <w:t>8,</w:t>
      </w:r>
      <w:r w:rsidR="009937A0" w:rsidRPr="009937A0">
        <w:rPr>
          <w:b/>
          <w:color w:val="auto"/>
        </w:rPr>
        <w:t>6</w:t>
      </w:r>
      <w:r w:rsidRPr="009937A0">
        <w:rPr>
          <w:b/>
          <w:color w:val="auto"/>
        </w:rPr>
        <w:t xml:space="preserve"> mln. eurų</w:t>
      </w:r>
      <w:r w:rsidRPr="009937A0">
        <w:rPr>
          <w:color w:val="auto"/>
        </w:rPr>
        <w:t xml:space="preserve">. ES ir kitos tarptautinės finansinės paramos lėšų asignavimų panaudota </w:t>
      </w:r>
      <w:r w:rsidRPr="009937A0">
        <w:rPr>
          <w:b/>
          <w:color w:val="auto"/>
        </w:rPr>
        <w:t xml:space="preserve">1 </w:t>
      </w:r>
      <w:r w:rsidR="009937A0" w:rsidRPr="009937A0">
        <w:rPr>
          <w:b/>
          <w:color w:val="auto"/>
        </w:rPr>
        <w:t>940</w:t>
      </w:r>
      <w:r w:rsidRPr="009937A0">
        <w:rPr>
          <w:b/>
          <w:color w:val="auto"/>
        </w:rPr>
        <w:t>,</w:t>
      </w:r>
      <w:r w:rsidR="009937A0" w:rsidRPr="009937A0">
        <w:rPr>
          <w:b/>
          <w:color w:val="auto"/>
        </w:rPr>
        <w:t>2</w:t>
      </w:r>
      <w:r w:rsidRPr="009937A0">
        <w:rPr>
          <w:b/>
          <w:color w:val="auto"/>
        </w:rPr>
        <w:t xml:space="preserve"> mln. eurų (8</w:t>
      </w:r>
      <w:r w:rsidR="00AF0DB0">
        <w:rPr>
          <w:b/>
          <w:color w:val="auto"/>
        </w:rPr>
        <w:t>6</w:t>
      </w:r>
      <w:r w:rsidRPr="009937A0">
        <w:rPr>
          <w:b/>
          <w:color w:val="auto"/>
        </w:rPr>
        <w:t>,</w:t>
      </w:r>
      <w:r w:rsidR="00AF0DB0">
        <w:rPr>
          <w:b/>
          <w:color w:val="auto"/>
        </w:rPr>
        <w:t>7</w:t>
      </w:r>
      <w:r w:rsidRPr="009937A0">
        <w:rPr>
          <w:b/>
          <w:color w:val="auto"/>
        </w:rPr>
        <w:t xml:space="preserve"> proc.)</w:t>
      </w:r>
      <w:r w:rsidRPr="009937A0">
        <w:rPr>
          <w:color w:val="auto"/>
        </w:rPr>
        <w:t xml:space="preserve">, nepanaudoti asignavimai sudarė </w:t>
      </w:r>
      <w:r w:rsidR="009937A0" w:rsidRPr="009937A0">
        <w:rPr>
          <w:b/>
          <w:color w:val="auto"/>
        </w:rPr>
        <w:t>2</w:t>
      </w:r>
      <w:r w:rsidRPr="009937A0">
        <w:rPr>
          <w:b/>
          <w:color w:val="auto"/>
        </w:rPr>
        <w:t>9</w:t>
      </w:r>
      <w:r w:rsidR="009937A0" w:rsidRPr="009937A0">
        <w:rPr>
          <w:b/>
          <w:color w:val="auto"/>
        </w:rPr>
        <w:t>8</w:t>
      </w:r>
      <w:r w:rsidRPr="009937A0">
        <w:rPr>
          <w:b/>
          <w:color w:val="auto"/>
        </w:rPr>
        <w:t>,</w:t>
      </w:r>
      <w:r w:rsidR="009937A0" w:rsidRPr="009937A0">
        <w:rPr>
          <w:b/>
          <w:color w:val="auto"/>
        </w:rPr>
        <w:t>4</w:t>
      </w:r>
      <w:r w:rsidRPr="009937A0">
        <w:rPr>
          <w:b/>
          <w:color w:val="auto"/>
        </w:rPr>
        <w:t xml:space="preserve"> mln. eurų.</w:t>
      </w:r>
    </w:p>
    <w:p w:rsidR="00D61382" w:rsidRDefault="00D61382" w:rsidP="00D61382">
      <w:pPr>
        <w:autoSpaceDE w:val="0"/>
        <w:autoSpaceDN w:val="0"/>
        <w:adjustRightInd w:val="0"/>
        <w:ind w:firstLine="567"/>
        <w:jc w:val="both"/>
      </w:pPr>
      <w:r>
        <w:t xml:space="preserve">2020 m. didžiausia dalis ES ir kitos tarptautinės finansinės paramos lėšų suplanuota skirti ES struktūrinių fondų lėšomis finansuojamiems projektams įgyvendinti. 2020 m. valstybės biudžete buvo numatyta investuoti 1,2 mlrd. eurų ES fondų lėšų. Investuota ES fondų lėšų suma sudaro 99 proc. asignavimų plano – 1,18 mlrd. eurų ES fondų lėšų, t.y., 1,2 karto daugiau nei per 2019 m.. 2020 m. investicijos yra didžiausios lyginant su ankstesniais veiksmų programos įgyvendinimo metais, t.y., 2020 m. investuota beveik trečdalis per visą laikotarpį investuotų lėšų. Tačiau siekiant </w:t>
      </w:r>
      <w:r>
        <w:lastRenderedPageBreak/>
        <w:t>užtikrinti projektų įgyvendinimą ir Lietuvai skirtų lėšų investavimą laiku (iki 2023 m. spalio mėn.) būtina išlaikyti investicijų spartą ir 2021 m. investuoti 1,6 mlrd. eurų.</w:t>
      </w:r>
    </w:p>
    <w:p w:rsidR="00D61382" w:rsidRDefault="00D61382" w:rsidP="00F10EA2">
      <w:pPr>
        <w:ind w:firstLine="567"/>
        <w:jc w:val="both"/>
      </w:pPr>
      <w:r>
        <w:t>Didžioji dalis ES struktūrinių fondų lėšų – apie 247 mln. eurų, t.y., 21 proc. 2020 m. investicijų skirta kokybiško užimtumo ir dalyvavimo darbo rinkoje skatinimui, 137,7 mln. eurų (12 proc.) investicijų – aplinkosaugai, 133,8 mln. eurų (11 proc.) investicijų – visuomenės švietimui ir žmogiškųjų išteklių potencialo didinimui, 131,5 mln. eurų (11 proc.) investicijų – energijos efektyvumo ir atsinaujinančių išteklių energijos gamybos ir naudojimo skatinimui, apie 122 mln. eurų (10 proc.) investicijų – mokslinių tyrimų, eksperimentinės plėtros ir inovacijų skatinimui, 115,4 mln. eurų (10 proc.) investicijų – socialinės įtraukties didinimui ir kovai su skurdu, 106,7 mln. eurų (9 proc.) investicijų – darniojo transporto, pagrindinių tinklų infrastruktūros skatinimui, 102 mln. eurų (9 proc.) investicijų – smulkiojo ir vidutinio verslo konkurencingumo skatinimui,  37,8 mln. eurų (3 proc.) investicijų – informacinės visuomenės skatinimui, 30 mln. eurų (3 proc.) investicijų – projektams administruoti, 17,5 mln. eurų (1 proc.) investicijų – visuomenės poreikius atitinkančiam ir pažangiam viešajam valdymui.</w:t>
      </w:r>
    </w:p>
    <w:p w:rsidR="00BD3565" w:rsidRPr="004272C9" w:rsidRDefault="00BD3565" w:rsidP="00BD3565">
      <w:pPr>
        <w:pStyle w:val="Sraopastraipa"/>
        <w:tabs>
          <w:tab w:val="left" w:pos="0"/>
          <w:tab w:val="left" w:pos="993"/>
        </w:tabs>
        <w:autoSpaceDE w:val="0"/>
        <w:autoSpaceDN w:val="0"/>
        <w:adjustRightInd w:val="0"/>
        <w:ind w:left="0" w:firstLine="709"/>
        <w:jc w:val="both"/>
        <w:rPr>
          <w:bCs/>
          <w:highlight w:val="yellow"/>
        </w:rPr>
      </w:pPr>
      <w:r w:rsidRPr="00D47014">
        <w:rPr>
          <w:bCs/>
        </w:rPr>
        <w:t xml:space="preserve">ES </w:t>
      </w:r>
      <w:r w:rsidRPr="008B09DE">
        <w:rPr>
          <w:bCs/>
        </w:rPr>
        <w:t>paramos asignavimų plano bei jo panaudojimo duomenys atskleidžiami 1</w:t>
      </w:r>
      <w:r w:rsidR="00D47014" w:rsidRPr="008B09DE">
        <w:rPr>
          <w:bCs/>
        </w:rPr>
        <w:t>2</w:t>
      </w:r>
      <w:r w:rsidRPr="008B09DE">
        <w:rPr>
          <w:bCs/>
        </w:rPr>
        <w:t xml:space="preserve"> lentelėje. Pagal asignavimų plano vykdymo duomenis, ES paramos lėšos 20</w:t>
      </w:r>
      <w:r w:rsidR="008B09DE" w:rsidRPr="008B09DE">
        <w:rPr>
          <w:bCs/>
        </w:rPr>
        <w:t>20</w:t>
      </w:r>
      <w:r w:rsidRPr="008B09DE">
        <w:rPr>
          <w:bCs/>
        </w:rPr>
        <w:t xml:space="preserve"> m. sudarė 1</w:t>
      </w:r>
      <w:r w:rsidR="008B09DE" w:rsidRPr="008B09DE">
        <w:rPr>
          <w:bCs/>
        </w:rPr>
        <w:t>2</w:t>
      </w:r>
      <w:r w:rsidRPr="008B09DE">
        <w:rPr>
          <w:bCs/>
        </w:rPr>
        <w:t>,5 proc. visų biudžeto išlaidų</w:t>
      </w:r>
      <w:r w:rsidRPr="004027CD">
        <w:rPr>
          <w:bCs/>
        </w:rPr>
        <w:t xml:space="preserve">. </w:t>
      </w:r>
    </w:p>
    <w:p w:rsidR="00386762" w:rsidRDefault="00386762" w:rsidP="00BD3565">
      <w:pPr>
        <w:jc w:val="both"/>
        <w:rPr>
          <w:b/>
        </w:rPr>
      </w:pPr>
    </w:p>
    <w:p w:rsidR="00BD3565" w:rsidRPr="00636C13" w:rsidRDefault="00BD3565" w:rsidP="00BD3565">
      <w:pPr>
        <w:jc w:val="both"/>
      </w:pPr>
      <w:r w:rsidRPr="00636C13">
        <w:rPr>
          <w:b/>
        </w:rPr>
        <w:t>1</w:t>
      </w:r>
      <w:r w:rsidR="00A96843">
        <w:rPr>
          <w:b/>
        </w:rPr>
        <w:t>3</w:t>
      </w:r>
      <w:r w:rsidRPr="00636C13">
        <w:rPr>
          <w:b/>
        </w:rPr>
        <w:t xml:space="preserve"> lentelė</w:t>
      </w:r>
      <w:r w:rsidRPr="00636C13">
        <w:t>. 20</w:t>
      </w:r>
      <w:r w:rsidR="00636C13" w:rsidRPr="00636C13">
        <w:t>20</w:t>
      </w:r>
      <w:r w:rsidRPr="00636C13">
        <w:t xml:space="preserve"> metų valstybės biudžeto išlaidos pagal funkcijas, mln. eurų</w:t>
      </w:r>
    </w:p>
    <w:tbl>
      <w:tblPr>
        <w:tblW w:w="9552" w:type="dxa"/>
        <w:tblInd w:w="93" w:type="dxa"/>
        <w:tblLayout w:type="fixed"/>
        <w:tblCellMar>
          <w:left w:w="57" w:type="dxa"/>
          <w:right w:w="57" w:type="dxa"/>
        </w:tblCellMar>
        <w:tblLook w:val="04A0" w:firstRow="1" w:lastRow="0" w:firstColumn="1" w:lastColumn="0" w:noHBand="0" w:noVBand="1"/>
      </w:tblPr>
      <w:tblGrid>
        <w:gridCol w:w="1949"/>
        <w:gridCol w:w="850"/>
        <w:gridCol w:w="851"/>
        <w:gridCol w:w="992"/>
        <w:gridCol w:w="851"/>
        <w:gridCol w:w="850"/>
        <w:gridCol w:w="992"/>
        <w:gridCol w:w="709"/>
        <w:gridCol w:w="567"/>
        <w:gridCol w:w="941"/>
      </w:tblGrid>
      <w:tr w:rsidR="00BD3565" w:rsidRPr="004272C9" w:rsidTr="00BC3117">
        <w:trPr>
          <w:trHeight w:val="254"/>
        </w:trPr>
        <w:tc>
          <w:tcPr>
            <w:tcW w:w="194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Valstybės funkcijos pavadinimas</w:t>
            </w:r>
          </w:p>
        </w:tc>
        <w:tc>
          <w:tcPr>
            <w:tcW w:w="2693" w:type="dxa"/>
            <w:gridSpan w:val="3"/>
            <w:tcBorders>
              <w:top w:val="single" w:sz="8" w:space="0" w:color="auto"/>
              <w:left w:val="nil"/>
              <w:bottom w:val="single" w:sz="8" w:space="0" w:color="auto"/>
              <w:right w:val="single" w:sz="8" w:space="0" w:color="000000"/>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Asignavimų planas su leistinais patikslinimais</w:t>
            </w:r>
          </w:p>
        </w:tc>
        <w:tc>
          <w:tcPr>
            <w:tcW w:w="269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D3565" w:rsidRPr="00CD6CA8" w:rsidRDefault="00BD3565" w:rsidP="00BC3117">
            <w:pPr>
              <w:jc w:val="center"/>
              <w:rPr>
                <w:b/>
                <w:bCs/>
                <w:sz w:val="20"/>
                <w:szCs w:val="20"/>
              </w:rPr>
            </w:pPr>
            <w:r w:rsidRPr="00CD6CA8">
              <w:rPr>
                <w:b/>
                <w:bCs/>
                <w:sz w:val="20"/>
                <w:szCs w:val="20"/>
              </w:rPr>
              <w:t>Panaudoti asignavimai</w:t>
            </w:r>
          </w:p>
        </w:tc>
        <w:tc>
          <w:tcPr>
            <w:tcW w:w="221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BD3565" w:rsidRPr="00CD6CA8" w:rsidRDefault="00BD3565" w:rsidP="00BC3117">
            <w:pPr>
              <w:jc w:val="center"/>
              <w:rPr>
                <w:b/>
                <w:bCs/>
                <w:sz w:val="20"/>
                <w:szCs w:val="20"/>
              </w:rPr>
            </w:pPr>
            <w:r w:rsidRPr="00CD6CA8">
              <w:rPr>
                <w:b/>
                <w:bCs/>
                <w:sz w:val="20"/>
                <w:szCs w:val="20"/>
              </w:rPr>
              <w:t>Planų vykdymas (proc.)</w:t>
            </w:r>
          </w:p>
        </w:tc>
      </w:tr>
      <w:tr w:rsidR="00BD3565" w:rsidRPr="004272C9" w:rsidTr="00BC3117">
        <w:trPr>
          <w:trHeight w:val="1174"/>
        </w:trPr>
        <w:tc>
          <w:tcPr>
            <w:tcW w:w="1949" w:type="dxa"/>
            <w:vMerge/>
            <w:tcBorders>
              <w:top w:val="single" w:sz="8" w:space="0" w:color="auto"/>
              <w:left w:val="single" w:sz="8" w:space="0" w:color="auto"/>
              <w:bottom w:val="single" w:sz="8" w:space="0" w:color="000000"/>
              <w:right w:val="single" w:sz="8" w:space="0" w:color="000000"/>
            </w:tcBorders>
            <w:vAlign w:val="center"/>
            <w:hideMark/>
          </w:tcPr>
          <w:p w:rsidR="00BD3565" w:rsidRPr="00CD6CA8" w:rsidRDefault="00BD3565" w:rsidP="00BC3117">
            <w:pPr>
              <w:rPr>
                <w:b/>
                <w:bCs/>
                <w:sz w:val="20"/>
                <w:szCs w:val="20"/>
              </w:rPr>
            </w:pPr>
          </w:p>
        </w:tc>
        <w:tc>
          <w:tcPr>
            <w:tcW w:w="850"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Iš viso</w:t>
            </w:r>
          </w:p>
        </w:tc>
        <w:tc>
          <w:tcPr>
            <w:tcW w:w="851"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ES lėšos</w:t>
            </w:r>
          </w:p>
        </w:tc>
        <w:tc>
          <w:tcPr>
            <w:tcW w:w="992"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Valstybės biudžetas (be ES)</w:t>
            </w:r>
          </w:p>
        </w:tc>
        <w:tc>
          <w:tcPr>
            <w:tcW w:w="851"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Iš viso</w:t>
            </w:r>
          </w:p>
        </w:tc>
        <w:tc>
          <w:tcPr>
            <w:tcW w:w="850"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ES lėšos</w:t>
            </w:r>
          </w:p>
        </w:tc>
        <w:tc>
          <w:tcPr>
            <w:tcW w:w="992"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Valstybės biudžetas (be ES)</w:t>
            </w:r>
          </w:p>
        </w:tc>
        <w:tc>
          <w:tcPr>
            <w:tcW w:w="709"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Iš viso</w:t>
            </w:r>
          </w:p>
        </w:tc>
        <w:tc>
          <w:tcPr>
            <w:tcW w:w="567"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ES lėšos</w:t>
            </w:r>
          </w:p>
        </w:tc>
        <w:tc>
          <w:tcPr>
            <w:tcW w:w="941" w:type="dxa"/>
            <w:tcBorders>
              <w:top w:val="nil"/>
              <w:left w:val="nil"/>
              <w:bottom w:val="single" w:sz="8" w:space="0" w:color="auto"/>
              <w:right w:val="single" w:sz="8" w:space="0" w:color="auto"/>
            </w:tcBorders>
            <w:shd w:val="clear" w:color="auto" w:fill="auto"/>
            <w:vAlign w:val="center"/>
            <w:hideMark/>
          </w:tcPr>
          <w:p w:rsidR="00BD3565" w:rsidRPr="00CD6CA8" w:rsidRDefault="00BD3565" w:rsidP="00BC3117">
            <w:pPr>
              <w:jc w:val="center"/>
              <w:rPr>
                <w:b/>
                <w:bCs/>
                <w:sz w:val="20"/>
                <w:szCs w:val="20"/>
              </w:rPr>
            </w:pPr>
            <w:r w:rsidRPr="00CD6CA8">
              <w:rPr>
                <w:b/>
                <w:bCs/>
                <w:sz w:val="20"/>
                <w:szCs w:val="20"/>
              </w:rPr>
              <w:t>Valstybės biudžetas (be ES)</w:t>
            </w:r>
          </w:p>
        </w:tc>
      </w:tr>
      <w:tr w:rsidR="00CD6CA8" w:rsidRPr="004272C9" w:rsidTr="00BC3117">
        <w:trPr>
          <w:trHeight w:val="189"/>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sz w:val="20"/>
                <w:szCs w:val="20"/>
              </w:rPr>
            </w:pPr>
            <w:r w:rsidRPr="00CD6CA8">
              <w:rPr>
                <w:sz w:val="20"/>
                <w:szCs w:val="20"/>
              </w:rPr>
              <w:t>Bendros valstybės paslaugos</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551,4</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15,2</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536,2</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474,4</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11,8</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w:t>
            </w:r>
            <w:r w:rsidR="00386762">
              <w:rPr>
                <w:sz w:val="20"/>
                <w:szCs w:val="20"/>
              </w:rPr>
              <w:t xml:space="preserve"> </w:t>
            </w:r>
            <w:r>
              <w:rPr>
                <w:sz w:val="20"/>
                <w:szCs w:val="20"/>
              </w:rPr>
              <w:t>462,6</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95,0</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77,6</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95,2</w:t>
            </w:r>
          </w:p>
        </w:tc>
      </w:tr>
      <w:tr w:rsidR="00CD6CA8" w:rsidRPr="004272C9" w:rsidTr="00FE10AE">
        <w:trPr>
          <w:trHeight w:val="60"/>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sz w:val="20"/>
                <w:szCs w:val="20"/>
              </w:rPr>
            </w:pPr>
            <w:r w:rsidRPr="00CD6CA8">
              <w:rPr>
                <w:sz w:val="20"/>
                <w:szCs w:val="20"/>
              </w:rPr>
              <w:t>Gynyba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135,1</w:t>
            </w:r>
          </w:p>
        </w:tc>
        <w:tc>
          <w:tcPr>
            <w:tcW w:w="851" w:type="dxa"/>
            <w:tcBorders>
              <w:top w:val="nil"/>
              <w:left w:val="nil"/>
              <w:bottom w:val="single" w:sz="8" w:space="0" w:color="auto"/>
              <w:right w:val="single" w:sz="8" w:space="0" w:color="auto"/>
            </w:tcBorders>
            <w:shd w:val="clear" w:color="000000" w:fill="FFFFFF"/>
            <w:noWrap/>
            <w:vAlign w:val="bottom"/>
            <w:hideMark/>
          </w:tcPr>
          <w:p w:rsidR="00CD6CA8" w:rsidRPr="00CD6CA8" w:rsidRDefault="00CD6CA8">
            <w:pPr>
              <w:jc w:val="right"/>
              <w:rPr>
                <w:rFonts w:ascii="Times New Roman Baltic" w:hAnsi="Times New Roman Baltic" w:cs="Times New Roman Baltic"/>
                <w:sz w:val="20"/>
                <w:szCs w:val="20"/>
              </w:rPr>
            </w:pPr>
            <w:r w:rsidRPr="00CD6CA8">
              <w:rPr>
                <w:rFonts w:ascii="Times New Roman Baltic" w:hAnsi="Times New Roman Baltic" w:cs="Times New Roman Baltic"/>
                <w:sz w:val="20"/>
                <w:szCs w:val="20"/>
              </w:rPr>
              <w:t>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135,1</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129,2</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0,0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w:t>
            </w:r>
            <w:r w:rsidR="00386762">
              <w:rPr>
                <w:sz w:val="20"/>
                <w:szCs w:val="20"/>
              </w:rPr>
              <w:t xml:space="preserve"> </w:t>
            </w:r>
            <w:r>
              <w:rPr>
                <w:sz w:val="20"/>
                <w:szCs w:val="20"/>
              </w:rPr>
              <w:t>129,2</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99,5</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0,0</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99,5</w:t>
            </w:r>
          </w:p>
        </w:tc>
      </w:tr>
      <w:tr w:rsidR="00CD6CA8" w:rsidRPr="004272C9" w:rsidTr="00BC3117">
        <w:trPr>
          <w:trHeight w:val="140"/>
        </w:trPr>
        <w:tc>
          <w:tcPr>
            <w:tcW w:w="1949" w:type="dxa"/>
            <w:tcBorders>
              <w:top w:val="nil"/>
              <w:left w:val="single" w:sz="8" w:space="0" w:color="auto"/>
              <w:bottom w:val="single" w:sz="8" w:space="0" w:color="auto"/>
              <w:right w:val="single" w:sz="8" w:space="0" w:color="auto"/>
            </w:tcBorders>
            <w:shd w:val="clear" w:color="auto" w:fill="auto"/>
            <w:noWrap/>
            <w:vAlign w:val="center"/>
          </w:tcPr>
          <w:p w:rsidR="00CD6CA8" w:rsidRPr="00CD6CA8" w:rsidRDefault="00CD6CA8" w:rsidP="00BC3117">
            <w:pPr>
              <w:rPr>
                <w:sz w:val="20"/>
                <w:szCs w:val="20"/>
              </w:rPr>
            </w:pPr>
            <w:r w:rsidRPr="00CD6CA8">
              <w:rPr>
                <w:sz w:val="20"/>
                <w:szCs w:val="20"/>
              </w:rPr>
              <w:t>Viešoji tvarka ir visuomenės apsauga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933,2</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238,5</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694,7</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837</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164,2</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672,8</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89,7</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68,8</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96,8</w:t>
            </w:r>
          </w:p>
        </w:tc>
      </w:tr>
      <w:tr w:rsidR="00CD6CA8" w:rsidRPr="004272C9" w:rsidTr="00BC3117">
        <w:trPr>
          <w:trHeight w:val="60"/>
        </w:trPr>
        <w:tc>
          <w:tcPr>
            <w:tcW w:w="1949" w:type="dxa"/>
            <w:tcBorders>
              <w:top w:val="nil"/>
              <w:left w:val="single" w:sz="8" w:space="0" w:color="auto"/>
              <w:bottom w:val="single" w:sz="8" w:space="0" w:color="auto"/>
              <w:right w:val="single" w:sz="8" w:space="0" w:color="auto"/>
            </w:tcBorders>
            <w:shd w:val="clear" w:color="auto" w:fill="auto"/>
            <w:noWrap/>
            <w:vAlign w:val="center"/>
          </w:tcPr>
          <w:p w:rsidR="00CD6CA8" w:rsidRPr="00CD6CA8" w:rsidRDefault="00CD6CA8" w:rsidP="00BC3117">
            <w:pPr>
              <w:rPr>
                <w:sz w:val="20"/>
                <w:szCs w:val="20"/>
              </w:rPr>
            </w:pPr>
            <w:r w:rsidRPr="00CD6CA8">
              <w:rPr>
                <w:sz w:val="20"/>
                <w:szCs w:val="20"/>
              </w:rPr>
              <w:t>Ekonomika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3</w:t>
            </w:r>
            <w:r w:rsidR="00386762">
              <w:rPr>
                <w:sz w:val="20"/>
                <w:szCs w:val="20"/>
              </w:rPr>
              <w:t xml:space="preserve"> </w:t>
            </w:r>
            <w:r w:rsidRPr="00CD6CA8">
              <w:rPr>
                <w:sz w:val="20"/>
                <w:szCs w:val="20"/>
              </w:rPr>
              <w:t>943,0</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357,1</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2</w:t>
            </w:r>
            <w:r w:rsidR="00386762">
              <w:rPr>
                <w:sz w:val="20"/>
                <w:szCs w:val="20"/>
              </w:rPr>
              <w:t xml:space="preserve"> </w:t>
            </w:r>
            <w:r w:rsidRPr="00CD6CA8">
              <w:rPr>
                <w:sz w:val="20"/>
                <w:szCs w:val="20"/>
              </w:rPr>
              <w:t>585,9</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3</w:t>
            </w:r>
            <w:r w:rsidR="00386762">
              <w:rPr>
                <w:sz w:val="20"/>
                <w:szCs w:val="20"/>
              </w:rPr>
              <w:t xml:space="preserve"> </w:t>
            </w:r>
            <w:r w:rsidRPr="00CD6CA8">
              <w:rPr>
                <w:sz w:val="20"/>
                <w:szCs w:val="20"/>
              </w:rPr>
              <w:t>645,8</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w:t>
            </w:r>
            <w:r w:rsidR="00386762">
              <w:rPr>
                <w:sz w:val="20"/>
                <w:szCs w:val="20"/>
              </w:rPr>
              <w:t xml:space="preserve"> </w:t>
            </w:r>
            <w:r>
              <w:rPr>
                <w:sz w:val="20"/>
                <w:szCs w:val="20"/>
              </w:rPr>
              <w:t>194,0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2</w:t>
            </w:r>
            <w:r w:rsidR="00386762">
              <w:rPr>
                <w:sz w:val="20"/>
                <w:szCs w:val="20"/>
              </w:rPr>
              <w:t xml:space="preserve"> </w:t>
            </w:r>
            <w:r>
              <w:rPr>
                <w:sz w:val="20"/>
                <w:szCs w:val="20"/>
              </w:rPr>
              <w:t>451,8</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92,5</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88,0</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94,8</w:t>
            </w:r>
          </w:p>
        </w:tc>
      </w:tr>
      <w:tr w:rsidR="00CD6CA8" w:rsidRPr="004272C9" w:rsidTr="00BC3117">
        <w:trPr>
          <w:trHeight w:val="109"/>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sz w:val="20"/>
                <w:szCs w:val="20"/>
              </w:rPr>
            </w:pPr>
            <w:r w:rsidRPr="00CD6CA8">
              <w:rPr>
                <w:sz w:val="20"/>
                <w:szCs w:val="20"/>
              </w:rPr>
              <w:t>Aplinkos apsauga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295,0</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122,0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173,0</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198</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113,0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85,0</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67,1</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92,6</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49,1</w:t>
            </w:r>
          </w:p>
        </w:tc>
      </w:tr>
      <w:tr w:rsidR="00CD6CA8" w:rsidRPr="004272C9" w:rsidTr="00BC3117">
        <w:trPr>
          <w:trHeight w:val="140"/>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sz w:val="20"/>
                <w:szCs w:val="20"/>
              </w:rPr>
            </w:pPr>
            <w:r w:rsidRPr="00CD6CA8">
              <w:rPr>
                <w:sz w:val="20"/>
                <w:szCs w:val="20"/>
              </w:rPr>
              <w:t>Būstas ir komunalinis ūkis</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91,1</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54,2</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36,9</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73,3</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51,5</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21,8</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80,5</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95,0</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59,1</w:t>
            </w:r>
          </w:p>
        </w:tc>
      </w:tr>
      <w:tr w:rsidR="00CD6CA8" w:rsidRPr="004272C9" w:rsidTr="00BC3117">
        <w:trPr>
          <w:trHeight w:val="60"/>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sz w:val="20"/>
                <w:szCs w:val="20"/>
              </w:rPr>
            </w:pPr>
            <w:r w:rsidRPr="00CD6CA8">
              <w:rPr>
                <w:sz w:val="20"/>
                <w:szCs w:val="20"/>
              </w:rPr>
              <w:t>Sveikatos apsauga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107,0</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62,1</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044,9</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1068</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59,0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w:t>
            </w:r>
            <w:r w:rsidR="00386762">
              <w:rPr>
                <w:sz w:val="20"/>
                <w:szCs w:val="20"/>
              </w:rPr>
              <w:t xml:space="preserve"> </w:t>
            </w:r>
            <w:r>
              <w:rPr>
                <w:sz w:val="20"/>
                <w:szCs w:val="20"/>
              </w:rPr>
              <w:t>009,0</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96,5</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95,0</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96,6</w:t>
            </w:r>
          </w:p>
        </w:tc>
      </w:tr>
      <w:tr w:rsidR="00CD6CA8" w:rsidRPr="004272C9" w:rsidTr="00BC3117">
        <w:trPr>
          <w:trHeight w:val="62"/>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sz w:val="20"/>
                <w:szCs w:val="20"/>
              </w:rPr>
            </w:pPr>
            <w:r w:rsidRPr="00CD6CA8">
              <w:rPr>
                <w:sz w:val="20"/>
                <w:szCs w:val="20"/>
              </w:rPr>
              <w:t>Poilsis, kultūra ir religija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515,1</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57,7</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457,4</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445,4</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36,8</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408,6</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86,5</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63,8</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89,3</w:t>
            </w:r>
          </w:p>
        </w:tc>
      </w:tr>
      <w:tr w:rsidR="00CD6CA8" w:rsidRPr="004272C9" w:rsidTr="00BC3117">
        <w:trPr>
          <w:trHeight w:val="60"/>
        </w:trPr>
        <w:tc>
          <w:tcPr>
            <w:tcW w:w="1949" w:type="dxa"/>
            <w:tcBorders>
              <w:top w:val="nil"/>
              <w:left w:val="single" w:sz="8" w:space="0" w:color="auto"/>
              <w:bottom w:val="single" w:sz="8" w:space="0" w:color="auto"/>
              <w:right w:val="single" w:sz="8" w:space="0" w:color="auto"/>
            </w:tcBorders>
            <w:shd w:val="clear" w:color="auto" w:fill="auto"/>
            <w:noWrap/>
            <w:vAlign w:val="center"/>
          </w:tcPr>
          <w:p w:rsidR="00CD6CA8" w:rsidRPr="00CD6CA8" w:rsidRDefault="00CD6CA8" w:rsidP="00BC3117">
            <w:pPr>
              <w:rPr>
                <w:sz w:val="20"/>
                <w:szCs w:val="20"/>
              </w:rPr>
            </w:pPr>
            <w:r w:rsidRPr="00CD6CA8">
              <w:rPr>
                <w:sz w:val="20"/>
                <w:szCs w:val="20"/>
              </w:rPr>
              <w:t>Švietimas</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745,4</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190,0</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555,4</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w:t>
            </w:r>
            <w:r w:rsidR="00386762">
              <w:rPr>
                <w:sz w:val="20"/>
                <w:szCs w:val="20"/>
              </w:rPr>
              <w:t xml:space="preserve"> </w:t>
            </w:r>
            <w:r w:rsidRPr="00CD6CA8">
              <w:rPr>
                <w:sz w:val="20"/>
                <w:szCs w:val="20"/>
              </w:rPr>
              <w:t>708,7</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181,8</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w:t>
            </w:r>
            <w:r w:rsidR="00386762">
              <w:rPr>
                <w:sz w:val="20"/>
                <w:szCs w:val="20"/>
              </w:rPr>
              <w:t xml:space="preserve"> </w:t>
            </w:r>
            <w:r>
              <w:rPr>
                <w:sz w:val="20"/>
                <w:szCs w:val="20"/>
              </w:rPr>
              <w:t>526,9</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97,9</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95,7</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98,2</w:t>
            </w:r>
          </w:p>
        </w:tc>
      </w:tr>
      <w:tr w:rsidR="00CD6CA8" w:rsidRPr="004272C9" w:rsidTr="00BC3117">
        <w:trPr>
          <w:trHeight w:val="60"/>
        </w:trPr>
        <w:tc>
          <w:tcPr>
            <w:tcW w:w="1949" w:type="dxa"/>
            <w:tcBorders>
              <w:top w:val="nil"/>
              <w:left w:val="single" w:sz="8" w:space="0" w:color="auto"/>
              <w:bottom w:val="single" w:sz="8" w:space="0" w:color="auto"/>
              <w:right w:val="single" w:sz="8" w:space="0" w:color="auto"/>
            </w:tcBorders>
            <w:shd w:val="clear" w:color="auto" w:fill="auto"/>
            <w:noWrap/>
            <w:vAlign w:val="center"/>
          </w:tcPr>
          <w:p w:rsidR="00CD6CA8" w:rsidRPr="00CD6CA8" w:rsidRDefault="00CD6CA8" w:rsidP="00BC3117">
            <w:pPr>
              <w:rPr>
                <w:sz w:val="20"/>
                <w:szCs w:val="20"/>
              </w:rPr>
            </w:pPr>
            <w:r w:rsidRPr="00CD6CA8">
              <w:rPr>
                <w:sz w:val="20"/>
                <w:szCs w:val="20"/>
              </w:rPr>
              <w:t>Socialinė apsauga</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5</w:t>
            </w:r>
            <w:r w:rsidR="00386762">
              <w:rPr>
                <w:sz w:val="20"/>
                <w:szCs w:val="20"/>
              </w:rPr>
              <w:t xml:space="preserve"> </w:t>
            </w:r>
            <w:r w:rsidRPr="00CD6CA8">
              <w:rPr>
                <w:sz w:val="20"/>
                <w:szCs w:val="20"/>
              </w:rPr>
              <w:t>078,4</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141,8</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4</w:t>
            </w:r>
            <w:r w:rsidR="00386762">
              <w:rPr>
                <w:sz w:val="20"/>
                <w:szCs w:val="20"/>
              </w:rPr>
              <w:t xml:space="preserve"> </w:t>
            </w:r>
            <w:r w:rsidRPr="00CD6CA8">
              <w:rPr>
                <w:sz w:val="20"/>
                <w:szCs w:val="20"/>
              </w:rPr>
              <w:t>936,6</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sz w:val="20"/>
                <w:szCs w:val="20"/>
              </w:rPr>
            </w:pPr>
            <w:r w:rsidRPr="00CD6CA8">
              <w:rPr>
                <w:sz w:val="20"/>
                <w:szCs w:val="20"/>
              </w:rPr>
              <w:t>4</w:t>
            </w:r>
            <w:r w:rsidR="00386762">
              <w:rPr>
                <w:sz w:val="20"/>
                <w:szCs w:val="20"/>
              </w:rPr>
              <w:t xml:space="preserve"> </w:t>
            </w:r>
            <w:r w:rsidRPr="00CD6CA8">
              <w:rPr>
                <w:sz w:val="20"/>
                <w:szCs w:val="20"/>
              </w:rPr>
              <w:t>982,2</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128,1</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4</w:t>
            </w:r>
            <w:r w:rsidR="00386762">
              <w:rPr>
                <w:sz w:val="20"/>
                <w:szCs w:val="20"/>
              </w:rPr>
              <w:t xml:space="preserve"> </w:t>
            </w:r>
            <w:r>
              <w:rPr>
                <w:sz w:val="20"/>
                <w:szCs w:val="20"/>
              </w:rPr>
              <w:t>854,1</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98,1</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90,3</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sz w:val="20"/>
                <w:szCs w:val="20"/>
              </w:rPr>
            </w:pPr>
            <w:r>
              <w:rPr>
                <w:sz w:val="20"/>
                <w:szCs w:val="20"/>
              </w:rPr>
              <w:t>98,3</w:t>
            </w:r>
          </w:p>
        </w:tc>
      </w:tr>
      <w:tr w:rsidR="00CD6CA8" w:rsidRPr="004272C9" w:rsidTr="00BC3117">
        <w:trPr>
          <w:trHeight w:val="270"/>
        </w:trPr>
        <w:tc>
          <w:tcPr>
            <w:tcW w:w="1949" w:type="dxa"/>
            <w:tcBorders>
              <w:top w:val="nil"/>
              <w:left w:val="single" w:sz="8" w:space="0" w:color="auto"/>
              <w:bottom w:val="single" w:sz="8" w:space="0" w:color="auto"/>
              <w:right w:val="single" w:sz="8" w:space="0" w:color="auto"/>
            </w:tcBorders>
            <w:shd w:val="clear" w:color="auto" w:fill="auto"/>
            <w:noWrap/>
            <w:vAlign w:val="center"/>
            <w:hideMark/>
          </w:tcPr>
          <w:p w:rsidR="00CD6CA8" w:rsidRPr="00CD6CA8" w:rsidRDefault="00CD6CA8" w:rsidP="00BC3117">
            <w:pPr>
              <w:rPr>
                <w:b/>
                <w:bCs/>
                <w:sz w:val="20"/>
                <w:szCs w:val="20"/>
              </w:rPr>
            </w:pPr>
            <w:r w:rsidRPr="00CD6CA8">
              <w:rPr>
                <w:b/>
                <w:bCs/>
                <w:sz w:val="20"/>
                <w:szCs w:val="20"/>
              </w:rPr>
              <w:t xml:space="preserve"> IŠ VISO</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b/>
                <w:bCs/>
                <w:sz w:val="20"/>
                <w:szCs w:val="20"/>
              </w:rPr>
            </w:pPr>
            <w:r w:rsidRPr="00CD6CA8">
              <w:rPr>
                <w:b/>
                <w:bCs/>
                <w:sz w:val="20"/>
                <w:szCs w:val="20"/>
              </w:rPr>
              <w:t>16</w:t>
            </w:r>
            <w:r w:rsidR="00386762">
              <w:rPr>
                <w:b/>
                <w:bCs/>
                <w:sz w:val="20"/>
                <w:szCs w:val="20"/>
              </w:rPr>
              <w:t xml:space="preserve"> </w:t>
            </w:r>
            <w:r w:rsidRPr="00CD6CA8">
              <w:rPr>
                <w:b/>
                <w:bCs/>
                <w:sz w:val="20"/>
                <w:szCs w:val="20"/>
              </w:rPr>
              <w:t>394,7</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b/>
                <w:bCs/>
                <w:sz w:val="20"/>
                <w:szCs w:val="20"/>
              </w:rPr>
            </w:pPr>
            <w:r w:rsidRPr="00CD6CA8">
              <w:rPr>
                <w:b/>
                <w:bCs/>
                <w:sz w:val="20"/>
                <w:szCs w:val="20"/>
              </w:rPr>
              <w:t>2</w:t>
            </w:r>
            <w:r w:rsidR="00386762">
              <w:rPr>
                <w:b/>
                <w:bCs/>
                <w:sz w:val="20"/>
                <w:szCs w:val="20"/>
              </w:rPr>
              <w:t xml:space="preserve"> </w:t>
            </w:r>
            <w:r w:rsidRPr="00CD6CA8">
              <w:rPr>
                <w:b/>
                <w:bCs/>
                <w:sz w:val="20"/>
                <w:szCs w:val="20"/>
              </w:rPr>
              <w:t>238,6</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b/>
                <w:bCs/>
                <w:sz w:val="20"/>
                <w:szCs w:val="20"/>
              </w:rPr>
            </w:pPr>
            <w:r w:rsidRPr="00CD6CA8">
              <w:rPr>
                <w:b/>
                <w:bCs/>
                <w:sz w:val="20"/>
                <w:szCs w:val="20"/>
              </w:rPr>
              <w:t>14</w:t>
            </w:r>
            <w:r w:rsidR="00386762">
              <w:rPr>
                <w:b/>
                <w:bCs/>
                <w:sz w:val="20"/>
                <w:szCs w:val="20"/>
              </w:rPr>
              <w:t xml:space="preserve"> </w:t>
            </w:r>
            <w:r w:rsidRPr="00CD6CA8">
              <w:rPr>
                <w:b/>
                <w:bCs/>
                <w:sz w:val="20"/>
                <w:szCs w:val="20"/>
              </w:rPr>
              <w:t>156,1</w:t>
            </w:r>
          </w:p>
        </w:tc>
        <w:tc>
          <w:tcPr>
            <w:tcW w:w="851" w:type="dxa"/>
            <w:tcBorders>
              <w:top w:val="nil"/>
              <w:left w:val="nil"/>
              <w:bottom w:val="single" w:sz="8" w:space="0" w:color="auto"/>
              <w:right w:val="single" w:sz="8" w:space="0" w:color="auto"/>
            </w:tcBorders>
            <w:shd w:val="clear" w:color="000000" w:fill="FFFFFF"/>
            <w:noWrap/>
            <w:vAlign w:val="center"/>
            <w:hideMark/>
          </w:tcPr>
          <w:p w:rsidR="00CD6CA8" w:rsidRPr="00CD6CA8" w:rsidRDefault="00CD6CA8">
            <w:pPr>
              <w:jc w:val="right"/>
              <w:rPr>
                <w:b/>
                <w:bCs/>
                <w:sz w:val="20"/>
                <w:szCs w:val="20"/>
              </w:rPr>
            </w:pPr>
            <w:r w:rsidRPr="00CD6CA8">
              <w:rPr>
                <w:b/>
                <w:bCs/>
                <w:sz w:val="20"/>
                <w:szCs w:val="20"/>
              </w:rPr>
              <w:t>15</w:t>
            </w:r>
            <w:r w:rsidR="00386762">
              <w:rPr>
                <w:b/>
                <w:bCs/>
                <w:sz w:val="20"/>
                <w:szCs w:val="20"/>
              </w:rPr>
              <w:t> </w:t>
            </w:r>
            <w:r w:rsidRPr="00CD6CA8">
              <w:rPr>
                <w:b/>
                <w:bCs/>
                <w:sz w:val="20"/>
                <w:szCs w:val="20"/>
              </w:rPr>
              <w:t>562</w:t>
            </w:r>
            <w:r w:rsidR="00386762">
              <w:rPr>
                <w:b/>
                <w:bCs/>
                <w:sz w:val="20"/>
                <w:szCs w:val="20"/>
              </w:rPr>
              <w:t>,0</w:t>
            </w:r>
          </w:p>
        </w:tc>
        <w:tc>
          <w:tcPr>
            <w:tcW w:w="850"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b/>
                <w:bCs/>
                <w:sz w:val="20"/>
                <w:szCs w:val="20"/>
              </w:rPr>
            </w:pPr>
            <w:r>
              <w:rPr>
                <w:b/>
                <w:bCs/>
                <w:sz w:val="20"/>
                <w:szCs w:val="20"/>
              </w:rPr>
              <w:t>1</w:t>
            </w:r>
            <w:r w:rsidR="00386762">
              <w:rPr>
                <w:b/>
                <w:bCs/>
                <w:sz w:val="20"/>
                <w:szCs w:val="20"/>
              </w:rPr>
              <w:t xml:space="preserve"> </w:t>
            </w:r>
            <w:r>
              <w:rPr>
                <w:b/>
                <w:bCs/>
                <w:sz w:val="20"/>
                <w:szCs w:val="20"/>
              </w:rPr>
              <w:t>940,2</w:t>
            </w:r>
          </w:p>
        </w:tc>
        <w:tc>
          <w:tcPr>
            <w:tcW w:w="992"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b/>
                <w:bCs/>
                <w:sz w:val="20"/>
                <w:szCs w:val="20"/>
              </w:rPr>
            </w:pPr>
            <w:r>
              <w:rPr>
                <w:b/>
                <w:bCs/>
                <w:sz w:val="20"/>
                <w:szCs w:val="20"/>
              </w:rPr>
              <w:t>13</w:t>
            </w:r>
            <w:r w:rsidR="00386762">
              <w:rPr>
                <w:b/>
                <w:bCs/>
                <w:sz w:val="20"/>
                <w:szCs w:val="20"/>
              </w:rPr>
              <w:t xml:space="preserve"> </w:t>
            </w:r>
            <w:r>
              <w:rPr>
                <w:b/>
                <w:bCs/>
                <w:sz w:val="20"/>
                <w:szCs w:val="20"/>
              </w:rPr>
              <w:t>621,8</w:t>
            </w:r>
          </w:p>
        </w:tc>
        <w:tc>
          <w:tcPr>
            <w:tcW w:w="709"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b/>
                <w:bCs/>
                <w:sz w:val="20"/>
                <w:szCs w:val="20"/>
              </w:rPr>
            </w:pPr>
            <w:r>
              <w:rPr>
                <w:b/>
                <w:bCs/>
                <w:sz w:val="20"/>
                <w:szCs w:val="20"/>
              </w:rPr>
              <w:t>94,9</w:t>
            </w:r>
          </w:p>
        </w:tc>
        <w:tc>
          <w:tcPr>
            <w:tcW w:w="567"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b/>
                <w:bCs/>
                <w:sz w:val="20"/>
                <w:szCs w:val="20"/>
              </w:rPr>
            </w:pPr>
            <w:r>
              <w:rPr>
                <w:b/>
                <w:bCs/>
                <w:sz w:val="20"/>
                <w:szCs w:val="20"/>
              </w:rPr>
              <w:t>86,7</w:t>
            </w:r>
          </w:p>
        </w:tc>
        <w:tc>
          <w:tcPr>
            <w:tcW w:w="941" w:type="dxa"/>
            <w:tcBorders>
              <w:top w:val="nil"/>
              <w:left w:val="nil"/>
              <w:bottom w:val="single" w:sz="8" w:space="0" w:color="auto"/>
              <w:right w:val="single" w:sz="8" w:space="0" w:color="auto"/>
            </w:tcBorders>
            <w:shd w:val="clear" w:color="000000" w:fill="FFFFFF"/>
            <w:noWrap/>
            <w:vAlign w:val="center"/>
            <w:hideMark/>
          </w:tcPr>
          <w:p w:rsidR="00CD6CA8" w:rsidRDefault="00CD6CA8">
            <w:pPr>
              <w:jc w:val="right"/>
              <w:rPr>
                <w:b/>
                <w:bCs/>
                <w:sz w:val="20"/>
                <w:szCs w:val="20"/>
              </w:rPr>
            </w:pPr>
            <w:r>
              <w:rPr>
                <w:b/>
                <w:bCs/>
                <w:sz w:val="20"/>
                <w:szCs w:val="20"/>
              </w:rPr>
              <w:t>96,2</w:t>
            </w:r>
          </w:p>
        </w:tc>
      </w:tr>
    </w:tbl>
    <w:p w:rsidR="00BD3565" w:rsidRPr="00585E0C" w:rsidRDefault="00BD3565" w:rsidP="00BD3565">
      <w:pPr>
        <w:jc w:val="both"/>
        <w:rPr>
          <w:i/>
          <w:color w:val="auto"/>
          <w:sz w:val="20"/>
          <w:szCs w:val="20"/>
        </w:rPr>
      </w:pPr>
      <w:r w:rsidRPr="00585E0C">
        <w:rPr>
          <w:i/>
          <w:color w:val="auto"/>
          <w:sz w:val="20"/>
          <w:szCs w:val="20"/>
        </w:rPr>
        <w:t>Šaltinis –  Finansų ministerija</w:t>
      </w:r>
    </w:p>
    <w:p w:rsidR="00BD3565" w:rsidRPr="004272C9" w:rsidRDefault="00BD3565" w:rsidP="00BD3565">
      <w:pPr>
        <w:jc w:val="both"/>
        <w:rPr>
          <w:i/>
          <w:color w:val="auto"/>
          <w:sz w:val="20"/>
          <w:szCs w:val="20"/>
          <w:highlight w:val="yellow"/>
        </w:rPr>
      </w:pPr>
    </w:p>
    <w:p w:rsidR="00BD3565" w:rsidRPr="00814B76" w:rsidRDefault="00BD3565" w:rsidP="00BD3565">
      <w:pPr>
        <w:ind w:firstLine="567"/>
        <w:jc w:val="both"/>
      </w:pPr>
      <w:r w:rsidRPr="006816BB">
        <w:t>Apibendrinant išlaidas pagal valstybės funkcijas, 20</w:t>
      </w:r>
      <w:r w:rsidR="006816BB" w:rsidRPr="006816BB">
        <w:t>20</w:t>
      </w:r>
      <w:r w:rsidRPr="006816BB">
        <w:t xml:space="preserve"> metais didžiausia ES ir kitos tarptautinės finansinės paramos lėšų dalis – </w:t>
      </w:r>
      <w:r w:rsidRPr="006816BB">
        <w:rPr>
          <w:b/>
        </w:rPr>
        <w:t>1 19</w:t>
      </w:r>
      <w:r w:rsidR="006816BB" w:rsidRPr="006816BB">
        <w:rPr>
          <w:b/>
        </w:rPr>
        <w:t>4</w:t>
      </w:r>
      <w:r w:rsidRPr="006816BB">
        <w:rPr>
          <w:b/>
        </w:rPr>
        <w:t>,</w:t>
      </w:r>
      <w:r w:rsidR="006816BB" w:rsidRPr="006816BB">
        <w:rPr>
          <w:b/>
        </w:rPr>
        <w:t>0</w:t>
      </w:r>
      <w:r w:rsidRPr="006816BB">
        <w:rPr>
          <w:b/>
        </w:rPr>
        <w:t xml:space="preserve"> mln. eurų (6</w:t>
      </w:r>
      <w:r w:rsidR="006816BB" w:rsidRPr="006816BB">
        <w:rPr>
          <w:b/>
        </w:rPr>
        <w:t>1</w:t>
      </w:r>
      <w:r w:rsidRPr="006816BB">
        <w:rPr>
          <w:b/>
        </w:rPr>
        <w:t>,</w:t>
      </w:r>
      <w:r w:rsidR="006816BB" w:rsidRPr="006816BB">
        <w:rPr>
          <w:b/>
        </w:rPr>
        <w:t>5</w:t>
      </w:r>
      <w:r w:rsidRPr="006816BB">
        <w:rPr>
          <w:b/>
        </w:rPr>
        <w:t xml:space="preserve"> proc.)</w:t>
      </w:r>
      <w:r w:rsidRPr="006816BB">
        <w:t xml:space="preserve"> </w:t>
      </w:r>
      <w:r w:rsidRPr="00814B76">
        <w:t>panaudota ekonomikai. ES lėšomis remiamoms programoms ir projektams, susijusiems su</w:t>
      </w:r>
      <w:r w:rsidR="00814B76" w:rsidRPr="00814B76">
        <w:t xml:space="preserve"> švietimu </w:t>
      </w:r>
      <w:r w:rsidRPr="00814B76">
        <w:t xml:space="preserve">– </w:t>
      </w:r>
      <w:r w:rsidR="00814B76" w:rsidRPr="00814B76">
        <w:t>9</w:t>
      </w:r>
      <w:r w:rsidRPr="00814B76">
        <w:t>,</w:t>
      </w:r>
      <w:r w:rsidR="00814B76" w:rsidRPr="00814B76">
        <w:t>4</w:t>
      </w:r>
      <w:r w:rsidRPr="00814B76">
        <w:t xml:space="preserve"> proc., </w:t>
      </w:r>
      <w:r w:rsidR="00814B76" w:rsidRPr="00814B76">
        <w:t xml:space="preserve">viešajai tvarkai ir visuomenės apsaugai </w:t>
      </w:r>
      <w:r w:rsidRPr="00814B76">
        <w:t>panaudota – 8,</w:t>
      </w:r>
      <w:r w:rsidR="00814B76" w:rsidRPr="00814B76">
        <w:t>5</w:t>
      </w:r>
      <w:r w:rsidRPr="00814B76">
        <w:t xml:space="preserve"> proc</w:t>
      </w:r>
      <w:r w:rsidR="00814B76" w:rsidRPr="00814B76">
        <w:t xml:space="preserve">., socialinei apsaugai </w:t>
      </w:r>
      <w:r w:rsidRPr="00814B76">
        <w:t xml:space="preserve">– </w:t>
      </w:r>
      <w:r w:rsidR="00814B76" w:rsidRPr="00814B76">
        <w:t>6</w:t>
      </w:r>
      <w:r w:rsidRPr="00814B76">
        <w:t>,</w:t>
      </w:r>
      <w:r w:rsidR="00814B76" w:rsidRPr="00814B76">
        <w:t>6</w:t>
      </w:r>
      <w:r w:rsidRPr="00814B76">
        <w:t> proc.</w:t>
      </w:r>
      <w:r w:rsidR="00814B76" w:rsidRPr="00814B76">
        <w:t xml:space="preserve">, aplinkos apsaugai </w:t>
      </w:r>
      <w:r w:rsidRPr="00814B76">
        <w:t xml:space="preserve">– </w:t>
      </w:r>
      <w:r w:rsidR="00E57B6A">
        <w:t>5</w:t>
      </w:r>
      <w:r w:rsidRPr="00814B76">
        <w:t>,</w:t>
      </w:r>
      <w:r w:rsidR="00E57B6A">
        <w:t>8</w:t>
      </w:r>
      <w:r w:rsidRPr="00814B76">
        <w:t xml:space="preserve"> proc. visų ES ir kitos tarptautinės finansinės paramos lėšų. </w:t>
      </w:r>
    </w:p>
    <w:p w:rsidR="00BD3565" w:rsidRPr="009E7929" w:rsidRDefault="00BD3565" w:rsidP="00BD3565">
      <w:pPr>
        <w:tabs>
          <w:tab w:val="left" w:pos="851"/>
        </w:tabs>
        <w:autoSpaceDE w:val="0"/>
        <w:autoSpaceDN w:val="0"/>
        <w:adjustRightInd w:val="0"/>
        <w:ind w:firstLine="567"/>
        <w:jc w:val="both"/>
        <w:rPr>
          <w:color w:val="auto"/>
        </w:rPr>
      </w:pPr>
      <w:r w:rsidRPr="003C01EE">
        <w:rPr>
          <w:color w:val="auto"/>
        </w:rPr>
        <w:t xml:space="preserve">Apibendrinant asignavimų valdytojų pateiktus duomenis apie įgyvendinant iš ES ir (arba) kitos tarptautinės finansinės paramos lėšų bendrai finansuojamus projektus padarytas išlaidas, atsiradusias iš valstybės biudžeto lėšų apmokėjus neplanuotas, pripažintas netinkamomis (toliau – netinkamos) finansuoti ES ir (arba) kitos tarptautinės finansinės paramos lėšomis išlaidas, bendra netinkamų finansuoti išlaidų suma, kuri buvo apmokėta iš ES ir (arba) kitos tarptautinės finansinės paramos lėšų, bet vėliau padengta iš valstybės biudžeto lėšų, </w:t>
      </w:r>
      <w:r w:rsidRPr="009E7929">
        <w:rPr>
          <w:color w:val="auto"/>
        </w:rPr>
        <w:t xml:space="preserve">buvo </w:t>
      </w:r>
      <w:r w:rsidRPr="009E7929">
        <w:rPr>
          <w:b/>
          <w:color w:val="auto"/>
        </w:rPr>
        <w:t>1</w:t>
      </w:r>
      <w:r w:rsidR="009E7929" w:rsidRPr="009E7929">
        <w:rPr>
          <w:b/>
          <w:color w:val="auto"/>
        </w:rPr>
        <w:t>0</w:t>
      </w:r>
      <w:r w:rsidRPr="009E7929">
        <w:rPr>
          <w:b/>
          <w:color w:val="auto"/>
        </w:rPr>
        <w:t>,</w:t>
      </w:r>
      <w:r w:rsidR="009E7929" w:rsidRPr="009E7929">
        <w:rPr>
          <w:b/>
          <w:color w:val="auto"/>
        </w:rPr>
        <w:t>86</w:t>
      </w:r>
      <w:r w:rsidRPr="009E7929">
        <w:rPr>
          <w:b/>
          <w:color w:val="auto"/>
        </w:rPr>
        <w:t xml:space="preserve"> mln. eurų</w:t>
      </w:r>
      <w:r w:rsidRPr="009E7929">
        <w:rPr>
          <w:color w:val="auto"/>
        </w:rPr>
        <w:t xml:space="preserve">. Bendra netinkamų finansuoti išlaidų suma, kuri buvo apmokėta iš bendrojo finansavimo lėšų, bet vėliau </w:t>
      </w:r>
      <w:r w:rsidRPr="009E7929">
        <w:rPr>
          <w:color w:val="auto"/>
        </w:rPr>
        <w:lastRenderedPageBreak/>
        <w:t xml:space="preserve">padengta iš valstybės biudžeto lėšų, buvo </w:t>
      </w:r>
      <w:r w:rsidRPr="009E7929">
        <w:rPr>
          <w:b/>
          <w:color w:val="auto"/>
        </w:rPr>
        <w:t>0,</w:t>
      </w:r>
      <w:r w:rsidR="009E7929" w:rsidRPr="009E7929">
        <w:rPr>
          <w:b/>
          <w:color w:val="auto"/>
        </w:rPr>
        <w:t>05</w:t>
      </w:r>
      <w:r w:rsidRPr="009E7929">
        <w:rPr>
          <w:b/>
          <w:color w:val="auto"/>
        </w:rPr>
        <w:t xml:space="preserve"> mln. eurų</w:t>
      </w:r>
      <w:r w:rsidRPr="009E7929">
        <w:rPr>
          <w:color w:val="auto"/>
        </w:rPr>
        <w:t xml:space="preserve">. Netinkamų finansuoti išlaidų suma apmokėta iš karto iš valstybės biudžeto lėšų sudarė </w:t>
      </w:r>
      <w:r w:rsidRPr="009E7929">
        <w:rPr>
          <w:b/>
          <w:color w:val="auto"/>
        </w:rPr>
        <w:t>0,</w:t>
      </w:r>
      <w:r w:rsidR="009E7929" w:rsidRPr="009E7929">
        <w:rPr>
          <w:b/>
          <w:color w:val="auto"/>
        </w:rPr>
        <w:t>55</w:t>
      </w:r>
      <w:r w:rsidRPr="009E7929">
        <w:rPr>
          <w:b/>
          <w:color w:val="auto"/>
        </w:rPr>
        <w:t xml:space="preserve"> mln. eurų</w:t>
      </w:r>
      <w:r w:rsidRPr="009E7929">
        <w:rPr>
          <w:color w:val="auto"/>
        </w:rPr>
        <w:t>.</w:t>
      </w:r>
    </w:p>
    <w:p w:rsidR="00BD3565" w:rsidRDefault="00BD3565" w:rsidP="00BD3565">
      <w:pPr>
        <w:ind w:firstLine="567"/>
        <w:jc w:val="both"/>
        <w:rPr>
          <w:color w:val="auto"/>
          <w:highlight w:val="yellow"/>
        </w:rPr>
      </w:pPr>
    </w:p>
    <w:p w:rsidR="00053A34" w:rsidRPr="004272C9" w:rsidRDefault="00053A34" w:rsidP="00BD3565">
      <w:pPr>
        <w:ind w:firstLine="567"/>
        <w:jc w:val="both"/>
        <w:rPr>
          <w:color w:val="auto"/>
          <w:highlight w:val="yellow"/>
        </w:rPr>
      </w:pPr>
    </w:p>
    <w:p w:rsidR="00BD3565" w:rsidRPr="00A33D81" w:rsidRDefault="00BD3565" w:rsidP="00BD3565">
      <w:pPr>
        <w:pStyle w:val="Antrat33"/>
        <w:spacing w:line="240" w:lineRule="auto"/>
        <w:ind w:right="0"/>
        <w:rPr>
          <w:color w:val="auto"/>
          <w:sz w:val="26"/>
          <w:szCs w:val="26"/>
        </w:rPr>
      </w:pPr>
      <w:r w:rsidRPr="00A33D81">
        <w:rPr>
          <w:color w:val="auto"/>
          <w:sz w:val="26"/>
          <w:szCs w:val="26"/>
        </w:rPr>
        <w:t>Biudžetinių įstaigų pajamų įmokomis ir tikslinės paskirties lėšomis finansuojamų programų vykdymas</w:t>
      </w:r>
    </w:p>
    <w:p w:rsidR="00BD3565" w:rsidRPr="00A33D81" w:rsidRDefault="00BD3565" w:rsidP="00BD3565">
      <w:pPr>
        <w:ind w:firstLine="567"/>
        <w:jc w:val="both"/>
        <w:rPr>
          <w:color w:val="auto"/>
        </w:rPr>
      </w:pPr>
    </w:p>
    <w:p w:rsidR="006472E8" w:rsidRPr="006472E8" w:rsidRDefault="006472E8" w:rsidP="006472E8">
      <w:pPr>
        <w:tabs>
          <w:tab w:val="left" w:pos="851"/>
        </w:tabs>
        <w:autoSpaceDE w:val="0"/>
        <w:autoSpaceDN w:val="0"/>
        <w:adjustRightInd w:val="0"/>
        <w:ind w:firstLine="567"/>
        <w:jc w:val="both"/>
        <w:rPr>
          <w:color w:val="auto"/>
        </w:rPr>
      </w:pPr>
      <w:r w:rsidRPr="006472E8">
        <w:rPr>
          <w:color w:val="auto"/>
        </w:rPr>
        <w:t>2020 metais planuota</w:t>
      </w:r>
      <w:r w:rsidRPr="006472E8">
        <w:rPr>
          <w:b/>
          <w:color w:val="auto"/>
        </w:rPr>
        <w:t xml:space="preserve"> 900,2 mln. eurų</w:t>
      </w:r>
      <w:r w:rsidRPr="006472E8">
        <w:rPr>
          <w:color w:val="auto"/>
        </w:rPr>
        <w:t xml:space="preserve"> biudžetinių įstaigų pajamų įmokų į valstybės biudžetą ir valstybės biudžeto pajamų iš mokesčių dalies ir kitas įstatymais, nutarimais ir kitais teisės aktais numatytų lėšų, skiriamų asignavimų valdytojų programoms finansuoti. Faktiškai į valstybės biudžetą tokių lėšų įmokėta</w:t>
      </w:r>
      <w:r w:rsidRPr="006472E8">
        <w:rPr>
          <w:b/>
          <w:color w:val="auto"/>
        </w:rPr>
        <w:t xml:space="preserve"> 846,7 mln. eurų</w:t>
      </w:r>
      <w:r w:rsidRPr="006472E8">
        <w:rPr>
          <w:color w:val="auto"/>
        </w:rPr>
        <w:t>.</w:t>
      </w:r>
    </w:p>
    <w:p w:rsidR="006472E8" w:rsidRPr="006472E8" w:rsidRDefault="006472E8" w:rsidP="006472E8">
      <w:pPr>
        <w:tabs>
          <w:tab w:val="left" w:pos="851"/>
        </w:tabs>
        <w:autoSpaceDE w:val="0"/>
        <w:autoSpaceDN w:val="0"/>
        <w:adjustRightInd w:val="0"/>
        <w:ind w:firstLine="567"/>
        <w:jc w:val="both"/>
        <w:rPr>
          <w:color w:val="auto"/>
        </w:rPr>
      </w:pPr>
      <w:r w:rsidRPr="006472E8">
        <w:rPr>
          <w:color w:val="auto"/>
        </w:rPr>
        <w:t xml:space="preserve">Biudžetinės įstaigos pajamų įmokų ataskaitiniais metais į valstybės biudžetą įmokėjo 94,6 mln. eurų, iš kurių 4,8 mln. eurų yra pajamos už patalpų ir turto nuomą ir 89,8 mln. eurų pajamų įmokų už teikiamas paslaugas, kurios skiriamos įstaigų vykdomoms programoms finansuoti. </w:t>
      </w:r>
    </w:p>
    <w:p w:rsidR="006472E8" w:rsidRPr="006472E8" w:rsidRDefault="006472E8" w:rsidP="006472E8">
      <w:pPr>
        <w:ind w:firstLine="567"/>
        <w:jc w:val="both"/>
        <w:rPr>
          <w:color w:val="auto"/>
        </w:rPr>
      </w:pPr>
      <w:r w:rsidRPr="006472E8">
        <w:rPr>
          <w:color w:val="auto"/>
        </w:rPr>
        <w:t>2020 metais į valstybės biudžetą buvo gauta</w:t>
      </w:r>
      <w:r w:rsidRPr="006472E8">
        <w:rPr>
          <w:b/>
          <w:color w:val="auto"/>
        </w:rPr>
        <w:t xml:space="preserve"> 752,1 mln. eurų</w:t>
      </w:r>
      <w:r w:rsidRPr="006472E8">
        <w:rPr>
          <w:color w:val="auto"/>
        </w:rPr>
        <w:t xml:space="preserve"> pajamų iš mokesčių dalies ir kitų lėšų, kurios įstatymais, nutarimais ir kitais teisės aktais yra skiriamos programoms finansuoti.</w:t>
      </w:r>
    </w:p>
    <w:p w:rsidR="006472E8" w:rsidRPr="006472E8" w:rsidRDefault="006472E8" w:rsidP="006472E8">
      <w:pPr>
        <w:ind w:firstLine="567"/>
        <w:jc w:val="both"/>
        <w:rPr>
          <w:color w:val="FF0000"/>
        </w:rPr>
      </w:pPr>
      <w:r w:rsidRPr="006472E8">
        <w:rPr>
          <w:color w:val="auto"/>
        </w:rPr>
        <w:t>Didžiąją minėtų lėšų dalį sudaro Kelių priežiūros ir plėtros programos lėšos, kurių 2020 metais buvo gauta</w:t>
      </w:r>
      <w:r w:rsidRPr="006472E8">
        <w:rPr>
          <w:b/>
          <w:color w:val="auto"/>
        </w:rPr>
        <w:t xml:space="preserve"> 504,4 mln. eurų</w:t>
      </w:r>
      <w:r w:rsidRPr="006472E8">
        <w:rPr>
          <w:color w:val="auto"/>
        </w:rPr>
        <w:t xml:space="preserve"> pagal Kelių priežiūros ir plėtros programos finansavimo įstatymą.</w:t>
      </w:r>
      <w:r w:rsidRPr="006472E8">
        <w:rPr>
          <w:rStyle w:val="Puslapioinaosnuoroda"/>
          <w:color w:val="auto"/>
        </w:rPr>
        <w:footnoteReference w:id="14"/>
      </w:r>
      <w:r w:rsidRPr="006472E8">
        <w:rPr>
          <w:color w:val="auto"/>
        </w:rPr>
        <w:t xml:space="preserve"> Lietuvos automobilių kelių direkcijos vykdomai Kelių priežiūros ir plėtros programai finansuoti skiriama 50 procentų akcizų pajamų gautų už realizuotą benziną, dyzelinius degalus, ir energinius produktus, skirtus naudoti kaip variklių degalai bei suskystintas dujas, skirtas automobiliams (429,7 mln. eurų), transporto priemonių mokesčiai (20,8 mln. eurų), kelių naudotojo mokestis (52,5 mln. eurų), mokestis už eismo ribojimą (0,2 mln. eurų) ir baudos už nustatyto greičio viršijimą, užfiksuotą stacionariąja Kelių eismo taisyklių pažeidimų fiksavimo įranga (1,3 mln. eurų). Kelių priežiūros ir plėtros programai finansuoti 20</w:t>
      </w:r>
      <w:r w:rsidR="00284634">
        <w:rPr>
          <w:color w:val="auto"/>
        </w:rPr>
        <w:t>20</w:t>
      </w:r>
      <w:r w:rsidRPr="006472E8">
        <w:rPr>
          <w:color w:val="auto"/>
        </w:rPr>
        <w:t xml:space="preserve"> metais panaudota</w:t>
      </w:r>
      <w:r w:rsidRPr="006472E8">
        <w:rPr>
          <w:b/>
          <w:color w:val="auto"/>
        </w:rPr>
        <w:t xml:space="preserve"> 565,8 mln. eurų</w:t>
      </w:r>
      <w:r w:rsidRPr="006472E8">
        <w:rPr>
          <w:color w:val="auto"/>
        </w:rPr>
        <w:t xml:space="preserve">. </w:t>
      </w:r>
    </w:p>
    <w:p w:rsidR="006472E8" w:rsidRPr="006472E8" w:rsidRDefault="006472E8" w:rsidP="006472E8">
      <w:pPr>
        <w:ind w:firstLine="567"/>
        <w:jc w:val="both"/>
        <w:rPr>
          <w:color w:val="auto"/>
        </w:rPr>
      </w:pPr>
      <w:r w:rsidRPr="006472E8">
        <w:rPr>
          <w:color w:val="auto"/>
        </w:rPr>
        <w:t>Vyriausybės nustatyta dalis praėjusių metų faktinių įplaukų iš akcizų pajamų už parduotus alkoholinius gėrimus ir apdorotą tabaką bei iš loterijų ir azartinių lošimų mokesčio yra skiriama Kultūros rėmimo</w:t>
      </w:r>
      <w:r w:rsidRPr="006472E8">
        <w:rPr>
          <w:rStyle w:val="Puslapioinaosnuoroda"/>
          <w:color w:val="auto"/>
        </w:rPr>
        <w:footnoteReference w:id="15"/>
      </w:r>
      <w:r w:rsidRPr="006472E8">
        <w:rPr>
          <w:color w:val="auto"/>
        </w:rPr>
        <w:t>, Sporto rėmimo</w:t>
      </w:r>
      <w:r w:rsidRPr="006472E8">
        <w:rPr>
          <w:rStyle w:val="Puslapioinaosnuoroda"/>
          <w:color w:val="auto"/>
        </w:rPr>
        <w:footnoteReference w:id="16"/>
      </w:r>
      <w:r w:rsidRPr="006472E8">
        <w:rPr>
          <w:color w:val="auto"/>
        </w:rPr>
        <w:t xml:space="preserve"> ir Valstybiniam visuomenės sveikatos stiprinimo fondams</w:t>
      </w:r>
      <w:r w:rsidRPr="006472E8">
        <w:rPr>
          <w:rStyle w:val="Puslapioinaosnuoroda"/>
          <w:color w:val="auto"/>
        </w:rPr>
        <w:footnoteReference w:id="17"/>
      </w:r>
      <w:r w:rsidRPr="006472E8">
        <w:rPr>
          <w:color w:val="auto"/>
        </w:rPr>
        <w:t xml:space="preserve">. 2020 metais Kultūros rėmimo fondui planuota 20,7 mln. eurų asignavimų, panaudota – 16,9 mln. eurų. Sveikatos apsaugos ministerijos administruojamam Valstybiniam visuomenės sveikatos stiprinimo fondui iš 3,2 mln. eurų suplanuotų lėšų panaudota 2,6 mln. eurų. </w:t>
      </w:r>
    </w:p>
    <w:p w:rsidR="006472E8" w:rsidRPr="006472E8" w:rsidRDefault="006472E8" w:rsidP="006472E8">
      <w:pPr>
        <w:ind w:firstLine="567"/>
        <w:jc w:val="both"/>
        <w:rPr>
          <w:color w:val="auto"/>
        </w:rPr>
      </w:pPr>
      <w:r w:rsidRPr="006472E8">
        <w:rPr>
          <w:color w:val="auto"/>
        </w:rPr>
        <w:t>Aplinkos ministerijos vykdomoms programoms finansuoti gauta 86,6 mln. eurų iš nustatytos šiltnamio efektą sukeliančių dujų normos vienetų įsigijimo ir perleidimo sandorių, už aukcione parduotus apyvartinius taršos leidimus ir kitų Klimato kaitos valdymo finansinių instrumentų įstatyme</w:t>
      </w:r>
      <w:r w:rsidRPr="006472E8">
        <w:rPr>
          <w:rStyle w:val="Puslapioinaosnuoroda"/>
          <w:color w:val="auto"/>
        </w:rPr>
        <w:footnoteReference w:id="18"/>
      </w:r>
      <w:r w:rsidRPr="006472E8">
        <w:rPr>
          <w:color w:val="auto"/>
        </w:rPr>
        <w:t xml:space="preserve"> numatytų lėšų. 2020 m. 12,3 mln. eurų įmokėta iš mokesčių už aplinkos teršimą gaminių ar pakuotės atliekomis ir baudų už aplinkos teršimą, 12,6 mln. eurų –  atskaitymų nuo pajamų pagal Miškų</w:t>
      </w:r>
      <w:r w:rsidRPr="006472E8">
        <w:rPr>
          <w:color w:val="FF0000"/>
        </w:rPr>
        <w:t xml:space="preserve"> </w:t>
      </w:r>
      <w:r w:rsidRPr="006472E8">
        <w:rPr>
          <w:color w:val="auto"/>
        </w:rPr>
        <w:t>įstatymą. Iš viso ataskaitiniais metais įmokos nuo pajamų iš mokesčių bei kitos lėšos, skiriamos Aplinkos ministerijos vykdomoms programoms, sudaro 119,9 mln. eurų, o išlaidos – 60,2 mln. eurų.</w:t>
      </w:r>
    </w:p>
    <w:p w:rsidR="006472E8" w:rsidRPr="006472E8" w:rsidRDefault="006472E8" w:rsidP="006472E8">
      <w:pPr>
        <w:ind w:firstLine="567"/>
        <w:jc w:val="both"/>
        <w:rPr>
          <w:color w:val="auto"/>
        </w:rPr>
      </w:pPr>
      <w:r w:rsidRPr="006472E8">
        <w:rPr>
          <w:color w:val="auto"/>
        </w:rPr>
        <w:t xml:space="preserve">Socialinės apsaugos ir darbo ministerijos įmokos iš asmenų grąžintų paskolų, kurios buvo suteiktos per akcines bendroves Lietuvos žemės ūkio banką ir Lietuvos taupomąjį banką gyvenamųjų namų, butų statybai arba pirkimui kredituoti lengvatinėmis sąlygomis, kaip kredito išteklius panaudojus Lietuvos </w:t>
      </w:r>
      <w:r w:rsidR="008A23C5">
        <w:rPr>
          <w:color w:val="auto"/>
        </w:rPr>
        <w:t>B</w:t>
      </w:r>
      <w:r w:rsidRPr="006472E8">
        <w:rPr>
          <w:color w:val="auto"/>
        </w:rPr>
        <w:t>anko 1992 metais padarytos kredito emisijos dalį, sudarė 0,8 mln. eurų.</w:t>
      </w:r>
    </w:p>
    <w:p w:rsidR="006472E8" w:rsidRPr="006472E8" w:rsidRDefault="006472E8" w:rsidP="006472E8">
      <w:pPr>
        <w:ind w:firstLine="567"/>
        <w:jc w:val="both"/>
        <w:rPr>
          <w:color w:val="auto"/>
        </w:rPr>
      </w:pPr>
      <w:r w:rsidRPr="006472E8">
        <w:rPr>
          <w:color w:val="auto"/>
        </w:rPr>
        <w:lastRenderedPageBreak/>
        <w:t>Finansų ministerijos valdomam Rezerviniam (stabilizavimo) fondui, vadovaujantis šio fondo nuostatais</w:t>
      </w:r>
      <w:r w:rsidRPr="006472E8">
        <w:rPr>
          <w:rStyle w:val="Puslapioinaosnuoroda"/>
          <w:color w:val="auto"/>
        </w:rPr>
        <w:footnoteReference w:id="19"/>
      </w:r>
      <w:r w:rsidRPr="006472E8">
        <w:rPr>
          <w:color w:val="auto"/>
        </w:rPr>
        <w:t xml:space="preserve"> ir Rezervinio (stabilizavimo) fondo lėšų valdymo tvarkos aprašu</w:t>
      </w:r>
      <w:r w:rsidRPr="006472E8">
        <w:rPr>
          <w:rStyle w:val="Puslapioinaosnuoroda"/>
          <w:color w:val="auto"/>
        </w:rPr>
        <w:footnoteReference w:id="20"/>
      </w:r>
      <w:r w:rsidRPr="006472E8">
        <w:rPr>
          <w:color w:val="auto"/>
        </w:rPr>
        <w:t>, 2020 metais priskaičiuota pervesti 80,7 mln. eurų.</w:t>
      </w:r>
    </w:p>
    <w:p w:rsidR="006472E8" w:rsidRPr="006472E8" w:rsidRDefault="006472E8" w:rsidP="006472E8">
      <w:pPr>
        <w:ind w:firstLine="567"/>
        <w:jc w:val="both"/>
        <w:rPr>
          <w:color w:val="auto"/>
        </w:rPr>
      </w:pPr>
      <w:r w:rsidRPr="006472E8">
        <w:rPr>
          <w:color w:val="auto"/>
        </w:rPr>
        <w:t>Pagal Vyriausybės nutarimu</w:t>
      </w:r>
      <w:r w:rsidRPr="006472E8">
        <w:rPr>
          <w:rStyle w:val="Puslapioinaosnuoroda"/>
          <w:color w:val="auto"/>
        </w:rPr>
        <w:footnoteReference w:id="21"/>
      </w:r>
      <w:r w:rsidRPr="006472E8">
        <w:rPr>
          <w:color w:val="auto"/>
        </w:rPr>
        <w:t xml:space="preserve"> patvirtintą Įgyvendinant finansų inžinerijos priemonių grįžusių ir grįšiančių lėšų panaudojimo tvarkos aprašą ir finansų ministro įsakymu</w:t>
      </w:r>
      <w:r w:rsidRPr="006472E8">
        <w:rPr>
          <w:rStyle w:val="Puslapioinaosnuoroda"/>
          <w:color w:val="auto"/>
        </w:rPr>
        <w:footnoteReference w:id="22"/>
      </w:r>
      <w:r w:rsidRPr="006472E8">
        <w:rPr>
          <w:color w:val="auto"/>
        </w:rPr>
        <w:t xml:space="preserve"> patvirtintas Palūkanų, sukauptų įgyvendinant finansines priemones, įskaitymo į valstybės biudžetą taisykles, visos palūkanos, sukauptos ir gautos nuo grįžusių lėšų, ir kitos kontroliuojančiųjų fondų ir tiesiogiai įgyvendinamų finansinių priemonių grįžusių lėšų pajamos įskaitomos į valstybės biudžetą, priskiriamos prie palūkanų už depozitus ekonominės klasifikacijos straipsnio, prilyginamos teisėtai gautoms lėšoms ir skiriamos atitinkamai programai finansuoti. Socialinės apsaugos ir darbo ministerijos, Aplinkos ministerijos, Ekonomikos ir inovacijų ministerijos, Susisiekimo ministerijos ir Žemės ūkio ministerijos programoms finansuoti skirta 4,5 mln. eurų palūkanų, sukauptų įgyvendinant finansines priemones. </w:t>
      </w:r>
    </w:p>
    <w:p w:rsidR="00BD3565" w:rsidRPr="00636C13" w:rsidRDefault="00BD3565" w:rsidP="00BD3565">
      <w:pPr>
        <w:pStyle w:val="Pagrindiniotekstotrauka"/>
        <w:spacing w:after="0"/>
        <w:ind w:left="0"/>
        <w:jc w:val="both"/>
        <w:rPr>
          <w:b/>
          <w:color w:val="auto"/>
        </w:rPr>
      </w:pPr>
    </w:p>
    <w:p w:rsidR="00BD3565" w:rsidRPr="00636C13" w:rsidRDefault="00BD3565" w:rsidP="00BD3565">
      <w:pPr>
        <w:pStyle w:val="Pagrindiniotekstotrauka"/>
        <w:spacing w:after="0"/>
        <w:ind w:left="0"/>
        <w:jc w:val="both"/>
        <w:rPr>
          <w:color w:val="auto"/>
        </w:rPr>
      </w:pPr>
      <w:r w:rsidRPr="00636C13">
        <w:rPr>
          <w:b/>
          <w:color w:val="auto"/>
        </w:rPr>
        <w:t>1</w:t>
      </w:r>
      <w:r w:rsidR="00A96843">
        <w:rPr>
          <w:b/>
          <w:color w:val="auto"/>
        </w:rPr>
        <w:t>4</w:t>
      </w:r>
      <w:r w:rsidRPr="00636C13">
        <w:rPr>
          <w:b/>
          <w:color w:val="auto"/>
        </w:rPr>
        <w:t xml:space="preserve"> lentelė</w:t>
      </w:r>
      <w:r w:rsidRPr="00636C13">
        <w:rPr>
          <w:color w:val="auto"/>
        </w:rPr>
        <w:t>. Perkeltos viršplaninės ir nepanaudotos įmokos į valstybės biudžetą, skiriamos programoms finansuoti, mln. eurų</w:t>
      </w:r>
    </w:p>
    <w:tbl>
      <w:tblPr>
        <w:tblW w:w="9506" w:type="dxa"/>
        <w:jc w:val="center"/>
        <w:tblLayout w:type="fixed"/>
        <w:tblCellMar>
          <w:left w:w="57" w:type="dxa"/>
          <w:right w:w="51" w:type="dxa"/>
        </w:tblCellMar>
        <w:tblLook w:val="04A0" w:firstRow="1" w:lastRow="0" w:firstColumn="1" w:lastColumn="0" w:noHBand="0" w:noVBand="1"/>
      </w:tblPr>
      <w:tblGrid>
        <w:gridCol w:w="3519"/>
        <w:gridCol w:w="1573"/>
        <w:gridCol w:w="1559"/>
        <w:gridCol w:w="1353"/>
        <w:gridCol w:w="1502"/>
      </w:tblGrid>
      <w:tr w:rsidR="006472E8" w:rsidRPr="004272C9" w:rsidTr="00BC3117">
        <w:trPr>
          <w:trHeight w:val="1273"/>
          <w:jc w:val="center"/>
        </w:trPr>
        <w:tc>
          <w:tcPr>
            <w:tcW w:w="35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472E8" w:rsidRPr="006472E8" w:rsidRDefault="006472E8" w:rsidP="00A35E2D">
            <w:pPr>
              <w:ind w:firstLine="709"/>
              <w:jc w:val="center"/>
              <w:rPr>
                <w:b/>
                <w:color w:val="auto"/>
                <w:sz w:val="20"/>
                <w:szCs w:val="20"/>
              </w:rPr>
            </w:pPr>
          </w:p>
        </w:tc>
        <w:tc>
          <w:tcPr>
            <w:tcW w:w="1573" w:type="dxa"/>
            <w:tcBorders>
              <w:top w:val="single" w:sz="4" w:space="0" w:color="auto"/>
              <w:left w:val="nil"/>
              <w:bottom w:val="single" w:sz="4" w:space="0" w:color="auto"/>
              <w:right w:val="single" w:sz="4" w:space="0" w:color="auto"/>
            </w:tcBorders>
            <w:shd w:val="clear" w:color="auto" w:fill="auto"/>
            <w:vAlign w:val="center"/>
          </w:tcPr>
          <w:p w:rsidR="006472E8" w:rsidRPr="006472E8" w:rsidRDefault="006472E8" w:rsidP="00A35E2D">
            <w:pPr>
              <w:jc w:val="center"/>
              <w:rPr>
                <w:b/>
                <w:color w:val="auto"/>
                <w:sz w:val="20"/>
                <w:szCs w:val="20"/>
              </w:rPr>
            </w:pPr>
            <w:r w:rsidRPr="006472E8">
              <w:rPr>
                <w:b/>
                <w:color w:val="auto"/>
                <w:sz w:val="20"/>
                <w:szCs w:val="20"/>
              </w:rPr>
              <w:t>Nepanaudotas lėšų likutis 2019-12-31 perkeltas į   2020 m.</w:t>
            </w:r>
          </w:p>
        </w:tc>
        <w:tc>
          <w:tcPr>
            <w:tcW w:w="1559" w:type="dxa"/>
            <w:tcBorders>
              <w:top w:val="single" w:sz="4" w:space="0" w:color="auto"/>
              <w:left w:val="nil"/>
              <w:bottom w:val="single" w:sz="4" w:space="0" w:color="auto"/>
              <w:right w:val="single" w:sz="4" w:space="0" w:color="auto"/>
            </w:tcBorders>
            <w:shd w:val="clear" w:color="auto" w:fill="auto"/>
            <w:vAlign w:val="center"/>
          </w:tcPr>
          <w:p w:rsidR="006472E8" w:rsidRPr="006472E8" w:rsidRDefault="006472E8" w:rsidP="00A35E2D">
            <w:pPr>
              <w:jc w:val="center"/>
              <w:rPr>
                <w:b/>
                <w:color w:val="auto"/>
                <w:sz w:val="20"/>
                <w:szCs w:val="20"/>
              </w:rPr>
            </w:pPr>
            <w:r w:rsidRPr="006472E8">
              <w:rPr>
                <w:b/>
                <w:color w:val="auto"/>
                <w:sz w:val="20"/>
                <w:szCs w:val="20"/>
              </w:rPr>
              <w:t>Pajamų įmokos arba planuoti asignavimai konkrečiam tikslui</w:t>
            </w:r>
          </w:p>
        </w:tc>
        <w:tc>
          <w:tcPr>
            <w:tcW w:w="1353" w:type="dxa"/>
            <w:tcBorders>
              <w:top w:val="single" w:sz="4" w:space="0" w:color="auto"/>
              <w:left w:val="nil"/>
              <w:bottom w:val="single" w:sz="4" w:space="0" w:color="auto"/>
              <w:right w:val="single" w:sz="4" w:space="0" w:color="auto"/>
            </w:tcBorders>
            <w:shd w:val="clear" w:color="auto" w:fill="auto"/>
            <w:vAlign w:val="center"/>
          </w:tcPr>
          <w:p w:rsidR="006472E8" w:rsidRPr="006472E8" w:rsidRDefault="006472E8" w:rsidP="00A35E2D">
            <w:pPr>
              <w:jc w:val="center"/>
              <w:rPr>
                <w:b/>
                <w:color w:val="auto"/>
                <w:sz w:val="20"/>
                <w:szCs w:val="20"/>
              </w:rPr>
            </w:pPr>
            <w:r w:rsidRPr="006472E8">
              <w:rPr>
                <w:b/>
                <w:color w:val="auto"/>
                <w:sz w:val="20"/>
                <w:szCs w:val="20"/>
              </w:rPr>
              <w:t>Panaudoti asignavimai</w:t>
            </w:r>
          </w:p>
        </w:tc>
        <w:tc>
          <w:tcPr>
            <w:tcW w:w="1502" w:type="dxa"/>
            <w:tcBorders>
              <w:top w:val="single" w:sz="4" w:space="0" w:color="auto"/>
              <w:left w:val="nil"/>
              <w:bottom w:val="single" w:sz="4" w:space="0" w:color="auto"/>
              <w:right w:val="single" w:sz="4" w:space="0" w:color="auto"/>
            </w:tcBorders>
            <w:shd w:val="clear" w:color="auto" w:fill="auto"/>
            <w:vAlign w:val="center"/>
          </w:tcPr>
          <w:p w:rsidR="006472E8" w:rsidRPr="006472E8" w:rsidRDefault="006472E8" w:rsidP="00A35E2D">
            <w:pPr>
              <w:jc w:val="center"/>
              <w:rPr>
                <w:b/>
                <w:color w:val="auto"/>
                <w:sz w:val="20"/>
                <w:szCs w:val="20"/>
              </w:rPr>
            </w:pPr>
            <w:r w:rsidRPr="006472E8">
              <w:rPr>
                <w:b/>
                <w:color w:val="auto"/>
                <w:sz w:val="20"/>
                <w:szCs w:val="20"/>
              </w:rPr>
              <w:t>Nepanaudotas lėšų likutis 2020-12-31</w:t>
            </w:r>
          </w:p>
        </w:tc>
      </w:tr>
      <w:tr w:rsidR="006472E8" w:rsidRPr="004272C9" w:rsidTr="00BC3117">
        <w:trPr>
          <w:trHeight w:val="569"/>
          <w:jc w:val="center"/>
        </w:trPr>
        <w:tc>
          <w:tcPr>
            <w:tcW w:w="3519" w:type="dxa"/>
            <w:tcBorders>
              <w:top w:val="nil"/>
              <w:left w:val="single" w:sz="4" w:space="0" w:color="auto"/>
              <w:bottom w:val="single" w:sz="4" w:space="0" w:color="auto"/>
              <w:right w:val="single" w:sz="4" w:space="0" w:color="auto"/>
            </w:tcBorders>
            <w:shd w:val="clear" w:color="auto" w:fill="auto"/>
            <w:noWrap/>
            <w:vAlign w:val="center"/>
          </w:tcPr>
          <w:p w:rsidR="006472E8" w:rsidRPr="006472E8" w:rsidRDefault="006472E8" w:rsidP="00A35E2D">
            <w:pPr>
              <w:ind w:firstLine="10"/>
              <w:rPr>
                <w:bCs/>
                <w:color w:val="auto"/>
                <w:sz w:val="20"/>
                <w:szCs w:val="20"/>
              </w:rPr>
            </w:pPr>
            <w:r w:rsidRPr="006472E8">
              <w:rPr>
                <w:bCs/>
                <w:color w:val="auto"/>
                <w:sz w:val="20"/>
                <w:szCs w:val="20"/>
              </w:rPr>
              <w:t>Programos, kurios finansuojamos iš biudžetinių įstaigų pajamų įmokų</w:t>
            </w:r>
          </w:p>
        </w:tc>
        <w:tc>
          <w:tcPr>
            <w:tcW w:w="1573"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color w:val="auto"/>
                <w:sz w:val="20"/>
                <w:szCs w:val="20"/>
              </w:rPr>
            </w:pPr>
            <w:r w:rsidRPr="006472E8">
              <w:rPr>
                <w:color w:val="auto"/>
                <w:sz w:val="20"/>
                <w:szCs w:val="20"/>
              </w:rPr>
              <w:t>25,2</w:t>
            </w:r>
          </w:p>
        </w:tc>
        <w:tc>
          <w:tcPr>
            <w:tcW w:w="1559"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color w:val="auto"/>
                <w:sz w:val="20"/>
                <w:szCs w:val="20"/>
              </w:rPr>
            </w:pPr>
            <w:r w:rsidRPr="006472E8">
              <w:rPr>
                <w:color w:val="auto"/>
                <w:sz w:val="20"/>
                <w:szCs w:val="20"/>
              </w:rPr>
              <w:t>94,6</w:t>
            </w:r>
          </w:p>
        </w:tc>
        <w:tc>
          <w:tcPr>
            <w:tcW w:w="1353"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color w:val="auto"/>
                <w:sz w:val="20"/>
                <w:szCs w:val="20"/>
              </w:rPr>
            </w:pPr>
            <w:r w:rsidRPr="006472E8">
              <w:rPr>
                <w:color w:val="auto"/>
                <w:sz w:val="20"/>
                <w:szCs w:val="20"/>
              </w:rPr>
              <w:t>93,1</w:t>
            </w:r>
          </w:p>
        </w:tc>
        <w:tc>
          <w:tcPr>
            <w:tcW w:w="1502"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color w:val="auto"/>
                <w:sz w:val="20"/>
                <w:szCs w:val="20"/>
              </w:rPr>
            </w:pPr>
            <w:r w:rsidRPr="006472E8">
              <w:rPr>
                <w:color w:val="auto"/>
                <w:sz w:val="20"/>
                <w:szCs w:val="20"/>
              </w:rPr>
              <w:t>26,7</w:t>
            </w:r>
          </w:p>
        </w:tc>
      </w:tr>
      <w:tr w:rsidR="006472E8" w:rsidRPr="004272C9" w:rsidTr="00BC3117">
        <w:trPr>
          <w:trHeight w:val="549"/>
          <w:jc w:val="center"/>
        </w:trPr>
        <w:tc>
          <w:tcPr>
            <w:tcW w:w="3519" w:type="dxa"/>
            <w:tcBorders>
              <w:top w:val="nil"/>
              <w:left w:val="single" w:sz="4" w:space="0" w:color="auto"/>
              <w:bottom w:val="single" w:sz="4" w:space="0" w:color="auto"/>
              <w:right w:val="single" w:sz="4" w:space="0" w:color="auto"/>
            </w:tcBorders>
            <w:shd w:val="clear" w:color="auto" w:fill="auto"/>
            <w:noWrap/>
            <w:vAlign w:val="center"/>
          </w:tcPr>
          <w:p w:rsidR="006472E8" w:rsidRPr="006472E8" w:rsidRDefault="006472E8" w:rsidP="00A35E2D">
            <w:pPr>
              <w:ind w:firstLine="10"/>
              <w:rPr>
                <w:color w:val="auto"/>
                <w:sz w:val="20"/>
                <w:szCs w:val="20"/>
              </w:rPr>
            </w:pPr>
            <w:r w:rsidRPr="006472E8">
              <w:rPr>
                <w:color w:val="auto"/>
                <w:sz w:val="20"/>
                <w:szCs w:val="20"/>
              </w:rPr>
              <w:t>Programos, kurių finansavimo lėšos numatytos įstatymais ir kitais teisės aktais</w:t>
            </w:r>
          </w:p>
        </w:tc>
        <w:tc>
          <w:tcPr>
            <w:tcW w:w="1573"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color w:val="auto"/>
                <w:sz w:val="20"/>
                <w:szCs w:val="20"/>
              </w:rPr>
            </w:pPr>
            <w:r w:rsidRPr="006472E8">
              <w:rPr>
                <w:color w:val="auto"/>
                <w:sz w:val="20"/>
                <w:szCs w:val="20"/>
              </w:rPr>
              <w:t>286,2</w:t>
            </w:r>
          </w:p>
        </w:tc>
        <w:tc>
          <w:tcPr>
            <w:tcW w:w="1559" w:type="dxa"/>
            <w:tcBorders>
              <w:top w:val="nil"/>
              <w:left w:val="nil"/>
              <w:bottom w:val="single" w:sz="4" w:space="0" w:color="auto"/>
              <w:right w:val="single" w:sz="4" w:space="0" w:color="auto"/>
            </w:tcBorders>
            <w:shd w:val="clear" w:color="auto" w:fill="auto"/>
            <w:noWrap/>
            <w:vAlign w:val="center"/>
          </w:tcPr>
          <w:p w:rsidR="006472E8" w:rsidRPr="006472E8" w:rsidRDefault="00F105C3" w:rsidP="00A35E2D">
            <w:pPr>
              <w:jc w:val="right"/>
              <w:rPr>
                <w:color w:val="auto"/>
                <w:sz w:val="20"/>
                <w:szCs w:val="20"/>
              </w:rPr>
            </w:pPr>
            <w:r>
              <w:rPr>
                <w:color w:val="auto"/>
                <w:sz w:val="20"/>
                <w:szCs w:val="20"/>
              </w:rPr>
              <w:t>756</w:t>
            </w:r>
            <w:r w:rsidR="006472E8" w:rsidRPr="006472E8">
              <w:rPr>
                <w:color w:val="auto"/>
                <w:sz w:val="20"/>
                <w:szCs w:val="20"/>
              </w:rPr>
              <w:t>,1</w:t>
            </w:r>
          </w:p>
        </w:tc>
        <w:tc>
          <w:tcPr>
            <w:tcW w:w="1353"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color w:val="auto"/>
                <w:sz w:val="20"/>
                <w:szCs w:val="20"/>
              </w:rPr>
            </w:pPr>
            <w:r w:rsidRPr="006472E8">
              <w:rPr>
                <w:color w:val="auto"/>
                <w:sz w:val="20"/>
                <w:szCs w:val="20"/>
              </w:rPr>
              <w:t>740,3</w:t>
            </w:r>
          </w:p>
        </w:tc>
        <w:tc>
          <w:tcPr>
            <w:tcW w:w="1502" w:type="dxa"/>
            <w:tcBorders>
              <w:top w:val="nil"/>
              <w:left w:val="nil"/>
              <w:bottom w:val="single" w:sz="4" w:space="0" w:color="auto"/>
              <w:right w:val="single" w:sz="4" w:space="0" w:color="auto"/>
            </w:tcBorders>
            <w:shd w:val="clear" w:color="auto" w:fill="auto"/>
            <w:noWrap/>
            <w:vAlign w:val="center"/>
          </w:tcPr>
          <w:p w:rsidR="006472E8" w:rsidRPr="006472E8" w:rsidRDefault="00F105C3" w:rsidP="00A35E2D">
            <w:pPr>
              <w:jc w:val="right"/>
              <w:rPr>
                <w:color w:val="auto"/>
                <w:sz w:val="20"/>
                <w:szCs w:val="20"/>
              </w:rPr>
            </w:pPr>
            <w:r>
              <w:rPr>
                <w:color w:val="auto"/>
                <w:sz w:val="20"/>
                <w:szCs w:val="20"/>
              </w:rPr>
              <w:t>302</w:t>
            </w:r>
            <w:r w:rsidR="006472E8" w:rsidRPr="006472E8">
              <w:rPr>
                <w:color w:val="auto"/>
                <w:sz w:val="20"/>
                <w:szCs w:val="20"/>
              </w:rPr>
              <w:t>,0</w:t>
            </w:r>
          </w:p>
        </w:tc>
      </w:tr>
      <w:tr w:rsidR="006472E8" w:rsidRPr="004272C9" w:rsidTr="00BC3117">
        <w:trPr>
          <w:trHeight w:val="272"/>
          <w:jc w:val="center"/>
        </w:trPr>
        <w:tc>
          <w:tcPr>
            <w:tcW w:w="3519" w:type="dxa"/>
            <w:tcBorders>
              <w:top w:val="nil"/>
              <w:left w:val="single" w:sz="4" w:space="0" w:color="auto"/>
              <w:bottom w:val="single" w:sz="4" w:space="0" w:color="auto"/>
              <w:right w:val="single" w:sz="4" w:space="0" w:color="auto"/>
            </w:tcBorders>
            <w:shd w:val="clear" w:color="auto" w:fill="auto"/>
            <w:vAlign w:val="center"/>
          </w:tcPr>
          <w:p w:rsidR="006472E8" w:rsidRPr="006472E8" w:rsidRDefault="006472E8" w:rsidP="00A35E2D">
            <w:pPr>
              <w:ind w:firstLine="709"/>
              <w:rPr>
                <w:b/>
                <w:color w:val="auto"/>
                <w:sz w:val="20"/>
                <w:szCs w:val="20"/>
              </w:rPr>
            </w:pPr>
            <w:r w:rsidRPr="006472E8">
              <w:rPr>
                <w:b/>
                <w:color w:val="auto"/>
                <w:sz w:val="20"/>
                <w:szCs w:val="20"/>
              </w:rPr>
              <w:t>Iš viso:</w:t>
            </w:r>
          </w:p>
        </w:tc>
        <w:tc>
          <w:tcPr>
            <w:tcW w:w="1573"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b/>
                <w:color w:val="auto"/>
                <w:sz w:val="20"/>
                <w:szCs w:val="20"/>
              </w:rPr>
            </w:pPr>
            <w:r w:rsidRPr="006472E8">
              <w:rPr>
                <w:b/>
                <w:color w:val="auto"/>
                <w:sz w:val="20"/>
                <w:szCs w:val="20"/>
              </w:rPr>
              <w:fldChar w:fldCharType="begin"/>
            </w:r>
            <w:r w:rsidRPr="006472E8">
              <w:rPr>
                <w:b/>
                <w:color w:val="auto"/>
                <w:sz w:val="20"/>
                <w:szCs w:val="20"/>
              </w:rPr>
              <w:instrText xml:space="preserve"> =SUM(ABOVE) </w:instrText>
            </w:r>
            <w:r w:rsidRPr="006472E8">
              <w:rPr>
                <w:b/>
                <w:color w:val="auto"/>
                <w:sz w:val="20"/>
                <w:szCs w:val="20"/>
              </w:rPr>
              <w:fldChar w:fldCharType="separate"/>
            </w:r>
            <w:r w:rsidRPr="006472E8">
              <w:rPr>
                <w:b/>
                <w:noProof/>
                <w:color w:val="auto"/>
                <w:sz w:val="20"/>
                <w:szCs w:val="20"/>
              </w:rPr>
              <w:t>311,</w:t>
            </w:r>
            <w:r w:rsidRPr="006472E8">
              <w:rPr>
                <w:b/>
                <w:color w:val="auto"/>
                <w:sz w:val="20"/>
                <w:szCs w:val="20"/>
              </w:rPr>
              <w:fldChar w:fldCharType="end"/>
            </w:r>
            <w:r w:rsidRPr="006472E8">
              <w:rPr>
                <w:b/>
                <w:color w:val="auto"/>
                <w:sz w:val="20"/>
                <w:szCs w:val="20"/>
              </w:rPr>
              <w:t>4</w:t>
            </w:r>
          </w:p>
        </w:tc>
        <w:tc>
          <w:tcPr>
            <w:tcW w:w="1559"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b/>
                <w:color w:val="auto"/>
                <w:sz w:val="20"/>
                <w:szCs w:val="20"/>
              </w:rPr>
            </w:pPr>
            <w:r w:rsidRPr="006472E8">
              <w:rPr>
                <w:b/>
                <w:color w:val="auto"/>
                <w:sz w:val="20"/>
                <w:szCs w:val="20"/>
              </w:rPr>
              <w:fldChar w:fldCharType="begin"/>
            </w:r>
            <w:r w:rsidRPr="006472E8">
              <w:rPr>
                <w:b/>
                <w:color w:val="auto"/>
                <w:sz w:val="20"/>
                <w:szCs w:val="20"/>
              </w:rPr>
              <w:instrText xml:space="preserve"> =SUM(ABOVE) </w:instrText>
            </w:r>
            <w:r w:rsidRPr="006472E8">
              <w:rPr>
                <w:b/>
                <w:color w:val="auto"/>
                <w:sz w:val="20"/>
                <w:szCs w:val="20"/>
              </w:rPr>
              <w:fldChar w:fldCharType="separate"/>
            </w:r>
            <w:r w:rsidR="00F105C3">
              <w:rPr>
                <w:b/>
                <w:noProof/>
                <w:color w:val="auto"/>
                <w:sz w:val="20"/>
                <w:szCs w:val="20"/>
              </w:rPr>
              <w:t>850,7</w:t>
            </w:r>
            <w:r w:rsidRPr="006472E8">
              <w:rPr>
                <w:b/>
                <w:color w:val="auto"/>
                <w:sz w:val="20"/>
                <w:szCs w:val="20"/>
              </w:rPr>
              <w:fldChar w:fldCharType="end"/>
            </w:r>
          </w:p>
        </w:tc>
        <w:tc>
          <w:tcPr>
            <w:tcW w:w="1353"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b/>
                <w:color w:val="auto"/>
                <w:sz w:val="20"/>
                <w:szCs w:val="20"/>
              </w:rPr>
            </w:pPr>
            <w:r w:rsidRPr="006472E8">
              <w:rPr>
                <w:b/>
                <w:color w:val="auto"/>
                <w:sz w:val="20"/>
                <w:szCs w:val="20"/>
              </w:rPr>
              <w:fldChar w:fldCharType="begin"/>
            </w:r>
            <w:r w:rsidRPr="006472E8">
              <w:rPr>
                <w:b/>
                <w:color w:val="auto"/>
                <w:sz w:val="20"/>
                <w:szCs w:val="20"/>
              </w:rPr>
              <w:instrText xml:space="preserve"> =SUM(ABOVE) </w:instrText>
            </w:r>
            <w:r w:rsidRPr="006472E8">
              <w:rPr>
                <w:b/>
                <w:color w:val="auto"/>
                <w:sz w:val="20"/>
                <w:szCs w:val="20"/>
              </w:rPr>
              <w:fldChar w:fldCharType="separate"/>
            </w:r>
            <w:r w:rsidRPr="006472E8">
              <w:rPr>
                <w:b/>
                <w:noProof/>
                <w:color w:val="auto"/>
                <w:sz w:val="20"/>
                <w:szCs w:val="20"/>
              </w:rPr>
              <w:t>833,4</w:t>
            </w:r>
            <w:r w:rsidRPr="006472E8">
              <w:rPr>
                <w:b/>
                <w:color w:val="auto"/>
                <w:sz w:val="20"/>
                <w:szCs w:val="20"/>
              </w:rPr>
              <w:fldChar w:fldCharType="end"/>
            </w:r>
          </w:p>
        </w:tc>
        <w:tc>
          <w:tcPr>
            <w:tcW w:w="1502" w:type="dxa"/>
            <w:tcBorders>
              <w:top w:val="nil"/>
              <w:left w:val="nil"/>
              <w:bottom w:val="single" w:sz="4" w:space="0" w:color="auto"/>
              <w:right w:val="single" w:sz="4" w:space="0" w:color="auto"/>
            </w:tcBorders>
            <w:shd w:val="clear" w:color="auto" w:fill="auto"/>
            <w:noWrap/>
            <w:vAlign w:val="center"/>
          </w:tcPr>
          <w:p w:rsidR="006472E8" w:rsidRPr="006472E8" w:rsidRDefault="006472E8" w:rsidP="00A35E2D">
            <w:pPr>
              <w:jc w:val="right"/>
              <w:rPr>
                <w:b/>
                <w:color w:val="auto"/>
                <w:sz w:val="20"/>
                <w:szCs w:val="20"/>
              </w:rPr>
            </w:pPr>
            <w:r w:rsidRPr="006472E8">
              <w:rPr>
                <w:b/>
                <w:color w:val="auto"/>
                <w:sz w:val="20"/>
                <w:szCs w:val="20"/>
              </w:rPr>
              <w:fldChar w:fldCharType="begin"/>
            </w:r>
            <w:r w:rsidRPr="006472E8">
              <w:rPr>
                <w:b/>
                <w:color w:val="auto"/>
                <w:sz w:val="20"/>
                <w:szCs w:val="20"/>
              </w:rPr>
              <w:instrText xml:space="preserve"> =SUM(ABOVE) \# "0,0" </w:instrText>
            </w:r>
            <w:r w:rsidRPr="006472E8">
              <w:rPr>
                <w:b/>
                <w:color w:val="auto"/>
                <w:sz w:val="20"/>
                <w:szCs w:val="20"/>
              </w:rPr>
              <w:fldChar w:fldCharType="separate"/>
            </w:r>
            <w:r w:rsidR="00F105C3">
              <w:rPr>
                <w:b/>
                <w:noProof/>
                <w:color w:val="auto"/>
                <w:sz w:val="20"/>
                <w:szCs w:val="20"/>
              </w:rPr>
              <w:t>328,7</w:t>
            </w:r>
            <w:r w:rsidRPr="006472E8">
              <w:rPr>
                <w:b/>
                <w:color w:val="auto"/>
                <w:sz w:val="20"/>
                <w:szCs w:val="20"/>
              </w:rPr>
              <w:fldChar w:fldCharType="end"/>
            </w:r>
          </w:p>
        </w:tc>
      </w:tr>
    </w:tbl>
    <w:p w:rsidR="00BD3565" w:rsidRPr="008C6C4D" w:rsidRDefault="00BD3565" w:rsidP="00BD3565">
      <w:pPr>
        <w:jc w:val="both"/>
        <w:rPr>
          <w:i/>
          <w:color w:val="auto"/>
          <w:sz w:val="20"/>
          <w:szCs w:val="20"/>
        </w:rPr>
      </w:pPr>
      <w:r w:rsidRPr="008C6C4D">
        <w:rPr>
          <w:i/>
          <w:color w:val="auto"/>
          <w:sz w:val="20"/>
          <w:szCs w:val="20"/>
        </w:rPr>
        <w:t>Šaltinis –  Finansų ministerija</w:t>
      </w:r>
    </w:p>
    <w:p w:rsidR="00BD3565" w:rsidRDefault="00BD3565" w:rsidP="00BD3565">
      <w:pPr>
        <w:pStyle w:val="Pagrindiniotekstotrauka"/>
        <w:spacing w:after="0"/>
        <w:ind w:left="0"/>
        <w:jc w:val="both"/>
        <w:rPr>
          <w:color w:val="auto"/>
          <w:highlight w:val="yellow"/>
        </w:rPr>
      </w:pPr>
    </w:p>
    <w:p w:rsidR="00CD550D" w:rsidRPr="004272C9" w:rsidRDefault="00CD550D" w:rsidP="00BD3565">
      <w:pPr>
        <w:tabs>
          <w:tab w:val="left" w:pos="851"/>
        </w:tabs>
        <w:jc w:val="both"/>
        <w:rPr>
          <w:color w:val="auto"/>
          <w:sz w:val="26"/>
          <w:szCs w:val="26"/>
          <w:highlight w:val="yellow"/>
        </w:rPr>
      </w:pPr>
    </w:p>
    <w:p w:rsidR="00BD3565" w:rsidRPr="004947D6" w:rsidRDefault="00BD3565" w:rsidP="00BD3565">
      <w:pPr>
        <w:pStyle w:val="Antrat33"/>
        <w:spacing w:line="240" w:lineRule="auto"/>
        <w:ind w:right="0"/>
        <w:rPr>
          <w:color w:val="auto"/>
          <w:sz w:val="26"/>
          <w:szCs w:val="26"/>
        </w:rPr>
      </w:pPr>
      <w:r w:rsidRPr="004947D6">
        <w:rPr>
          <w:color w:val="auto"/>
          <w:sz w:val="26"/>
          <w:szCs w:val="26"/>
        </w:rPr>
        <w:t>Valstybės investicijų programos vykdymas</w:t>
      </w:r>
    </w:p>
    <w:p w:rsidR="00BD3565" w:rsidRPr="004272C9" w:rsidRDefault="00BD3565" w:rsidP="00BD3565">
      <w:pPr>
        <w:pStyle w:val="Pagrindiniotekstotrauka"/>
        <w:spacing w:after="0"/>
        <w:ind w:left="0" w:firstLine="567"/>
        <w:rPr>
          <w:b/>
          <w:color w:val="auto"/>
          <w:highlight w:val="yellow"/>
        </w:rPr>
      </w:pPr>
    </w:p>
    <w:p w:rsidR="000611B0" w:rsidRDefault="000611B0" w:rsidP="000611B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eastAsia="Calibri" w:hAnsi="Times New Roman" w:cs="Times New Roman"/>
          <w:sz w:val="24"/>
          <w:szCs w:val="24"/>
        </w:rPr>
      </w:pPr>
      <w:r w:rsidRPr="003E09A3">
        <w:rPr>
          <w:rFonts w:ascii="Times New Roman" w:hAnsi="Times New Roman" w:cs="Times New Roman"/>
          <w:sz w:val="24"/>
          <w:szCs w:val="24"/>
        </w:rPr>
        <w:t xml:space="preserve">Valstybės investicijų programoje planuojamos valstybės lėšos, kurios naudojamos finansuoti valstybės ir savivaldybių (apima tik dotacijas savivaldybių investicijų projektams finansuoti, teikiamas per atitinkamos valdymo srities valstybės politiką formuojančios ministerijos, valstybės įstaigos vykdomas programas), taip pat kitų ūkio subjektų investicijų projektams (investicijų projektų įgyvendinimo programoms) (toliau – investicijų projektai), kuriuos įgyvendinant valstybės lėšos skiriamos </w:t>
      </w:r>
      <w:r w:rsidRPr="003E09A3">
        <w:rPr>
          <w:rFonts w:ascii="Times New Roman" w:eastAsia="Calibri" w:hAnsi="Times New Roman" w:cs="Times New Roman"/>
          <w:sz w:val="24"/>
          <w:szCs w:val="24"/>
        </w:rPr>
        <w:t xml:space="preserve">naujo statinio statybos arba statinio rekonstravimo darbams atlikti, ilgalaikiam materialiajam ir nematerialiajam turtui </w:t>
      </w:r>
      <w:r w:rsidRPr="003E09A3">
        <w:rPr>
          <w:rFonts w:ascii="Times New Roman" w:hAnsi="Times New Roman" w:cs="Times New Roman"/>
          <w:sz w:val="24"/>
          <w:szCs w:val="24"/>
        </w:rPr>
        <w:t>(toliau – turtas), reikalingam valstybės remiamų programų tikslams ir uždaviniams pasiekti,</w:t>
      </w:r>
      <w:r w:rsidRPr="003E09A3">
        <w:rPr>
          <w:rFonts w:ascii="Times New Roman" w:eastAsia="Calibri" w:hAnsi="Times New Roman" w:cs="Times New Roman"/>
          <w:sz w:val="24"/>
          <w:szCs w:val="24"/>
        </w:rPr>
        <w:t xml:space="preserve"> įsigyti, jeigu jį įsigyjant padidinamas turto kiekis ir įsigyjamo (sukuriamo) turto vertė lygi 360 tūkst. eurų arba viršija šią sumą, o naujų informacinių ir ryšių technologijų įsigijimo (sukūrimo) vertė lygi 100 tūkst. eurų arba viršija šią sumą.</w:t>
      </w:r>
    </w:p>
    <w:p w:rsidR="000611B0" w:rsidRPr="00F24B8B" w:rsidRDefault="000611B0" w:rsidP="000611B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3E09A3">
        <w:rPr>
          <w:rFonts w:ascii="Times New Roman" w:hAnsi="Times New Roman" w:cs="Times New Roman"/>
          <w:sz w:val="24"/>
          <w:szCs w:val="24"/>
        </w:rPr>
        <w:t>Lietuvos Respublikos Seimo patvirtintoje Valstybės investicijų 20</w:t>
      </w:r>
      <w:r>
        <w:rPr>
          <w:rFonts w:ascii="Times New Roman" w:hAnsi="Times New Roman" w:cs="Times New Roman"/>
          <w:sz w:val="24"/>
          <w:szCs w:val="24"/>
        </w:rPr>
        <w:t>20</w:t>
      </w:r>
      <w:r w:rsidRPr="003E09A3">
        <w:rPr>
          <w:rFonts w:ascii="Times New Roman" w:hAnsi="Times New Roman" w:cs="Times New Roman"/>
          <w:sz w:val="24"/>
          <w:szCs w:val="24"/>
        </w:rPr>
        <w:t>–202</w:t>
      </w:r>
      <w:r>
        <w:rPr>
          <w:rFonts w:ascii="Times New Roman" w:hAnsi="Times New Roman" w:cs="Times New Roman"/>
          <w:sz w:val="24"/>
          <w:szCs w:val="24"/>
        </w:rPr>
        <w:t>2</w:t>
      </w:r>
      <w:r w:rsidRPr="003E09A3">
        <w:rPr>
          <w:rFonts w:ascii="Times New Roman" w:hAnsi="Times New Roman" w:cs="Times New Roman"/>
          <w:sz w:val="24"/>
          <w:szCs w:val="24"/>
        </w:rPr>
        <w:t xml:space="preserve"> metų programoje (pagal investavimo sritis) 20</w:t>
      </w:r>
      <w:r>
        <w:rPr>
          <w:rFonts w:ascii="Times New Roman" w:hAnsi="Times New Roman" w:cs="Times New Roman"/>
          <w:sz w:val="24"/>
          <w:szCs w:val="24"/>
        </w:rPr>
        <w:t>20</w:t>
      </w:r>
      <w:r w:rsidRPr="003E09A3">
        <w:rPr>
          <w:rFonts w:ascii="Times New Roman" w:hAnsi="Times New Roman" w:cs="Times New Roman"/>
          <w:sz w:val="24"/>
          <w:szCs w:val="24"/>
        </w:rPr>
        <w:t xml:space="preserve"> metams valstybės kapitalo investicijoms buvo numatyta skirti 1</w:t>
      </w:r>
      <w:r w:rsidRPr="003E09A3">
        <w:rPr>
          <w:rFonts w:ascii="Times New Roman" w:eastAsia="Calibri" w:hAnsi="Times New Roman" w:cs="Times New Roman"/>
          <w:sz w:val="24"/>
          <w:szCs w:val="24"/>
        </w:rPr>
        <w:t> </w:t>
      </w:r>
      <w:r>
        <w:rPr>
          <w:rFonts w:ascii="Times New Roman" w:hAnsi="Times New Roman" w:cs="Times New Roman"/>
          <w:sz w:val="24"/>
          <w:szCs w:val="24"/>
        </w:rPr>
        <w:t>160,8</w:t>
      </w:r>
      <w:r w:rsidRPr="003E09A3">
        <w:rPr>
          <w:rFonts w:ascii="Times New Roman" w:hAnsi="Times New Roman" w:cs="Times New Roman"/>
          <w:sz w:val="24"/>
          <w:szCs w:val="24"/>
        </w:rPr>
        <w:t xml:space="preserve"> mln. eurų valstybės biudžeto lėšų, iš jų </w:t>
      </w:r>
      <w:r>
        <w:rPr>
          <w:rFonts w:ascii="Times New Roman" w:hAnsi="Times New Roman" w:cs="Times New Roman"/>
          <w:sz w:val="24"/>
          <w:szCs w:val="24"/>
        </w:rPr>
        <w:t>719,3</w:t>
      </w:r>
      <w:r w:rsidRPr="003E09A3">
        <w:rPr>
          <w:rFonts w:ascii="Times New Roman" w:hAnsi="Times New Roman" w:cs="Times New Roman"/>
          <w:sz w:val="24"/>
          <w:szCs w:val="24"/>
        </w:rPr>
        <w:t xml:space="preserve"> mln. eurų – Europos Sąjungos ir kitos </w:t>
      </w:r>
      <w:r w:rsidRPr="003E09A3">
        <w:rPr>
          <w:rFonts w:ascii="Times New Roman" w:hAnsi="Times New Roman" w:cs="Times New Roman"/>
          <w:sz w:val="24"/>
          <w:szCs w:val="24"/>
        </w:rPr>
        <w:lastRenderedPageBreak/>
        <w:t xml:space="preserve">tarptautinės finansinės paramos lėšos. Lietuvos Respublikos Vyriausybė, vadovaudamasi Finansinių rodiklių patvirtinimo įstatymo 13 straipsnio 1 dalies 1 punktu ir </w:t>
      </w:r>
      <w:r>
        <w:rPr>
          <w:rFonts w:ascii="Times New Roman" w:hAnsi="Times New Roman" w:cs="Times New Roman"/>
          <w:sz w:val="24"/>
          <w:szCs w:val="24"/>
        </w:rPr>
        <w:t>8</w:t>
      </w:r>
      <w:r w:rsidRPr="003E09A3">
        <w:rPr>
          <w:rFonts w:ascii="Times New Roman" w:hAnsi="Times New Roman" w:cs="Times New Roman"/>
          <w:sz w:val="24"/>
          <w:szCs w:val="24"/>
        </w:rPr>
        <w:t xml:space="preserve"> priedu ir įgyvendindama </w:t>
      </w:r>
      <w:r w:rsidRPr="003E09A3">
        <w:rPr>
          <w:rFonts w:ascii="Times New Roman" w:eastAsia="Calibri" w:hAnsi="Times New Roman" w:cs="Times New Roman"/>
          <w:sz w:val="24"/>
          <w:szCs w:val="24"/>
        </w:rPr>
        <w:t>Valstybės lėšų, skirtų valstybės kapitalo investicijoms, planavimo, tikslinimo, naudojimo, apskaitos ir kontrolės taisyklių, patvirtintų Lietuvos Respublikos Vyriausybės 2001 m. balandžio 26 d. nutarimu Nr. 478 „Dėl Valstybės lėšų, skirtų valstybės kapitalo investicijoms, planavimo, tikslinimo, naudojimo, apskaitos ir kontrolės taisyklių patvirtinimo“, 25</w:t>
      </w:r>
      <w:r w:rsidRPr="003E09A3">
        <w:rPr>
          <w:rFonts w:ascii="Times New Roman" w:eastAsia="Calibri" w:hAnsi="Times New Roman" w:cs="Times New Roman"/>
          <w:sz w:val="24"/>
          <w:szCs w:val="24"/>
          <w:vertAlign w:val="superscript"/>
        </w:rPr>
        <w:t>1</w:t>
      </w:r>
      <w:r w:rsidRPr="003E09A3">
        <w:rPr>
          <w:rFonts w:ascii="Times New Roman" w:eastAsia="Calibri" w:hAnsi="Times New Roman" w:cs="Times New Roman"/>
          <w:sz w:val="24"/>
          <w:szCs w:val="24"/>
        </w:rPr>
        <w:t> punktą</w:t>
      </w:r>
      <w:r w:rsidRPr="003E09A3">
        <w:rPr>
          <w:rFonts w:ascii="Times New Roman" w:hAnsi="Times New Roman" w:cs="Times New Roman"/>
          <w:sz w:val="24"/>
          <w:szCs w:val="24"/>
        </w:rPr>
        <w:t>, 20</w:t>
      </w:r>
      <w:r>
        <w:rPr>
          <w:rFonts w:ascii="Times New Roman" w:hAnsi="Times New Roman" w:cs="Times New Roman"/>
          <w:sz w:val="24"/>
          <w:szCs w:val="24"/>
        </w:rPr>
        <w:t>20</w:t>
      </w:r>
      <w:r w:rsidRPr="003E09A3">
        <w:rPr>
          <w:rFonts w:ascii="Times New Roman" w:hAnsi="Times New Roman" w:cs="Times New Roman"/>
          <w:sz w:val="24"/>
          <w:szCs w:val="24"/>
        </w:rPr>
        <w:t xml:space="preserve"> m. kovo </w:t>
      </w:r>
      <w:r>
        <w:rPr>
          <w:rFonts w:ascii="Times New Roman" w:hAnsi="Times New Roman" w:cs="Times New Roman"/>
          <w:sz w:val="24"/>
          <w:szCs w:val="24"/>
        </w:rPr>
        <w:t>18</w:t>
      </w:r>
      <w:r w:rsidRPr="003E09A3">
        <w:rPr>
          <w:rFonts w:ascii="Times New Roman" w:hAnsi="Times New Roman" w:cs="Times New Roman"/>
          <w:sz w:val="24"/>
          <w:szCs w:val="24"/>
        </w:rPr>
        <w:t xml:space="preserve"> d. nutarimu Nr. </w:t>
      </w:r>
      <w:r>
        <w:rPr>
          <w:rFonts w:ascii="Times New Roman" w:hAnsi="Times New Roman" w:cs="Times New Roman"/>
          <w:sz w:val="24"/>
          <w:szCs w:val="24"/>
        </w:rPr>
        <w:t>243</w:t>
      </w:r>
      <w:r w:rsidRPr="003E09A3">
        <w:rPr>
          <w:rFonts w:ascii="Times New Roman" w:hAnsi="Times New Roman" w:cs="Times New Roman"/>
          <w:sz w:val="24"/>
          <w:szCs w:val="24"/>
        </w:rPr>
        <w:t xml:space="preserve"> „Dėl Valstybės investicijų 20</w:t>
      </w:r>
      <w:r>
        <w:rPr>
          <w:rFonts w:ascii="Times New Roman" w:hAnsi="Times New Roman" w:cs="Times New Roman"/>
          <w:sz w:val="24"/>
          <w:szCs w:val="24"/>
        </w:rPr>
        <w:t>20</w:t>
      </w:r>
      <w:r w:rsidRPr="003E09A3">
        <w:rPr>
          <w:rFonts w:ascii="Times New Roman" w:hAnsi="Times New Roman" w:cs="Times New Roman"/>
          <w:sz w:val="24"/>
          <w:szCs w:val="24"/>
        </w:rPr>
        <w:t>–202</w:t>
      </w:r>
      <w:r>
        <w:rPr>
          <w:rFonts w:ascii="Times New Roman" w:hAnsi="Times New Roman" w:cs="Times New Roman"/>
          <w:sz w:val="24"/>
          <w:szCs w:val="24"/>
        </w:rPr>
        <w:t>2</w:t>
      </w:r>
      <w:r w:rsidRPr="003E09A3">
        <w:rPr>
          <w:rFonts w:ascii="Times New Roman" w:hAnsi="Times New Roman" w:cs="Times New Roman"/>
          <w:sz w:val="24"/>
          <w:szCs w:val="24"/>
        </w:rPr>
        <w:t xml:space="preserve"> metų programoje numatytų valstybės kapitalo investicijų paskirstymo pagal asignavimų valdytojus ir investicijų projektus (investicijų projektų įgyvendinimo programas)“ 20</w:t>
      </w:r>
      <w:r>
        <w:rPr>
          <w:rFonts w:ascii="Times New Roman" w:hAnsi="Times New Roman" w:cs="Times New Roman"/>
          <w:sz w:val="24"/>
          <w:szCs w:val="24"/>
        </w:rPr>
        <w:t>20</w:t>
      </w:r>
      <w:r w:rsidRPr="003E09A3">
        <w:rPr>
          <w:rFonts w:ascii="Times New Roman" w:hAnsi="Times New Roman" w:cs="Times New Roman"/>
          <w:sz w:val="24"/>
          <w:szCs w:val="24"/>
        </w:rPr>
        <w:t xml:space="preserve"> metams paskirstė </w:t>
      </w:r>
      <w:r w:rsidRPr="0099152A">
        <w:rPr>
          <w:rFonts w:ascii="Times New Roman" w:hAnsi="Times New Roman" w:cs="Times New Roman"/>
          <w:sz w:val="24"/>
          <w:szCs w:val="24"/>
        </w:rPr>
        <w:t>valstybės kapitalo investicijoms numatytas lėšas</w:t>
      </w:r>
      <w:r>
        <w:rPr>
          <w:rFonts w:ascii="Times New Roman" w:hAnsi="Times New Roman" w:cs="Times New Roman"/>
          <w:sz w:val="24"/>
          <w:szCs w:val="24"/>
        </w:rPr>
        <w:t xml:space="preserve"> pagal investicijų projektus (investicijų projektų įgyvendinimo programas). Be to, </w:t>
      </w:r>
      <w:r w:rsidRPr="001755B8">
        <w:rPr>
          <w:rFonts w:ascii="Times New Roman" w:hAnsi="Times New Roman" w:cs="Times New Roman"/>
          <w:sz w:val="24"/>
          <w:szCs w:val="24"/>
        </w:rPr>
        <w:t>Lietuvos Respublikos Vyriausybė, vykdydama Ekonomikos skatinimo ir koronaviruso (COVID-19) plitimo sukeltų pasekmių mažinimo priemonių planą, kuriam pritarta Lietuvos Respublikos Vyriausybės 2020 m. kovo 16 d. pasitarime (pasitarimo protokolas Nr. 14), 4 tikslo „Skatinti ekonomiką“ priemonei „Spartinti investicijų programas“ (statybos darbams ir kitoms priemonėms, susijusioms su šalies ekonomikos palaikymu ir (ar) vystymu) 2020 m. gegužės 6 d. nutarimu Nr. 458</w:t>
      </w:r>
      <w:r>
        <w:rPr>
          <w:rFonts w:ascii="Times New Roman" w:hAnsi="Times New Roman" w:cs="Times New Roman"/>
          <w:sz w:val="24"/>
          <w:szCs w:val="24"/>
        </w:rPr>
        <w:t xml:space="preserve"> „Dėl lėšų </w:t>
      </w:r>
      <w:r w:rsidRPr="00F24B8B">
        <w:rPr>
          <w:rFonts w:ascii="Times New Roman" w:hAnsi="Times New Roman" w:cs="Times New Roman"/>
          <w:sz w:val="24"/>
          <w:szCs w:val="24"/>
        </w:rPr>
        <w:t>skyrimo“ numatė skirti 92,1 mln. eurų</w:t>
      </w:r>
      <w:r w:rsidRPr="00F24B8B">
        <w:rPr>
          <w:rFonts w:ascii="Times New Roman" w:hAnsi="Times New Roman" w:cs="Times New Roman"/>
          <w:b/>
          <w:sz w:val="24"/>
          <w:szCs w:val="24"/>
        </w:rPr>
        <w:t xml:space="preserve"> </w:t>
      </w:r>
      <w:r w:rsidRPr="00F24B8B">
        <w:rPr>
          <w:rFonts w:ascii="Times New Roman" w:hAnsi="Times New Roman" w:cs="Times New Roman"/>
          <w:sz w:val="24"/>
          <w:szCs w:val="24"/>
        </w:rPr>
        <w:t xml:space="preserve">iš valstybės vardu pasiskolintų lėšų į Valstybės investicijų 2020–2022 m. programą įtrauktiems investicijų projektams 2020 m. papildomai finansuoti. Taip pat </w:t>
      </w:r>
      <w:r w:rsidRPr="0099152A">
        <w:rPr>
          <w:rFonts w:ascii="Times New Roman" w:hAnsi="Times New Roman" w:cs="Times New Roman"/>
          <w:sz w:val="24"/>
          <w:szCs w:val="24"/>
        </w:rPr>
        <w:t>Lietuvos Respublikos Vyriausybė 2020 m. rugsėjo 16 d. nutarimu Nr. 1015 „Dėl lėšų skyrimo“ numatė Valstybinei maisto ir veterinarijos tarnybai skirti 2,1 mln. eurų iš valstybės vardu pasiskolintų lėšų Nacionalinio</w:t>
      </w:r>
      <w:r w:rsidRPr="00F24B8B">
        <w:rPr>
          <w:rFonts w:ascii="Times New Roman" w:hAnsi="Times New Roman" w:cs="Times New Roman"/>
          <w:sz w:val="24"/>
          <w:szCs w:val="24"/>
        </w:rPr>
        <w:t xml:space="preserve"> maisto ir veterinarijos rizikos vertinimo instituto techninių gebėjimų stiprinim</w:t>
      </w:r>
      <w:r>
        <w:rPr>
          <w:rFonts w:ascii="Times New Roman" w:hAnsi="Times New Roman" w:cs="Times New Roman"/>
          <w:sz w:val="24"/>
          <w:szCs w:val="24"/>
        </w:rPr>
        <w:t>ui</w:t>
      </w:r>
      <w:r w:rsidRPr="00F24B8B">
        <w:rPr>
          <w:rFonts w:ascii="Times New Roman" w:hAnsi="Times New Roman" w:cs="Times New Roman"/>
          <w:sz w:val="24"/>
          <w:szCs w:val="24"/>
        </w:rPr>
        <w:t xml:space="preserve"> įgyvendinti.</w:t>
      </w:r>
    </w:p>
    <w:p w:rsidR="000611B0" w:rsidRPr="00262A1D" w:rsidRDefault="000611B0" w:rsidP="000611B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F24B8B">
        <w:rPr>
          <w:rFonts w:ascii="Times New Roman" w:hAnsi="Times New Roman" w:cs="Times New Roman"/>
          <w:sz w:val="24"/>
          <w:szCs w:val="24"/>
        </w:rPr>
        <w:t>Be to, vadovaujantis Lietuvos Respublikos biudžeto sandaros įstatyme ir Finansinių rodiklių patvirtinimo įstatyme suteiktomis teisėmis patikslintas valstybės biudžeto lėšų planas 2020 metų investicijoms (įskaitant viršplanines ir perskirstytas Europos Sąjungos ir kitos</w:t>
      </w:r>
      <w:r w:rsidRPr="003E09A3">
        <w:rPr>
          <w:rFonts w:ascii="Times New Roman" w:hAnsi="Times New Roman" w:cs="Times New Roman"/>
          <w:sz w:val="24"/>
          <w:szCs w:val="24"/>
        </w:rPr>
        <w:t xml:space="preserve"> tarptautinės finansinės paramos programoms ir projektams finansuoti 20</w:t>
      </w:r>
      <w:r>
        <w:rPr>
          <w:rFonts w:ascii="Times New Roman" w:hAnsi="Times New Roman" w:cs="Times New Roman"/>
          <w:sz w:val="24"/>
          <w:szCs w:val="24"/>
        </w:rPr>
        <w:t>20</w:t>
      </w:r>
      <w:r w:rsidRPr="003E09A3">
        <w:rPr>
          <w:rFonts w:ascii="Times New Roman" w:hAnsi="Times New Roman" w:cs="Times New Roman"/>
          <w:sz w:val="24"/>
          <w:szCs w:val="24"/>
        </w:rPr>
        <w:t xml:space="preserve"> metams numatytas Europos Sąjungos ir kitos tarptautinės finansinės paramos ir bendrojo finansavimo lėšas,</w:t>
      </w:r>
      <w:r>
        <w:rPr>
          <w:rFonts w:ascii="Times New Roman" w:hAnsi="Times New Roman" w:cs="Times New Roman"/>
          <w:sz w:val="24"/>
          <w:szCs w:val="24"/>
        </w:rPr>
        <w:t xml:space="preserve"> </w:t>
      </w:r>
      <w:r w:rsidRPr="002E0E0C">
        <w:rPr>
          <w:rFonts w:ascii="Times New Roman" w:eastAsia="Calibri" w:hAnsi="Times New Roman" w:cs="Times New Roman"/>
          <w:sz w:val="24"/>
          <w:szCs w:val="24"/>
        </w:rPr>
        <w:t>valstybės vardu pasiskolintas lėšas</w:t>
      </w:r>
      <w:r>
        <w:rPr>
          <w:rFonts w:ascii="Times New Roman" w:eastAsia="Calibri" w:hAnsi="Times New Roman" w:cs="Times New Roman"/>
          <w:sz w:val="24"/>
          <w:szCs w:val="24"/>
        </w:rPr>
        <w:t>,</w:t>
      </w:r>
      <w:r w:rsidRPr="003E09A3">
        <w:rPr>
          <w:rFonts w:eastAsia="Calibri"/>
          <w:szCs w:val="24"/>
        </w:rPr>
        <w:t xml:space="preserve"> </w:t>
      </w:r>
      <w:r w:rsidRPr="003E09A3">
        <w:rPr>
          <w:rFonts w:ascii="Times New Roman" w:hAnsi="Times New Roman" w:cs="Times New Roman"/>
          <w:sz w:val="24"/>
          <w:szCs w:val="24"/>
        </w:rPr>
        <w:t>20</w:t>
      </w:r>
      <w:r>
        <w:rPr>
          <w:rFonts w:ascii="Times New Roman" w:hAnsi="Times New Roman" w:cs="Times New Roman"/>
          <w:sz w:val="24"/>
          <w:szCs w:val="24"/>
        </w:rPr>
        <w:t>20</w:t>
      </w:r>
      <w:r w:rsidRPr="003E09A3">
        <w:rPr>
          <w:rFonts w:ascii="Times New Roman" w:hAnsi="Times New Roman" w:cs="Times New Roman"/>
          <w:sz w:val="24"/>
          <w:szCs w:val="24"/>
        </w:rPr>
        <w:t xml:space="preserve"> metams numatytų valstybės biudžeto asignavimų išlaidoms ir turtui įsigyti ekonomijos sumas, viršplaninių ir praėjusiais biudžetiniais metais programoms finansuoti nepanaudotų įmokų į valstybės biudžetą sumas, numatytas panaudoti investicijoms, perkeltas Krašto apsaugos ministerijos 20</w:t>
      </w:r>
      <w:r>
        <w:rPr>
          <w:rFonts w:ascii="Times New Roman" w:hAnsi="Times New Roman" w:cs="Times New Roman"/>
          <w:sz w:val="24"/>
          <w:szCs w:val="24"/>
        </w:rPr>
        <w:t>20</w:t>
      </w:r>
      <w:r w:rsidRPr="003E09A3">
        <w:rPr>
          <w:rFonts w:ascii="Times New Roman" w:hAnsi="Times New Roman" w:cs="Times New Roman"/>
          <w:sz w:val="24"/>
          <w:szCs w:val="24"/>
        </w:rPr>
        <w:t xml:space="preserve"> metais planuotas, bet nepanaudotas valstybės biudžeto asignavimų sumas pagal su užsienio tiekėjais sudarytas sutartis dėl investicijų projektų, taip pat perskirstytas Krašto apsaugos ministerijos asignavimų investicijų projektams įgyvendinti sumas, kurios skirtos turtui įsigyti, užtikrinant nacionalinį saugumą ir vykdant tarptautinius įsipareigojimus teikiant priimančiosios šalies paramą) sudarė </w:t>
      </w:r>
      <w:r>
        <w:rPr>
          <w:rFonts w:ascii="Times New Roman" w:hAnsi="Times New Roman" w:cs="Times New Roman"/>
          <w:sz w:val="24"/>
          <w:szCs w:val="24"/>
        </w:rPr>
        <w:t>1</w:t>
      </w:r>
      <w:r w:rsidRPr="003E09A3">
        <w:rPr>
          <w:rFonts w:ascii="Times New Roman" w:eastAsia="Calibri" w:hAnsi="Times New Roman" w:cs="Times New Roman"/>
          <w:sz w:val="24"/>
          <w:szCs w:val="24"/>
        </w:rPr>
        <w:t> </w:t>
      </w:r>
      <w:r>
        <w:rPr>
          <w:rFonts w:ascii="Times New Roman" w:eastAsia="Calibri" w:hAnsi="Times New Roman" w:cs="Times New Roman"/>
          <w:sz w:val="24"/>
          <w:szCs w:val="24"/>
        </w:rPr>
        <w:t>402,6</w:t>
      </w:r>
      <w:r w:rsidRPr="003E09A3">
        <w:rPr>
          <w:rFonts w:ascii="Times New Roman" w:hAnsi="Times New Roman" w:cs="Times New Roman"/>
          <w:sz w:val="24"/>
          <w:szCs w:val="24"/>
        </w:rPr>
        <w:t xml:space="preserve"> mln. </w:t>
      </w:r>
      <w:r>
        <w:rPr>
          <w:rFonts w:ascii="Times New Roman" w:hAnsi="Times New Roman" w:cs="Times New Roman"/>
          <w:sz w:val="24"/>
          <w:szCs w:val="24"/>
        </w:rPr>
        <w:t>eurų valstybės biudžeto lėšų (</w:t>
      </w:r>
      <w:r w:rsidRPr="003E09A3">
        <w:rPr>
          <w:rFonts w:ascii="Times New Roman" w:hAnsi="Times New Roman" w:cs="Times New Roman"/>
          <w:sz w:val="24"/>
          <w:szCs w:val="24"/>
        </w:rPr>
        <w:t xml:space="preserve">iš jų </w:t>
      </w:r>
      <w:r>
        <w:rPr>
          <w:rFonts w:ascii="Times New Roman" w:hAnsi="Times New Roman" w:cs="Times New Roman"/>
          <w:sz w:val="24"/>
          <w:szCs w:val="24"/>
        </w:rPr>
        <w:t>717,2</w:t>
      </w:r>
      <w:r w:rsidRPr="003E09A3">
        <w:rPr>
          <w:rFonts w:ascii="Times New Roman" w:hAnsi="Times New Roman" w:cs="Times New Roman"/>
          <w:sz w:val="24"/>
          <w:szCs w:val="24"/>
        </w:rPr>
        <w:t xml:space="preserve"> mln. eurų – Europos Sąjungos ir kitos tarptautinės finansinės paramos lėšos, </w:t>
      </w:r>
      <w:r>
        <w:rPr>
          <w:rFonts w:ascii="Times New Roman" w:hAnsi="Times New Roman" w:cs="Times New Roman"/>
          <w:sz w:val="24"/>
          <w:szCs w:val="24"/>
        </w:rPr>
        <w:t>9</w:t>
      </w:r>
      <w:r>
        <w:rPr>
          <w:rFonts w:ascii="Times New Roman" w:hAnsi="Times New Roman" w:cs="Times New Roman"/>
          <w:sz w:val="24"/>
          <w:szCs w:val="24"/>
          <w:lang w:val="en-GB"/>
        </w:rPr>
        <w:t xml:space="preserve">4,2 </w:t>
      </w:r>
      <w:r w:rsidRPr="003E09A3">
        <w:rPr>
          <w:rFonts w:ascii="Times New Roman" w:hAnsi="Times New Roman" w:cs="Times New Roman"/>
          <w:sz w:val="24"/>
          <w:szCs w:val="24"/>
        </w:rPr>
        <w:t xml:space="preserve">mln. eurų – </w:t>
      </w:r>
      <w:r>
        <w:rPr>
          <w:rFonts w:ascii="Times New Roman" w:hAnsi="Times New Roman" w:cs="Times New Roman"/>
          <w:sz w:val="24"/>
          <w:szCs w:val="24"/>
        </w:rPr>
        <w:t xml:space="preserve">pagal minėtus Lietuvos Respublikos </w:t>
      </w:r>
      <w:r w:rsidRPr="00434527">
        <w:rPr>
          <w:rFonts w:ascii="Times New Roman" w:hAnsi="Times New Roman" w:cs="Times New Roman"/>
          <w:sz w:val="24"/>
          <w:szCs w:val="24"/>
        </w:rPr>
        <w:t>Vyriausybės nutarimus valstyb</w:t>
      </w:r>
      <w:r w:rsidRPr="00434527">
        <w:rPr>
          <w:rFonts w:ascii="Times New Roman" w:hAnsi="Times New Roman" w:cs="Times New Roman"/>
          <w:sz w:val="24"/>
          <w:szCs w:val="24"/>
          <w:lang w:val="en-US"/>
        </w:rPr>
        <w:t xml:space="preserve">ės vardu pasiskolintos </w:t>
      </w:r>
      <w:r w:rsidRPr="00434527">
        <w:rPr>
          <w:rFonts w:ascii="Times New Roman" w:hAnsi="Times New Roman" w:cs="Times New Roman"/>
          <w:sz w:val="24"/>
          <w:szCs w:val="24"/>
        </w:rPr>
        <w:t>lėšos) arba 241,8 mln. eurų daugiau valstybės biudžeto lėšų</w:t>
      </w:r>
      <w:r>
        <w:rPr>
          <w:rFonts w:ascii="Times New Roman" w:hAnsi="Times New Roman" w:cs="Times New Roman"/>
          <w:color w:val="FF0000"/>
          <w:sz w:val="24"/>
          <w:szCs w:val="24"/>
        </w:rPr>
        <w:t xml:space="preserve"> </w:t>
      </w:r>
      <w:r w:rsidRPr="00E65B86">
        <w:rPr>
          <w:rFonts w:ascii="Times New Roman" w:hAnsi="Times New Roman" w:cs="Times New Roman"/>
          <w:sz w:val="24"/>
          <w:szCs w:val="24"/>
        </w:rPr>
        <w:t>(iš jų</w:t>
      </w:r>
      <w:r>
        <w:rPr>
          <w:rFonts w:ascii="Times New Roman" w:hAnsi="Times New Roman" w:cs="Times New Roman"/>
          <w:color w:val="FF0000"/>
          <w:sz w:val="24"/>
          <w:szCs w:val="24"/>
        </w:rPr>
        <w:t xml:space="preserve"> </w:t>
      </w:r>
      <w:r w:rsidRPr="00434527">
        <w:rPr>
          <w:rFonts w:ascii="Times New Roman" w:hAnsi="Times New Roman" w:cs="Times New Roman"/>
          <w:sz w:val="24"/>
          <w:szCs w:val="24"/>
        </w:rPr>
        <w:t>mažiau 2,</w:t>
      </w:r>
      <w:r w:rsidRPr="00E65B86">
        <w:rPr>
          <w:rFonts w:ascii="Times New Roman" w:hAnsi="Times New Roman" w:cs="Times New Roman"/>
          <w:sz w:val="24"/>
          <w:szCs w:val="24"/>
        </w:rPr>
        <w:t xml:space="preserve">1 mln. eurų – Europos Sąjungos ir kitos tarptautinės finansinės paramos lėšos), palyginti su </w:t>
      </w:r>
      <w:r w:rsidRPr="003E09A3">
        <w:rPr>
          <w:rFonts w:ascii="Times New Roman" w:hAnsi="Times New Roman" w:cs="Times New Roman"/>
          <w:sz w:val="24"/>
          <w:szCs w:val="24"/>
        </w:rPr>
        <w:t xml:space="preserve">Finansinių rodiklių patvirtinimo </w:t>
      </w:r>
      <w:r w:rsidRPr="00262A1D">
        <w:rPr>
          <w:rFonts w:ascii="Times New Roman" w:hAnsi="Times New Roman" w:cs="Times New Roman"/>
          <w:sz w:val="24"/>
          <w:szCs w:val="24"/>
        </w:rPr>
        <w:t>įstatyme patvirtintu planu.</w:t>
      </w:r>
    </w:p>
    <w:p w:rsidR="000611B0" w:rsidRPr="00262A1D" w:rsidRDefault="000611B0" w:rsidP="000611B0">
      <w:pPr>
        <w:pStyle w:val="Pagrindinistekstas"/>
        <w:spacing w:after="0"/>
        <w:ind w:firstLine="720"/>
        <w:jc w:val="both"/>
      </w:pPr>
      <w:r w:rsidRPr="00262A1D">
        <w:t>Asignavimų valdytojų 2020 metais patirtos kasinės išlaidos iš valstybės biudžeto (įskaitant Europos Sąjungos ir kitos tarptautinės finansinės paramos lėšas, taip pat pagal minėtus Lietuvos Respublikos Vyriausybės nutarimus valstyb</w:t>
      </w:r>
      <w:r w:rsidRPr="00262A1D">
        <w:rPr>
          <w:lang w:val="en-US"/>
        </w:rPr>
        <w:t xml:space="preserve">ės vardu pasiskolintas </w:t>
      </w:r>
      <w:r w:rsidRPr="00262A1D">
        <w:t>lėšas) sumokėti už suteiktas paslaugas, atliktus darbus ir įsigytą turtą, įgyvendinant investicijų projektus, sudarė 1</w:t>
      </w:r>
      <w:r w:rsidRPr="00262A1D">
        <w:rPr>
          <w:rFonts w:eastAsia="Calibri"/>
        </w:rPr>
        <w:t> 159,6</w:t>
      </w:r>
      <w:r w:rsidRPr="00262A1D">
        <w:t xml:space="preserve"> mln. eurų, arba 1,2 mln. eurų (0,1 proc.) mažiau, palyginti su Finansinių rodiklių patvirtinimo įstatyme patvirtintu valstybės biudžeto planu, ir 243 mln. eurų (17,3 proc.) mažiau, palyginti su patikslintu planu.</w:t>
      </w:r>
    </w:p>
    <w:p w:rsidR="000611B0" w:rsidRPr="003E09A3" w:rsidRDefault="000611B0" w:rsidP="000611B0">
      <w:pPr>
        <w:pStyle w:val="Pagrindinistekstas"/>
        <w:spacing w:after="0"/>
        <w:ind w:firstLine="720"/>
        <w:jc w:val="both"/>
        <w:rPr>
          <w:bCs/>
        </w:rPr>
      </w:pPr>
      <w:r w:rsidRPr="00262A1D">
        <w:t>Investicijų projektams</w:t>
      </w:r>
      <w:r w:rsidRPr="00262A1D">
        <w:rPr>
          <w:bCs/>
        </w:rPr>
        <w:t xml:space="preserve">, </w:t>
      </w:r>
      <w:r w:rsidRPr="00262A1D">
        <w:t>įgyvendinamiems bendrai</w:t>
      </w:r>
      <w:r w:rsidRPr="003E09A3">
        <w:t xml:space="preserve"> su Europos Sąjungos ir kitos tarptautinės finansinės paramos</w:t>
      </w:r>
      <w:r w:rsidRPr="003E09A3">
        <w:rPr>
          <w:bCs/>
        </w:rPr>
        <w:t xml:space="preserve"> lėšomis, </w:t>
      </w:r>
      <w:r w:rsidRPr="003E09A3">
        <w:t>20</w:t>
      </w:r>
      <w:r>
        <w:t>20</w:t>
      </w:r>
      <w:r w:rsidRPr="003E09A3">
        <w:t xml:space="preserve"> metais buvo išmokėta </w:t>
      </w:r>
      <w:r>
        <w:t>643,3</w:t>
      </w:r>
      <w:r w:rsidRPr="003E09A3">
        <w:t xml:space="preserve"> mln. eurų valstybės biudžeto lėšų (įskaitant Europos Sąjungos ir kitos tarptautinės finansinės paramos, bendrojo finansavimo lėšas ir v</w:t>
      </w:r>
      <w:r w:rsidRPr="003E09A3">
        <w:rPr>
          <w:rFonts w:eastAsia="Calibri"/>
        </w:rPr>
        <w:t>alstybės biudžeto lėšas, skirtas apmokėti bendrai finansuojamų iš Europos Sąjungos fondų lėšų projektų netinkamam finansuoti iš Europos Sąjungos fondų lėšų pirkimo ir (arba) importo PVM)</w:t>
      </w:r>
      <w:r w:rsidRPr="003E09A3">
        <w:t xml:space="preserve"> arba </w:t>
      </w:r>
      <w:r>
        <w:t xml:space="preserve">166,2 </w:t>
      </w:r>
      <w:r w:rsidRPr="003E09A3">
        <w:t xml:space="preserve">mln. </w:t>
      </w:r>
      <w:r w:rsidRPr="007F5363">
        <w:t>eurų (</w:t>
      </w:r>
      <w:r w:rsidRPr="00815D66">
        <w:t>20,5 proc</w:t>
      </w:r>
      <w:r w:rsidRPr="007F5363">
        <w:t>.) mažiau, palyg</w:t>
      </w:r>
      <w:r w:rsidRPr="003E09A3">
        <w:t xml:space="preserve">inti su Finansinių rodiklių patvirtinimo įstatyme </w:t>
      </w:r>
      <w:r w:rsidRPr="003E09A3">
        <w:lastRenderedPageBreak/>
        <w:t xml:space="preserve">patvirtintu planu, ir </w:t>
      </w:r>
      <w:r>
        <w:t xml:space="preserve">213,3 </w:t>
      </w:r>
      <w:r w:rsidRPr="003E09A3">
        <w:t xml:space="preserve">mln. eurų </w:t>
      </w:r>
      <w:r w:rsidRPr="007F5363">
        <w:t>(24,9 proc.)</w:t>
      </w:r>
      <w:r w:rsidRPr="003E09A3">
        <w:t xml:space="preserve"> mažiau, palyginti su patikslintu planu. Europos Sąjungos ir kitos tarptautinės finansinės paramos lėšų 20</w:t>
      </w:r>
      <w:r>
        <w:t>20</w:t>
      </w:r>
      <w:r w:rsidRPr="003E09A3">
        <w:t xml:space="preserve"> metais buvo išmokėta </w:t>
      </w:r>
      <w:r>
        <w:t>552,4</w:t>
      </w:r>
      <w:r w:rsidRPr="003E09A3">
        <w:t xml:space="preserve"> mln. eurų, arba </w:t>
      </w:r>
      <w:r>
        <w:t>166,8</w:t>
      </w:r>
      <w:r w:rsidRPr="003E09A3">
        <w:t xml:space="preserve"> mln. eurų (</w:t>
      </w:r>
      <w:r>
        <w:t>23,2</w:t>
      </w:r>
      <w:r w:rsidRPr="003E09A3">
        <w:t xml:space="preserve"> proc.) mažiau, palyginti su Finansinių rodiklių patvirtinimo įstatyme patvirtintu planu, ir </w:t>
      </w:r>
      <w:r>
        <w:t>164,7</w:t>
      </w:r>
      <w:r w:rsidRPr="003E09A3">
        <w:t xml:space="preserve"> mln. eurų (</w:t>
      </w:r>
      <w:r>
        <w:t>23</w:t>
      </w:r>
      <w:r w:rsidRPr="003E09A3">
        <w:t xml:space="preserve"> proc.) mažiau, palyginti su patikslintu planu. Daugiausia, arba </w:t>
      </w:r>
      <w:r>
        <w:t>127</w:t>
      </w:r>
      <w:r w:rsidRPr="003E09A3">
        <w:t xml:space="preserve"> mln. eurų (iš jų Europos Sąjungos paramos lėšų – </w:t>
      </w:r>
      <w:r>
        <w:t>88,2</w:t>
      </w:r>
      <w:r w:rsidRPr="003E09A3">
        <w:t xml:space="preserve"> mln. eurų), palyginti su patikslintu planu, nepanaudota </w:t>
      </w:r>
      <w:r w:rsidRPr="003E09A3">
        <w:rPr>
          <w:bCs/>
        </w:rPr>
        <w:t xml:space="preserve">2014–2020 </w:t>
      </w:r>
      <w:r w:rsidRPr="00434527">
        <w:rPr>
          <w:bCs/>
        </w:rPr>
        <w:t xml:space="preserve">metų Europos Sąjungos fondų investicijų veiksmų programai įgyvendinti planuotų lėšų dėl </w:t>
      </w:r>
      <w:r w:rsidRPr="00434527">
        <w:t>užtrukusių kokybiškų projektinių pasiūlymų parengimo ir vertinimo procesų, finansavimo sąlygų derinimo ir užsitęsusių viešųjų pirkimų procedūrų</w:t>
      </w:r>
      <w:r w:rsidRPr="00434527">
        <w:rPr>
          <w:bCs/>
        </w:rPr>
        <w:t>.</w:t>
      </w:r>
    </w:p>
    <w:p w:rsidR="000611B0" w:rsidRPr="003E09A3" w:rsidRDefault="000611B0" w:rsidP="000611B0">
      <w:pPr>
        <w:pStyle w:val="Pagrindinistekstas"/>
        <w:spacing w:after="0"/>
        <w:ind w:firstLine="720"/>
        <w:jc w:val="both"/>
      </w:pPr>
      <w:r w:rsidRPr="003E09A3">
        <w:t xml:space="preserve">Investicijų projektams, įgyvendinamiems be Europos Sąjungos ir kitos tarptautinės </w:t>
      </w:r>
      <w:r w:rsidRPr="00F9329F">
        <w:t>finansinės paramos lėšų, 2020 metais buvo išmokėta 516,3 mln. eurų valstybės biudžeto lėšų</w:t>
      </w:r>
      <w:r>
        <w:t xml:space="preserve"> (iš jų </w:t>
      </w:r>
      <w:r>
        <w:rPr>
          <w:lang w:val="en-GB"/>
        </w:rPr>
        <w:t xml:space="preserve">82,4 </w:t>
      </w:r>
      <w:r w:rsidRPr="003E09A3">
        <w:t>mln. eurų</w:t>
      </w:r>
      <w:r>
        <w:t xml:space="preserve"> </w:t>
      </w:r>
      <w:r w:rsidRPr="005F4C4E">
        <w:t>–</w:t>
      </w:r>
      <w:r>
        <w:t xml:space="preserve"> pagal minėtus Lietuvos Respublikos </w:t>
      </w:r>
      <w:r w:rsidRPr="00434527">
        <w:t>Vyriausybės nutarimus valstyb</w:t>
      </w:r>
      <w:r w:rsidRPr="00434527">
        <w:rPr>
          <w:lang w:val="en-US"/>
        </w:rPr>
        <w:t>ės vardu pasiskolint</w:t>
      </w:r>
      <w:r>
        <w:rPr>
          <w:lang w:val="en-US"/>
        </w:rPr>
        <w:t>ų</w:t>
      </w:r>
      <w:r w:rsidRPr="00434527">
        <w:rPr>
          <w:lang w:val="en-US"/>
        </w:rPr>
        <w:t xml:space="preserve"> </w:t>
      </w:r>
      <w:r w:rsidRPr="00434527">
        <w:t>lėš</w:t>
      </w:r>
      <w:r>
        <w:t xml:space="preserve">ų), </w:t>
      </w:r>
      <w:r w:rsidRPr="003E09A3">
        <w:t xml:space="preserve">arba </w:t>
      </w:r>
      <w:r>
        <w:t>165,1</w:t>
      </w:r>
      <w:r w:rsidRPr="003E09A3">
        <w:t xml:space="preserve"> mln. eurų (</w:t>
      </w:r>
      <w:r>
        <w:t>47</w:t>
      </w:r>
      <w:r w:rsidRPr="003E09A3">
        <w:t xml:space="preserve"> proc.) daugiau, palyginti su Finansinių rodiklių patvirtinimo įstatyme patvirtintu planu, ir </w:t>
      </w:r>
      <w:r>
        <w:t>29,7</w:t>
      </w:r>
      <w:r w:rsidRPr="003E09A3">
        <w:t xml:space="preserve"> mln. eurų (</w:t>
      </w:r>
      <w:r>
        <w:t>5,4</w:t>
      </w:r>
      <w:r w:rsidRPr="003E09A3">
        <w:t xml:space="preserve"> proc.) mažiau, palyginti su patikslintu planu. Iš jų: </w:t>
      </w:r>
      <w:r>
        <w:t>11,3</w:t>
      </w:r>
      <w:r w:rsidRPr="003E09A3">
        <w:t xml:space="preserve"> mln. eurų (</w:t>
      </w:r>
      <w:r>
        <w:t>3,5</w:t>
      </w:r>
      <w:r w:rsidRPr="003E09A3">
        <w:t xml:space="preserve"> proc.) nepanaudota valstybės biudžeto lėšų (išskyrus </w:t>
      </w:r>
      <w:r w:rsidRPr="003E09A3">
        <w:rPr>
          <w:rFonts w:eastAsia="Calibri"/>
        </w:rPr>
        <w:t>biudžetinių įstaigų pajamų įmokas į valstybės biudžetą ir valstybės biudžeto pajamų iš mokesčių dalies lėšas</w:t>
      </w:r>
      <w:r>
        <w:rPr>
          <w:rFonts w:eastAsia="Calibri"/>
        </w:rPr>
        <w:t xml:space="preserve"> </w:t>
      </w:r>
      <w:r w:rsidRPr="005F4C4E">
        <w:rPr>
          <w:rFonts w:eastAsia="Calibri"/>
        </w:rPr>
        <w:t xml:space="preserve">ir valstybės vardu pasiskolintas lėšas), </w:t>
      </w:r>
      <w:r w:rsidRPr="005F4C4E">
        <w:t xml:space="preserve">11,9 mln. eurų (12,6 proc.) – </w:t>
      </w:r>
      <w:r w:rsidRPr="005F4C4E">
        <w:rPr>
          <w:rFonts w:eastAsia="Calibri"/>
        </w:rPr>
        <w:t>valstybės vardu pasiskolintas lėšų</w:t>
      </w:r>
      <w:r w:rsidRPr="003E09A3">
        <w:rPr>
          <w:rFonts w:eastAsia="Calibri"/>
        </w:rPr>
        <w:t xml:space="preserve"> </w:t>
      </w:r>
      <w:r>
        <w:rPr>
          <w:rFonts w:eastAsia="Calibri"/>
        </w:rPr>
        <w:t xml:space="preserve">numatytų skirti </w:t>
      </w:r>
      <w:r w:rsidRPr="005F4C4E">
        <w:t>vykdant Ekonomikos skatinimo ir koronaviruso (COVID-19) plitimo sukeltų pasekmių mažinimo priemonių planą</w:t>
      </w:r>
      <w:r>
        <w:t>,</w:t>
      </w:r>
      <w:r w:rsidRPr="003E09A3">
        <w:rPr>
          <w:rFonts w:eastAsia="Calibri"/>
        </w:rPr>
        <w:t xml:space="preserve"> ir </w:t>
      </w:r>
      <w:r>
        <w:t>6,5</w:t>
      </w:r>
      <w:r w:rsidRPr="003E09A3">
        <w:t xml:space="preserve"> mln. eurų (</w:t>
      </w:r>
      <w:r>
        <w:t>5,1</w:t>
      </w:r>
      <w:r w:rsidRPr="003E09A3">
        <w:t xml:space="preserve"> proc.) – </w:t>
      </w:r>
      <w:r w:rsidRPr="003E09A3">
        <w:rPr>
          <w:rFonts w:eastAsia="Calibri"/>
        </w:rPr>
        <w:t xml:space="preserve">biudžetinių įstaigų pajamų įmokų į valstybės biudžetą ir valstybės biudžeto pajamų iš mokesčių dalies lėšų, iš kurių beveik </w:t>
      </w:r>
      <w:r>
        <w:rPr>
          <w:rFonts w:eastAsia="Calibri"/>
        </w:rPr>
        <w:t>5</w:t>
      </w:r>
      <w:r w:rsidRPr="003E09A3">
        <w:rPr>
          <w:rFonts w:eastAsia="Calibri"/>
        </w:rPr>
        <w:t xml:space="preserve"> mln. eurų sudaro Kelių priežiūros ir plėtros programos finansavimo lėšos. </w:t>
      </w:r>
      <w:r w:rsidRPr="00650B6A">
        <w:rPr>
          <w:rFonts w:eastAsia="Calibri"/>
        </w:rPr>
        <w:t>Lėšų nepanaudojimą lėmė užsitęsusios viešųjų pirkimų</w:t>
      </w:r>
      <w:r w:rsidRPr="00650B6A">
        <w:t xml:space="preserve"> ir su jais susijusios teisinės bei administracinės procedūros</w:t>
      </w:r>
      <w:r w:rsidRPr="00650B6A">
        <w:rPr>
          <w:rFonts w:eastAsia="Calibri"/>
        </w:rPr>
        <w:t xml:space="preserve">, </w:t>
      </w:r>
      <w:r w:rsidRPr="00650B6A">
        <w:t>užtrukusios projektų įgyvendinimo eigoje paaiškėjusių papildomų darbų atlikimo terminų derinimo procedūros, paslaugų teikėjų laiku neįvykdyti sutartyse numatyti įsipareigojimai.</w:t>
      </w:r>
    </w:p>
    <w:p w:rsidR="000611B0" w:rsidRPr="009C6CFE" w:rsidRDefault="000611B0" w:rsidP="000611B0">
      <w:pPr>
        <w:pStyle w:val="Antrat33"/>
        <w:spacing w:line="240" w:lineRule="auto"/>
        <w:ind w:right="0"/>
        <w:jc w:val="both"/>
        <w:rPr>
          <w:rFonts w:eastAsia="Calibri"/>
          <w:b w:val="0"/>
          <w:smallCaps w:val="0"/>
        </w:rPr>
      </w:pPr>
      <w:r w:rsidRPr="009C6CFE">
        <w:rPr>
          <w:rFonts w:eastAsia="Calibri"/>
          <w:b w:val="0"/>
          <w:smallCaps w:val="0"/>
        </w:rPr>
        <w:t>Kartu informuojame, kad 2020 metais apmokėtos visos išlaidos pagal nustatyta tvarka pateiktas paraiškas dėl lėšų skyrimo iš valstybės biudžeto už 2020 metais atliktus darbus, suteiktas paslaugas ir įsigytą turtą.</w:t>
      </w:r>
    </w:p>
    <w:p w:rsidR="000611B0" w:rsidRDefault="000611B0" w:rsidP="004710BE">
      <w:pPr>
        <w:pStyle w:val="Antrat33"/>
        <w:spacing w:line="240" w:lineRule="auto"/>
        <w:ind w:right="0"/>
        <w:rPr>
          <w:color w:val="auto"/>
          <w:sz w:val="26"/>
          <w:szCs w:val="26"/>
        </w:rPr>
      </w:pPr>
    </w:p>
    <w:p w:rsidR="00B415D4" w:rsidRDefault="00B415D4" w:rsidP="004710BE">
      <w:pPr>
        <w:pStyle w:val="Antrat33"/>
        <w:spacing w:line="240" w:lineRule="auto"/>
        <w:ind w:right="0"/>
        <w:rPr>
          <w:color w:val="auto"/>
          <w:sz w:val="26"/>
          <w:szCs w:val="26"/>
        </w:rPr>
      </w:pPr>
    </w:p>
    <w:p w:rsidR="00BD3565" w:rsidRPr="004554DC" w:rsidRDefault="00BD3565" w:rsidP="004710BE">
      <w:pPr>
        <w:pStyle w:val="Antrat33"/>
        <w:spacing w:line="240" w:lineRule="auto"/>
        <w:ind w:right="0"/>
        <w:rPr>
          <w:color w:val="auto"/>
          <w:sz w:val="26"/>
          <w:szCs w:val="26"/>
        </w:rPr>
      </w:pPr>
      <w:r w:rsidRPr="004554DC">
        <w:rPr>
          <w:color w:val="auto"/>
          <w:sz w:val="26"/>
          <w:szCs w:val="26"/>
        </w:rPr>
        <w:t>Skolinimosi ir skolos limitai</w:t>
      </w:r>
    </w:p>
    <w:p w:rsidR="00BD3565" w:rsidRPr="004272C9" w:rsidRDefault="00BD3565" w:rsidP="00BD3565">
      <w:pPr>
        <w:pStyle w:val="Antrat33"/>
        <w:spacing w:line="240" w:lineRule="auto"/>
        <w:ind w:right="-266"/>
        <w:jc w:val="center"/>
        <w:rPr>
          <w:highlight w:val="yellow"/>
        </w:rPr>
      </w:pPr>
    </w:p>
    <w:p w:rsidR="00AD4BF3" w:rsidRDefault="00AD4BF3" w:rsidP="00AD4BF3">
      <w:pPr>
        <w:autoSpaceDE w:val="0"/>
        <w:autoSpaceDN w:val="0"/>
        <w:adjustRightInd w:val="0"/>
        <w:ind w:firstLine="709"/>
        <w:jc w:val="both"/>
        <w:rPr>
          <w:rFonts w:eastAsia="MS Mincho"/>
          <w:color w:val="auto"/>
          <w:lang w:eastAsia="ja-JP"/>
        </w:rPr>
      </w:pPr>
      <w:r w:rsidRPr="00566A16">
        <w:rPr>
          <w:rFonts w:eastAsia="MS Mincho"/>
          <w:color w:val="auto"/>
          <w:lang w:eastAsia="ja-JP"/>
        </w:rPr>
        <w:t>2020 metais Vyriausybė laikėsi visų teisės aktuose nustatytų skolinimosi ir skolos limitų. Vyriausybės grynasis skolinių įsipareigojimų pokytis 2020 m. sudarė 5.263,4 mln. eurų (limitas –5.401,4 mln. eurų).</w:t>
      </w:r>
      <w:r>
        <w:rPr>
          <w:rFonts w:eastAsia="MS Mincho"/>
          <w:color w:val="auto"/>
          <w:lang w:eastAsia="ja-JP"/>
        </w:rPr>
        <w:t xml:space="preserve"> </w:t>
      </w:r>
    </w:p>
    <w:p w:rsidR="00AD4BF3" w:rsidRDefault="00AD4BF3" w:rsidP="00AD4BF3">
      <w:pPr>
        <w:autoSpaceDE w:val="0"/>
        <w:autoSpaceDN w:val="0"/>
        <w:adjustRightInd w:val="0"/>
        <w:ind w:firstLine="709"/>
        <w:jc w:val="both"/>
        <w:rPr>
          <w:rFonts w:eastAsia="MS Mincho"/>
          <w:color w:val="auto"/>
          <w:lang w:eastAsia="ja-JP"/>
        </w:rPr>
      </w:pPr>
      <w:r w:rsidRPr="00566A16">
        <w:rPr>
          <w:rFonts w:eastAsia="MS Mincho"/>
          <w:color w:val="auto"/>
          <w:lang w:eastAsia="ja-JP"/>
        </w:rPr>
        <w:t xml:space="preserve">Vyriausybės įsipareigojimai už valstybės garantuojamų garantijų institucijų prisiimtus įsipareigojimus pagal garantijas sudarė 257,7 mln. eurų (limitas – 768,0 mln. eurų). Bendra valstybės garantijų dėl paskolų, teikiamų valstybės investicijų projektams finansuoti ir (arba) naudojamų Lietuvos Respublikos nacionaliniam saugumui užtikrinti svarbių objektų apsaugos įstatyme nurodytų nacionaliniam saugumui užtikrinti svarbių įmonių apyvartinėms lėšoms papildyti, suma 2020 metais – 97,2 mln. eurų (limitas – 370,5 mln. eurų). Bendra Vyriausybės garantijų dėl Mokslo ir studijų įstatyme nurodytų valstybės remiamų paskolų, prisiimtų 2020 ir ankstesniais metais, įsipareigojimų suma – 76,6 mln. eurų (limitas – 95 mln. eurų), iš jų per </w:t>
      </w:r>
      <w:r w:rsidRPr="00566A16">
        <w:t xml:space="preserve">2020 metus prisiimtų naujų įsipareigojimų suma </w:t>
      </w:r>
      <w:r w:rsidRPr="00566A16">
        <w:rPr>
          <w:rFonts w:eastAsia="MS Mincho"/>
          <w:color w:val="auto"/>
          <w:lang w:eastAsia="ja-JP"/>
        </w:rPr>
        <w:t>– 12,3 mln. eurų (limitas – 16 mln. eurų).</w:t>
      </w:r>
      <w:r>
        <w:rPr>
          <w:rFonts w:eastAsia="MS Mincho"/>
          <w:color w:val="auto"/>
          <w:lang w:eastAsia="ja-JP"/>
        </w:rPr>
        <w:t xml:space="preserve"> </w:t>
      </w:r>
      <w:r w:rsidRPr="00566A16">
        <w:rPr>
          <w:rFonts w:eastAsia="MS Mincho"/>
          <w:color w:val="auto"/>
          <w:lang w:eastAsia="ja-JP"/>
        </w:rPr>
        <w:t>Bendra valstybės garantijų dėl paskolų ir ne nuosavybės vertybinių popierių, naudojamų ekstremaliųjų situacijų paveiktos ekonomikos skatinimo tikslams įgyvendinti ir verslo finansiniam likvidumui didinti, suma</w:t>
      </w:r>
      <w:r>
        <w:rPr>
          <w:rFonts w:eastAsia="MS Mincho"/>
          <w:color w:val="auto"/>
          <w:lang w:eastAsia="ja-JP"/>
        </w:rPr>
        <w:t xml:space="preserve"> </w:t>
      </w:r>
      <w:r w:rsidRPr="00566A16">
        <w:rPr>
          <w:rFonts w:eastAsia="MS Mincho"/>
          <w:color w:val="auto"/>
          <w:lang w:eastAsia="ja-JP"/>
        </w:rPr>
        <w:t xml:space="preserve">2020 metais – </w:t>
      </w:r>
      <w:r>
        <w:rPr>
          <w:rFonts w:eastAsia="MS Mincho"/>
          <w:color w:val="auto"/>
          <w:lang w:eastAsia="ja-JP"/>
        </w:rPr>
        <w:t xml:space="preserve">0 </w:t>
      </w:r>
      <w:r w:rsidRPr="00566A16">
        <w:rPr>
          <w:rFonts w:eastAsia="MS Mincho"/>
          <w:color w:val="auto"/>
          <w:lang w:eastAsia="ja-JP"/>
        </w:rPr>
        <w:t xml:space="preserve">mln. eurų (limitas – </w:t>
      </w:r>
      <w:r>
        <w:rPr>
          <w:rFonts w:eastAsia="MS Mincho"/>
          <w:color w:val="auto"/>
          <w:lang w:eastAsia="ja-JP"/>
        </w:rPr>
        <w:t>500</w:t>
      </w:r>
      <w:r w:rsidRPr="00566A16">
        <w:rPr>
          <w:rFonts w:eastAsia="MS Mincho"/>
          <w:color w:val="auto"/>
          <w:lang w:eastAsia="ja-JP"/>
        </w:rPr>
        <w:t xml:space="preserve"> mln. eurų).</w:t>
      </w:r>
    </w:p>
    <w:p w:rsidR="00AD4BF3" w:rsidRPr="000502F5" w:rsidRDefault="00AD4BF3" w:rsidP="00AD4BF3">
      <w:pPr>
        <w:autoSpaceDE w:val="0"/>
        <w:autoSpaceDN w:val="0"/>
        <w:adjustRightInd w:val="0"/>
        <w:ind w:firstLine="709"/>
        <w:jc w:val="both"/>
        <w:rPr>
          <w:rFonts w:eastAsia="MS Mincho"/>
          <w:color w:val="auto"/>
          <w:lang w:eastAsia="ja-JP"/>
        </w:rPr>
      </w:pPr>
      <w:r w:rsidRPr="000502F5">
        <w:rPr>
          <w:rFonts w:eastAsia="MS Mincho"/>
          <w:color w:val="auto"/>
          <w:lang w:eastAsia="ja-JP"/>
        </w:rPr>
        <w:t xml:space="preserve">Valstybinių aukštųjų mokyklų ir valstybinių profesinio mokymo įstaigų 2020 metais pasirašytų paskolų sutarčių ir kitų įsipareigojamųjų dokumentų, suteikiančių teisę skolintis, suma – 3,4 mln. eurų (limitas – 8,5 mln. eurų). Bendra valstybinių aukštųjų mokyklų ir valstybinių profesinio mokymo įstaigų pasiskolintų lėšų pagal 2020 ir ankstesniais metais pasirašytas paskolų sutartis ir kitus įsipareigojamuosius skolos dokumentus suma – 0,6 mln. eurų (limitas – 10,5 mln. eurų). </w:t>
      </w:r>
    </w:p>
    <w:p w:rsidR="00AD4BF3" w:rsidRDefault="00AD4BF3" w:rsidP="00AD4BF3">
      <w:pPr>
        <w:autoSpaceDE w:val="0"/>
        <w:autoSpaceDN w:val="0"/>
        <w:adjustRightInd w:val="0"/>
        <w:ind w:firstLine="709"/>
        <w:jc w:val="both"/>
      </w:pPr>
      <w:r w:rsidRPr="000502F5">
        <w:rPr>
          <w:rFonts w:eastAsia="MS Mincho"/>
          <w:color w:val="auto"/>
          <w:lang w:eastAsia="ja-JP"/>
        </w:rPr>
        <w:lastRenderedPageBreak/>
        <w:t>Lietuvos Respublikos valstybės garantijos suteiktos pagal Lietuvos Respublikos Seimo ratifikuotus tarptautinius susitarimus su Europos investicijų banku 2020 m. sudarė 1,7</w:t>
      </w:r>
      <w:r>
        <w:rPr>
          <w:rFonts w:eastAsia="MS Mincho"/>
          <w:color w:val="auto"/>
          <w:lang w:eastAsia="ja-JP"/>
        </w:rPr>
        <w:t xml:space="preserve"> mln. eurų.</w:t>
      </w:r>
      <w:r w:rsidRPr="00C23807">
        <w:rPr>
          <w:rFonts w:eastAsia="MS Mincho"/>
          <w:color w:val="auto"/>
          <w:lang w:eastAsia="ja-JP"/>
        </w:rPr>
        <w:t xml:space="preserve"> </w:t>
      </w:r>
      <w:r w:rsidRPr="000502F5">
        <w:rPr>
          <w:rFonts w:eastAsia="MS Mincho"/>
          <w:color w:val="auto"/>
          <w:lang w:eastAsia="ja-JP"/>
        </w:rPr>
        <w:t>Lietuvos Respublikos valstybės garantijos suteiktos pagal</w:t>
      </w:r>
      <w:r>
        <w:rPr>
          <w:rFonts w:eastAsia="MS Mincho"/>
          <w:color w:val="auto"/>
          <w:lang w:eastAsia="ja-JP"/>
        </w:rPr>
        <w:t xml:space="preserve"> </w:t>
      </w:r>
      <w:r>
        <w:t>2020 m. gegužės 19 d. Tarybos reglamentą dėl Europos laikinos paramos priemonės nedarbo rizikai dėl ekstremaliosios situacijos, susijusios su COVID-19 protūkiu, mažinti (SURE) sukūrimo, 2020 m. sudarė 84,0 mln. eurų.</w:t>
      </w:r>
    </w:p>
    <w:p w:rsidR="00AD4BF3" w:rsidRDefault="00AD4BF3" w:rsidP="00AD4BF3">
      <w:pPr>
        <w:autoSpaceDE w:val="0"/>
        <w:autoSpaceDN w:val="0"/>
        <w:adjustRightInd w:val="0"/>
        <w:ind w:firstLine="709"/>
        <w:jc w:val="both"/>
        <w:rPr>
          <w:rFonts w:eastAsia="MS Mincho"/>
          <w:color w:val="auto"/>
          <w:lang w:eastAsia="ja-JP"/>
        </w:rPr>
      </w:pPr>
      <w:r w:rsidRPr="000502F5">
        <w:rPr>
          <w:rFonts w:eastAsia="MS Mincho"/>
          <w:color w:val="auto"/>
          <w:lang w:eastAsia="ja-JP"/>
        </w:rPr>
        <w:t>Bendras valstybės įsipareigojimų pagal garantijas lygis 2020 m. buvo 0,9 proc. BVP ir neviršijo nustatyto 5 proc. BVP limito. Taip pat Vyriausybė 2020 metais laikėsi visų kitų – perfinansavimo, palūkanų ir valiutų kursų kitimo – rizikos limitų.</w:t>
      </w:r>
    </w:p>
    <w:p w:rsidR="00BD3565" w:rsidRPr="004272C9" w:rsidRDefault="00AD4BF3" w:rsidP="00AD4BF3">
      <w:pPr>
        <w:autoSpaceDE w:val="0"/>
        <w:autoSpaceDN w:val="0"/>
        <w:adjustRightInd w:val="0"/>
        <w:ind w:firstLine="709"/>
        <w:jc w:val="both"/>
        <w:rPr>
          <w:b/>
          <w:smallCaps/>
          <w:sz w:val="28"/>
          <w:szCs w:val="20"/>
          <w:highlight w:val="yellow"/>
        </w:rPr>
      </w:pPr>
      <w:r w:rsidRPr="004272C9">
        <w:rPr>
          <w:sz w:val="28"/>
          <w:szCs w:val="20"/>
          <w:highlight w:val="yellow"/>
        </w:rPr>
        <w:br w:type="page"/>
      </w:r>
    </w:p>
    <w:p w:rsidR="00BD3565" w:rsidRPr="004554DC" w:rsidRDefault="00BD3565" w:rsidP="00BD3565">
      <w:pPr>
        <w:pStyle w:val="Antrat33"/>
        <w:spacing w:line="264" w:lineRule="auto"/>
        <w:ind w:right="-266"/>
        <w:jc w:val="center"/>
        <w:rPr>
          <w:sz w:val="28"/>
          <w:szCs w:val="20"/>
        </w:rPr>
      </w:pPr>
      <w:r w:rsidRPr="004554DC">
        <w:rPr>
          <w:sz w:val="28"/>
          <w:szCs w:val="20"/>
        </w:rPr>
        <w:lastRenderedPageBreak/>
        <w:t>V skyrius</w:t>
      </w:r>
    </w:p>
    <w:p w:rsidR="00BD3565" w:rsidRPr="004554DC" w:rsidRDefault="00BD3565" w:rsidP="00BD3565">
      <w:pPr>
        <w:pStyle w:val="Antrat33"/>
        <w:spacing w:line="264" w:lineRule="auto"/>
        <w:ind w:right="-266"/>
        <w:jc w:val="center"/>
        <w:rPr>
          <w:sz w:val="28"/>
          <w:szCs w:val="20"/>
        </w:rPr>
      </w:pPr>
      <w:r w:rsidRPr="004554DC">
        <w:rPr>
          <w:sz w:val="28"/>
          <w:szCs w:val="20"/>
        </w:rPr>
        <w:t xml:space="preserve">Baigiamosios nuostatos </w:t>
      </w:r>
    </w:p>
    <w:p w:rsidR="00BD3565" w:rsidRPr="004272C9" w:rsidRDefault="00BD3565" w:rsidP="00BD3565">
      <w:pPr>
        <w:jc w:val="center"/>
        <w:rPr>
          <w:b/>
          <w:color w:val="auto"/>
          <w:sz w:val="22"/>
          <w:szCs w:val="22"/>
          <w:highlight w:val="yellow"/>
        </w:rPr>
      </w:pPr>
    </w:p>
    <w:p w:rsidR="00BD3565" w:rsidRPr="00A4471D" w:rsidRDefault="00BD3565" w:rsidP="00BD3565">
      <w:pPr>
        <w:ind w:firstLine="539"/>
        <w:jc w:val="both"/>
        <w:rPr>
          <w:color w:val="auto"/>
        </w:rPr>
      </w:pPr>
      <w:r w:rsidRPr="0070164F">
        <w:rPr>
          <w:color w:val="auto"/>
        </w:rPr>
        <w:t>Finansinių rodiklių patvirtinimo įstatyme numatyta, kad 20</w:t>
      </w:r>
      <w:r w:rsidR="0055332D" w:rsidRPr="0070164F">
        <w:rPr>
          <w:color w:val="auto"/>
        </w:rPr>
        <w:t>20</w:t>
      </w:r>
      <w:r w:rsidRPr="0070164F">
        <w:rPr>
          <w:color w:val="auto"/>
        </w:rPr>
        <w:t xml:space="preserve"> metais valstybės biudžeto asignavimai (kartu su ES ir kitos tarptautinės finansinės paramos lėšomis) viršys pajamas </w:t>
      </w:r>
      <w:r w:rsidRPr="0070164F">
        <w:rPr>
          <w:b/>
          <w:color w:val="auto"/>
        </w:rPr>
        <w:t xml:space="preserve">1 </w:t>
      </w:r>
      <w:r w:rsidR="0070164F" w:rsidRPr="0070164F">
        <w:rPr>
          <w:b/>
          <w:color w:val="auto"/>
        </w:rPr>
        <w:t>248</w:t>
      </w:r>
      <w:r w:rsidRPr="0070164F">
        <w:rPr>
          <w:b/>
          <w:color w:val="auto"/>
        </w:rPr>
        <w:t>,</w:t>
      </w:r>
      <w:r w:rsidR="0070164F" w:rsidRPr="0070164F">
        <w:rPr>
          <w:b/>
          <w:color w:val="auto"/>
        </w:rPr>
        <w:t>2</w:t>
      </w:r>
      <w:r w:rsidRPr="0070164F">
        <w:rPr>
          <w:b/>
          <w:color w:val="auto"/>
        </w:rPr>
        <w:t xml:space="preserve"> mln. eurų</w:t>
      </w:r>
      <w:r w:rsidRPr="00802D03">
        <w:rPr>
          <w:color w:val="auto"/>
        </w:rPr>
        <w:t xml:space="preserve">. Faktiškai valstybės biudžeto asignavimai viršijo valstybės biudžeto pajamas (kartu su ES ir kitos tarptautinės finansinės paramos lėšomis) </w:t>
      </w:r>
      <w:r w:rsidR="00A4471D" w:rsidRPr="00A4471D">
        <w:rPr>
          <w:b/>
          <w:color w:val="auto"/>
        </w:rPr>
        <w:t>4</w:t>
      </w:r>
      <w:r w:rsidRPr="00A4471D">
        <w:rPr>
          <w:b/>
          <w:color w:val="auto"/>
        </w:rPr>
        <w:t xml:space="preserve"> </w:t>
      </w:r>
      <w:r w:rsidR="00A4471D" w:rsidRPr="00A4471D">
        <w:rPr>
          <w:b/>
          <w:color w:val="auto"/>
        </w:rPr>
        <w:t>565</w:t>
      </w:r>
      <w:r w:rsidRPr="00A4471D">
        <w:rPr>
          <w:b/>
          <w:color w:val="auto"/>
        </w:rPr>
        <w:t>,6</w:t>
      </w:r>
      <w:r w:rsidRPr="00A4471D">
        <w:rPr>
          <w:color w:val="auto"/>
        </w:rPr>
        <w:t xml:space="preserve"> </w:t>
      </w:r>
      <w:r w:rsidRPr="00A4471D">
        <w:rPr>
          <w:b/>
          <w:color w:val="auto"/>
        </w:rPr>
        <w:t>mln. eurų.</w:t>
      </w:r>
    </w:p>
    <w:p w:rsidR="00BD3565" w:rsidRPr="004272C9" w:rsidRDefault="00BD3565" w:rsidP="00BD3565">
      <w:pPr>
        <w:ind w:firstLine="539"/>
        <w:jc w:val="both"/>
        <w:rPr>
          <w:color w:val="auto"/>
          <w:highlight w:val="yellow"/>
        </w:rPr>
      </w:pPr>
      <w:r w:rsidRPr="0098611D">
        <w:rPr>
          <w:color w:val="auto"/>
        </w:rPr>
        <w:t xml:space="preserve">Valstybės biudžeto asignavimai viršijo valstybės biudžeto pajamas (nevertinat ES ir kitos tarptautinės finansinės paramos įplaukų ir </w:t>
      </w:r>
      <w:r w:rsidRPr="00FE10AE">
        <w:rPr>
          <w:color w:val="auto"/>
        </w:rPr>
        <w:t xml:space="preserve">šiomis lėšomis vykdomų programų išlaidų) </w:t>
      </w:r>
      <w:r w:rsidR="0098611D" w:rsidRPr="00FE10AE">
        <w:rPr>
          <w:b/>
          <w:color w:val="auto"/>
        </w:rPr>
        <w:t>4 957</w:t>
      </w:r>
      <w:r w:rsidRPr="00FE10AE">
        <w:rPr>
          <w:b/>
          <w:color w:val="auto"/>
        </w:rPr>
        <w:t>,</w:t>
      </w:r>
      <w:r w:rsidR="0098611D" w:rsidRPr="00FE10AE">
        <w:rPr>
          <w:b/>
          <w:color w:val="auto"/>
        </w:rPr>
        <w:t>4</w:t>
      </w:r>
      <w:r w:rsidRPr="00FE10AE">
        <w:rPr>
          <w:b/>
          <w:color w:val="auto"/>
        </w:rPr>
        <w:t xml:space="preserve"> mln. eurų</w:t>
      </w:r>
      <w:r w:rsidRPr="00C134D9">
        <w:rPr>
          <w:color w:val="auto"/>
        </w:rPr>
        <w:t>. 20</w:t>
      </w:r>
      <w:r w:rsidR="00FE10AE" w:rsidRPr="00C134D9">
        <w:rPr>
          <w:color w:val="auto"/>
        </w:rPr>
        <w:t>20</w:t>
      </w:r>
      <w:r w:rsidRPr="00C134D9">
        <w:rPr>
          <w:color w:val="auto"/>
        </w:rPr>
        <w:t xml:space="preserve"> metais valstybės biudžetas surinko </w:t>
      </w:r>
      <w:r w:rsidR="00FE10AE" w:rsidRPr="00C134D9">
        <w:rPr>
          <w:color w:val="auto"/>
        </w:rPr>
        <w:t>883</w:t>
      </w:r>
      <w:r w:rsidRPr="00C134D9">
        <w:rPr>
          <w:color w:val="auto"/>
        </w:rPr>
        <w:t>,</w:t>
      </w:r>
      <w:r w:rsidR="00FE10AE" w:rsidRPr="00C134D9">
        <w:rPr>
          <w:color w:val="auto"/>
        </w:rPr>
        <w:t>6</w:t>
      </w:r>
      <w:r w:rsidRPr="00C134D9">
        <w:rPr>
          <w:color w:val="auto"/>
        </w:rPr>
        <w:t xml:space="preserve"> mln. eurų </w:t>
      </w:r>
      <w:r w:rsidR="00FE10AE" w:rsidRPr="00C134D9">
        <w:rPr>
          <w:color w:val="auto"/>
        </w:rPr>
        <w:t>mažiau</w:t>
      </w:r>
      <w:r w:rsidRPr="00C134D9">
        <w:rPr>
          <w:color w:val="auto"/>
        </w:rPr>
        <w:t xml:space="preserve"> pajamų, o programoms įgyvendinti panaudojo </w:t>
      </w:r>
      <w:r w:rsidR="00FE10AE" w:rsidRPr="00C134D9">
        <w:rPr>
          <w:color w:val="auto"/>
        </w:rPr>
        <w:t>3</w:t>
      </w:r>
      <w:r w:rsidR="00C134D9">
        <w:rPr>
          <w:color w:val="auto"/>
        </w:rPr>
        <w:t xml:space="preserve"> 078</w:t>
      </w:r>
      <w:r w:rsidRPr="00C134D9">
        <w:rPr>
          <w:color w:val="auto"/>
        </w:rPr>
        <w:t>,</w:t>
      </w:r>
      <w:r w:rsidR="00C134D9">
        <w:rPr>
          <w:color w:val="auto"/>
        </w:rPr>
        <w:t>8</w:t>
      </w:r>
      <w:r w:rsidRPr="00C134D9">
        <w:rPr>
          <w:color w:val="auto"/>
        </w:rPr>
        <w:t xml:space="preserve"> mln. eurų </w:t>
      </w:r>
      <w:r w:rsidR="00C134D9" w:rsidRPr="00C134D9">
        <w:rPr>
          <w:color w:val="auto"/>
        </w:rPr>
        <w:t>daugiau</w:t>
      </w:r>
      <w:r w:rsidRPr="00C134D9">
        <w:rPr>
          <w:color w:val="auto"/>
        </w:rPr>
        <w:t xml:space="preserve"> asignavimų nei planuota Finansinių rodiklių patvirtinimo įstatyme (nevertinat ES ir kitos tarptautinės finansinės paramos įplaukų ir šiomis lėšomis vykdomų programų išlaidų).</w:t>
      </w:r>
    </w:p>
    <w:p w:rsidR="00BD3565" w:rsidRPr="00D34C5E" w:rsidRDefault="00BD3565" w:rsidP="00BD3565">
      <w:pPr>
        <w:autoSpaceDE w:val="0"/>
        <w:autoSpaceDN w:val="0"/>
        <w:adjustRightInd w:val="0"/>
        <w:ind w:firstLine="567"/>
        <w:jc w:val="both"/>
        <w:rPr>
          <w:color w:val="auto"/>
        </w:rPr>
      </w:pPr>
      <w:r w:rsidRPr="0058070C">
        <w:rPr>
          <w:color w:val="auto"/>
        </w:rPr>
        <w:t>20</w:t>
      </w:r>
      <w:r w:rsidR="0058070C" w:rsidRPr="0058070C">
        <w:rPr>
          <w:color w:val="auto"/>
        </w:rPr>
        <w:t>20</w:t>
      </w:r>
      <w:r w:rsidRPr="0058070C">
        <w:rPr>
          <w:color w:val="auto"/>
        </w:rPr>
        <w:t xml:space="preserve"> metais gauta </w:t>
      </w:r>
      <w:r w:rsidR="0058070C" w:rsidRPr="0058070C">
        <w:rPr>
          <w:color w:val="auto"/>
        </w:rPr>
        <w:t>2</w:t>
      </w:r>
      <w:r w:rsidRPr="0058070C">
        <w:rPr>
          <w:color w:val="auto"/>
        </w:rPr>
        <w:t xml:space="preserve"> </w:t>
      </w:r>
      <w:r w:rsidR="0058070C" w:rsidRPr="0058070C">
        <w:rPr>
          <w:color w:val="auto"/>
        </w:rPr>
        <w:t>332</w:t>
      </w:r>
      <w:r w:rsidRPr="0058070C">
        <w:rPr>
          <w:color w:val="auto"/>
        </w:rPr>
        <w:t>,</w:t>
      </w:r>
      <w:r w:rsidR="0058070C" w:rsidRPr="0058070C">
        <w:rPr>
          <w:color w:val="auto"/>
        </w:rPr>
        <w:t>0</w:t>
      </w:r>
      <w:r w:rsidRPr="0058070C">
        <w:rPr>
          <w:color w:val="auto"/>
        </w:rPr>
        <w:t xml:space="preserve"> mln. eurų ES ir kitos tarptautin</w:t>
      </w:r>
      <w:r w:rsidRPr="0058070C">
        <w:rPr>
          <w:rFonts w:eastAsia="TimesNewRoman"/>
          <w:color w:val="auto"/>
        </w:rPr>
        <w:t>ė</w:t>
      </w:r>
      <w:r w:rsidRPr="0058070C">
        <w:rPr>
          <w:color w:val="auto"/>
        </w:rPr>
        <w:t>s finansinės paramos lėšų, palūkanų, delspinigių ir kitų pajamų, projektų vykdytojai taip pat grąžin</w:t>
      </w:r>
      <w:r w:rsidRPr="00504226">
        <w:rPr>
          <w:color w:val="auto"/>
        </w:rPr>
        <w:t xml:space="preserve">o </w:t>
      </w:r>
      <w:r w:rsidR="00504226" w:rsidRPr="00504226">
        <w:rPr>
          <w:color w:val="auto"/>
        </w:rPr>
        <w:t>12</w:t>
      </w:r>
      <w:r w:rsidRPr="00504226">
        <w:rPr>
          <w:color w:val="auto"/>
        </w:rPr>
        <w:t>,</w:t>
      </w:r>
      <w:r w:rsidR="00504226" w:rsidRPr="00504226">
        <w:rPr>
          <w:color w:val="auto"/>
        </w:rPr>
        <w:t>8</w:t>
      </w:r>
      <w:r w:rsidRPr="00504226">
        <w:rPr>
          <w:color w:val="auto"/>
        </w:rPr>
        <w:t xml:space="preserve"> mln. eurų ankstesniais metais išmokėtų finansinės paramos lėšų. ES ir </w:t>
      </w:r>
      <w:r w:rsidRPr="00233302">
        <w:rPr>
          <w:color w:val="auto"/>
        </w:rPr>
        <w:t xml:space="preserve">kitos </w:t>
      </w:r>
      <w:r w:rsidRPr="00D34C5E">
        <w:rPr>
          <w:color w:val="auto"/>
        </w:rPr>
        <w:t>tarptautin</w:t>
      </w:r>
      <w:r w:rsidRPr="00D34C5E">
        <w:rPr>
          <w:rFonts w:eastAsia="TimesNewRoman"/>
          <w:color w:val="auto"/>
        </w:rPr>
        <w:t>ė</w:t>
      </w:r>
      <w:r w:rsidRPr="00D34C5E">
        <w:rPr>
          <w:color w:val="auto"/>
        </w:rPr>
        <w:t>s finansinės paramos programoms finansuoti per 20</w:t>
      </w:r>
      <w:r w:rsidR="00233302" w:rsidRPr="00D34C5E">
        <w:rPr>
          <w:color w:val="auto"/>
        </w:rPr>
        <w:t>20</w:t>
      </w:r>
      <w:r w:rsidRPr="00D34C5E">
        <w:rPr>
          <w:color w:val="auto"/>
        </w:rPr>
        <w:t xml:space="preserve"> metus buvo išmokėta 1 </w:t>
      </w:r>
      <w:r w:rsidR="00233302" w:rsidRPr="00D34C5E">
        <w:rPr>
          <w:color w:val="auto"/>
        </w:rPr>
        <w:t>940</w:t>
      </w:r>
      <w:r w:rsidRPr="00D34C5E">
        <w:rPr>
          <w:color w:val="auto"/>
        </w:rPr>
        <w:t>,</w:t>
      </w:r>
      <w:r w:rsidR="00233302" w:rsidRPr="00D34C5E">
        <w:rPr>
          <w:color w:val="auto"/>
        </w:rPr>
        <w:t>2</w:t>
      </w:r>
      <w:r w:rsidRPr="00D34C5E">
        <w:rPr>
          <w:color w:val="auto"/>
        </w:rPr>
        <w:t xml:space="preserve"> mln. eurų. Metų pabaigoje bendras ES ir kitos tarptautin</w:t>
      </w:r>
      <w:r w:rsidRPr="00D34C5E">
        <w:rPr>
          <w:rFonts w:eastAsia="TimesNewRoman"/>
          <w:color w:val="auto"/>
        </w:rPr>
        <w:t>ė</w:t>
      </w:r>
      <w:r w:rsidRPr="00D34C5E">
        <w:rPr>
          <w:color w:val="auto"/>
        </w:rPr>
        <w:t xml:space="preserve">s finansinės paramos lėšų likutis buvo neigiamas ir sudarė </w:t>
      </w:r>
      <w:r w:rsidR="00D34C5E" w:rsidRPr="00D34C5E">
        <w:rPr>
          <w:color w:val="auto"/>
        </w:rPr>
        <w:t>292</w:t>
      </w:r>
      <w:r w:rsidRPr="00D34C5E">
        <w:rPr>
          <w:color w:val="auto"/>
        </w:rPr>
        <w:t>,</w:t>
      </w:r>
      <w:r w:rsidR="00D34C5E" w:rsidRPr="00D34C5E">
        <w:rPr>
          <w:color w:val="auto"/>
        </w:rPr>
        <w:t>0</w:t>
      </w:r>
      <w:r w:rsidRPr="00D34C5E">
        <w:rPr>
          <w:color w:val="auto"/>
        </w:rPr>
        <w:t xml:space="preserve"> mln. eurų (201</w:t>
      </w:r>
      <w:r w:rsidR="00D34C5E" w:rsidRPr="00D34C5E">
        <w:rPr>
          <w:color w:val="auto"/>
        </w:rPr>
        <w:t>9</w:t>
      </w:r>
      <w:r w:rsidRPr="00D34C5E">
        <w:rPr>
          <w:color w:val="auto"/>
        </w:rPr>
        <w:t xml:space="preserve"> metų pabaigoje likutis taip pat buvo neigiamas ir sudarė 6</w:t>
      </w:r>
      <w:r w:rsidR="00D34C5E" w:rsidRPr="00D34C5E">
        <w:rPr>
          <w:color w:val="auto"/>
        </w:rPr>
        <w:t>96</w:t>
      </w:r>
      <w:r w:rsidRPr="00D34C5E">
        <w:rPr>
          <w:color w:val="auto"/>
        </w:rPr>
        <w:t>,</w:t>
      </w:r>
      <w:r w:rsidR="00D34C5E" w:rsidRPr="00D34C5E">
        <w:rPr>
          <w:color w:val="auto"/>
        </w:rPr>
        <w:t>6</w:t>
      </w:r>
      <w:r w:rsidRPr="00D34C5E">
        <w:rPr>
          <w:color w:val="auto"/>
        </w:rPr>
        <w:t xml:space="preserve"> mln. eurų). Informacija apie ES ir kitos tarptautinės finansinės paramos įplaukas ir mokėjimus pagal finansavimo šaltinius 20</w:t>
      </w:r>
      <w:r w:rsidR="00D34C5E" w:rsidRPr="00D34C5E">
        <w:rPr>
          <w:color w:val="auto"/>
        </w:rPr>
        <w:t>20</w:t>
      </w:r>
      <w:r w:rsidRPr="00D34C5E">
        <w:rPr>
          <w:color w:val="auto"/>
        </w:rPr>
        <w:t xml:space="preserve"> metais pateikiama aiškinamojo rašto </w:t>
      </w:r>
      <w:r w:rsidRPr="00D34C5E">
        <w:rPr>
          <w:b/>
          <w:color w:val="auto"/>
        </w:rPr>
        <w:t>5 priede</w:t>
      </w:r>
      <w:r w:rsidRPr="00D34C5E">
        <w:rPr>
          <w:color w:val="auto"/>
        </w:rPr>
        <w:t>.</w:t>
      </w:r>
    </w:p>
    <w:p w:rsidR="00BD3565" w:rsidRPr="004272C9" w:rsidRDefault="00BD3565" w:rsidP="00BD3565">
      <w:pPr>
        <w:autoSpaceDE w:val="0"/>
        <w:autoSpaceDN w:val="0"/>
        <w:adjustRightInd w:val="0"/>
        <w:ind w:firstLine="567"/>
        <w:jc w:val="both"/>
        <w:rPr>
          <w:highlight w:val="yellow"/>
        </w:rPr>
      </w:pPr>
    </w:p>
    <w:p w:rsidR="00BD3565" w:rsidRPr="00636C13" w:rsidRDefault="00BD3565" w:rsidP="00BD3565">
      <w:pPr>
        <w:tabs>
          <w:tab w:val="left" w:pos="709"/>
        </w:tabs>
        <w:autoSpaceDE w:val="0"/>
        <w:autoSpaceDN w:val="0"/>
        <w:adjustRightInd w:val="0"/>
        <w:jc w:val="both"/>
        <w:rPr>
          <w:color w:val="auto"/>
        </w:rPr>
      </w:pPr>
      <w:r w:rsidRPr="00636C13">
        <w:rPr>
          <w:b/>
          <w:color w:val="auto"/>
        </w:rPr>
        <w:t>1</w:t>
      </w:r>
      <w:r w:rsidR="00A96843">
        <w:rPr>
          <w:b/>
          <w:color w:val="auto"/>
        </w:rPr>
        <w:t>5</w:t>
      </w:r>
      <w:r w:rsidRPr="00636C13">
        <w:rPr>
          <w:b/>
          <w:color w:val="auto"/>
        </w:rPr>
        <w:t xml:space="preserve"> lentelė.</w:t>
      </w:r>
      <w:r w:rsidRPr="00636C13">
        <w:rPr>
          <w:color w:val="auto"/>
        </w:rPr>
        <w:t xml:space="preserve"> Informacija apie valstybės biudžeto ir skolintų lėšų likučius bankų sąskaitose ir baigiamas apyvartas, mln. eurų.</w:t>
      </w:r>
    </w:p>
    <w:tbl>
      <w:tblPr>
        <w:tblW w:w="96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74"/>
        <w:gridCol w:w="1701"/>
        <w:gridCol w:w="1843"/>
        <w:gridCol w:w="1418"/>
        <w:gridCol w:w="1275"/>
        <w:gridCol w:w="992"/>
      </w:tblGrid>
      <w:tr w:rsidR="00BD3565" w:rsidRPr="004272C9" w:rsidTr="00BC3117">
        <w:trPr>
          <w:trHeight w:val="390"/>
        </w:trPr>
        <w:tc>
          <w:tcPr>
            <w:tcW w:w="2374" w:type="dxa"/>
            <w:vMerge w:val="restart"/>
            <w:shd w:val="clear" w:color="auto" w:fill="auto"/>
            <w:noWrap/>
            <w:vAlign w:val="center"/>
            <w:hideMark/>
          </w:tcPr>
          <w:p w:rsidR="00BD3565" w:rsidRPr="00A653A0" w:rsidRDefault="00BD3565" w:rsidP="00BC3117">
            <w:pPr>
              <w:jc w:val="center"/>
              <w:rPr>
                <w:b/>
                <w:bCs/>
                <w:color w:val="auto"/>
                <w:sz w:val="20"/>
                <w:szCs w:val="20"/>
              </w:rPr>
            </w:pPr>
            <w:r w:rsidRPr="00A653A0">
              <w:rPr>
                <w:b/>
                <w:bCs/>
                <w:color w:val="auto"/>
                <w:sz w:val="20"/>
                <w:szCs w:val="20"/>
              </w:rPr>
              <w:t>Lėšos pagal paskirtį</w:t>
            </w:r>
          </w:p>
        </w:tc>
        <w:tc>
          <w:tcPr>
            <w:tcW w:w="1701" w:type="dxa"/>
            <w:vMerge w:val="restart"/>
            <w:shd w:val="clear" w:color="auto" w:fill="auto"/>
            <w:vAlign w:val="center"/>
            <w:hideMark/>
          </w:tcPr>
          <w:p w:rsidR="00BD3565" w:rsidRPr="00A653A0" w:rsidRDefault="00BD3565" w:rsidP="00A653A0">
            <w:pPr>
              <w:jc w:val="center"/>
              <w:rPr>
                <w:b/>
                <w:bCs/>
                <w:color w:val="auto"/>
                <w:sz w:val="20"/>
                <w:szCs w:val="20"/>
              </w:rPr>
            </w:pPr>
            <w:r w:rsidRPr="00A653A0">
              <w:rPr>
                <w:b/>
                <w:bCs/>
                <w:color w:val="auto"/>
                <w:sz w:val="20"/>
                <w:szCs w:val="20"/>
              </w:rPr>
              <w:t>Lėšų likutis 20</w:t>
            </w:r>
            <w:r w:rsidR="00A653A0" w:rsidRPr="00A653A0">
              <w:rPr>
                <w:b/>
                <w:bCs/>
                <w:color w:val="auto"/>
                <w:sz w:val="20"/>
                <w:szCs w:val="20"/>
              </w:rPr>
              <w:t>20</w:t>
            </w:r>
            <w:r w:rsidRPr="00A653A0">
              <w:rPr>
                <w:b/>
                <w:bCs/>
                <w:color w:val="auto"/>
                <w:sz w:val="20"/>
                <w:szCs w:val="20"/>
              </w:rPr>
              <w:t> m. gruodžio 31 d. (įskaitant terminuotuosius indėlius)</w:t>
            </w:r>
          </w:p>
        </w:tc>
        <w:tc>
          <w:tcPr>
            <w:tcW w:w="1843" w:type="dxa"/>
            <w:vMerge w:val="restart"/>
            <w:shd w:val="clear" w:color="auto" w:fill="auto"/>
            <w:vAlign w:val="center"/>
            <w:hideMark/>
          </w:tcPr>
          <w:p w:rsidR="00BD3565" w:rsidRPr="00A653A0" w:rsidRDefault="00BD3565" w:rsidP="00A653A0">
            <w:pPr>
              <w:jc w:val="center"/>
              <w:rPr>
                <w:b/>
                <w:bCs/>
                <w:color w:val="auto"/>
                <w:sz w:val="20"/>
                <w:szCs w:val="20"/>
              </w:rPr>
            </w:pPr>
            <w:r w:rsidRPr="00A653A0">
              <w:rPr>
                <w:b/>
                <w:bCs/>
                <w:color w:val="auto"/>
                <w:sz w:val="20"/>
                <w:szCs w:val="20"/>
              </w:rPr>
              <w:t>Papildomos įplaukos, mokėtojų sumokėtos iki 20</w:t>
            </w:r>
            <w:r w:rsidR="00A653A0" w:rsidRPr="00A653A0">
              <w:rPr>
                <w:b/>
                <w:bCs/>
                <w:color w:val="auto"/>
                <w:sz w:val="20"/>
                <w:szCs w:val="20"/>
              </w:rPr>
              <w:t>20</w:t>
            </w:r>
            <w:r w:rsidRPr="00A653A0">
              <w:rPr>
                <w:b/>
                <w:bCs/>
                <w:color w:val="auto"/>
                <w:sz w:val="20"/>
                <w:szCs w:val="20"/>
              </w:rPr>
              <w:t xml:space="preserve"> m. gruodžio 31 d.</w:t>
            </w:r>
          </w:p>
        </w:tc>
        <w:tc>
          <w:tcPr>
            <w:tcW w:w="1418" w:type="dxa"/>
            <w:vMerge w:val="restart"/>
            <w:shd w:val="clear" w:color="auto" w:fill="auto"/>
            <w:vAlign w:val="center"/>
            <w:hideMark/>
          </w:tcPr>
          <w:p w:rsidR="00BD3565" w:rsidRPr="00A653A0" w:rsidRDefault="00BD3565" w:rsidP="00BC3117">
            <w:pPr>
              <w:jc w:val="center"/>
              <w:rPr>
                <w:b/>
                <w:bCs/>
                <w:color w:val="auto"/>
                <w:sz w:val="20"/>
                <w:szCs w:val="20"/>
              </w:rPr>
            </w:pPr>
            <w:r w:rsidRPr="00A653A0">
              <w:rPr>
                <w:b/>
                <w:bCs/>
                <w:color w:val="auto"/>
                <w:sz w:val="20"/>
                <w:szCs w:val="20"/>
              </w:rPr>
              <w:t>Asignavimų valdytojų grąžintos lėšos, didinančios likutį</w:t>
            </w:r>
          </w:p>
        </w:tc>
        <w:tc>
          <w:tcPr>
            <w:tcW w:w="1275" w:type="dxa"/>
            <w:vMerge w:val="restart"/>
            <w:shd w:val="clear" w:color="auto" w:fill="auto"/>
            <w:vAlign w:val="center"/>
            <w:hideMark/>
          </w:tcPr>
          <w:p w:rsidR="00BD3565" w:rsidRPr="00A653A0" w:rsidRDefault="00BD3565" w:rsidP="00BC3117">
            <w:pPr>
              <w:jc w:val="center"/>
              <w:rPr>
                <w:b/>
                <w:bCs/>
                <w:color w:val="auto"/>
                <w:sz w:val="20"/>
                <w:szCs w:val="20"/>
              </w:rPr>
            </w:pPr>
            <w:r w:rsidRPr="00A653A0">
              <w:rPr>
                <w:b/>
                <w:bCs/>
                <w:color w:val="auto"/>
                <w:sz w:val="20"/>
                <w:szCs w:val="20"/>
              </w:rPr>
              <w:t>Biudžeto lėšų likučiai asignavimų valdytojų sąskaitose</w:t>
            </w:r>
          </w:p>
        </w:tc>
        <w:tc>
          <w:tcPr>
            <w:tcW w:w="992" w:type="dxa"/>
            <w:vMerge w:val="restart"/>
            <w:shd w:val="clear" w:color="auto" w:fill="auto"/>
            <w:vAlign w:val="center"/>
            <w:hideMark/>
          </w:tcPr>
          <w:p w:rsidR="00BD3565" w:rsidRPr="00A653A0" w:rsidRDefault="00BD3565" w:rsidP="00BC3117">
            <w:pPr>
              <w:jc w:val="center"/>
              <w:rPr>
                <w:b/>
                <w:bCs/>
                <w:color w:val="auto"/>
                <w:sz w:val="20"/>
                <w:szCs w:val="20"/>
              </w:rPr>
            </w:pPr>
            <w:r w:rsidRPr="00A653A0">
              <w:rPr>
                <w:b/>
                <w:bCs/>
                <w:color w:val="auto"/>
                <w:sz w:val="20"/>
                <w:szCs w:val="20"/>
              </w:rPr>
              <w:t>Iš viso</w:t>
            </w:r>
          </w:p>
        </w:tc>
      </w:tr>
      <w:tr w:rsidR="00BD3565" w:rsidRPr="004272C9" w:rsidTr="00BC3117">
        <w:trPr>
          <w:trHeight w:val="390"/>
        </w:trPr>
        <w:tc>
          <w:tcPr>
            <w:tcW w:w="2374" w:type="dxa"/>
            <w:vMerge/>
            <w:vAlign w:val="center"/>
            <w:hideMark/>
          </w:tcPr>
          <w:p w:rsidR="00BD3565" w:rsidRPr="00A653A0" w:rsidRDefault="00BD3565" w:rsidP="00BC3117">
            <w:pPr>
              <w:rPr>
                <w:b/>
                <w:bCs/>
                <w:color w:val="auto"/>
                <w:sz w:val="20"/>
                <w:szCs w:val="20"/>
              </w:rPr>
            </w:pPr>
          </w:p>
        </w:tc>
        <w:tc>
          <w:tcPr>
            <w:tcW w:w="1701" w:type="dxa"/>
            <w:vMerge/>
            <w:vAlign w:val="center"/>
            <w:hideMark/>
          </w:tcPr>
          <w:p w:rsidR="00BD3565" w:rsidRPr="004272C9" w:rsidRDefault="00BD3565" w:rsidP="00BC3117">
            <w:pPr>
              <w:rPr>
                <w:b/>
                <w:bCs/>
                <w:color w:val="auto"/>
                <w:sz w:val="20"/>
                <w:szCs w:val="20"/>
                <w:highlight w:val="yellow"/>
              </w:rPr>
            </w:pPr>
          </w:p>
        </w:tc>
        <w:tc>
          <w:tcPr>
            <w:tcW w:w="1843" w:type="dxa"/>
            <w:vMerge/>
            <w:vAlign w:val="center"/>
            <w:hideMark/>
          </w:tcPr>
          <w:p w:rsidR="00BD3565" w:rsidRPr="004272C9" w:rsidRDefault="00BD3565" w:rsidP="00BC3117">
            <w:pPr>
              <w:rPr>
                <w:b/>
                <w:bCs/>
                <w:color w:val="auto"/>
                <w:sz w:val="20"/>
                <w:szCs w:val="20"/>
                <w:highlight w:val="yellow"/>
              </w:rPr>
            </w:pPr>
          </w:p>
        </w:tc>
        <w:tc>
          <w:tcPr>
            <w:tcW w:w="1418" w:type="dxa"/>
            <w:vMerge/>
            <w:vAlign w:val="center"/>
            <w:hideMark/>
          </w:tcPr>
          <w:p w:rsidR="00BD3565" w:rsidRPr="004272C9" w:rsidRDefault="00BD3565" w:rsidP="00BC3117">
            <w:pPr>
              <w:rPr>
                <w:b/>
                <w:bCs/>
                <w:color w:val="auto"/>
                <w:sz w:val="20"/>
                <w:szCs w:val="20"/>
                <w:highlight w:val="yellow"/>
              </w:rPr>
            </w:pPr>
          </w:p>
        </w:tc>
        <w:tc>
          <w:tcPr>
            <w:tcW w:w="1275" w:type="dxa"/>
            <w:vMerge/>
            <w:vAlign w:val="center"/>
            <w:hideMark/>
          </w:tcPr>
          <w:p w:rsidR="00BD3565" w:rsidRPr="004272C9" w:rsidRDefault="00BD3565" w:rsidP="00BC3117">
            <w:pPr>
              <w:rPr>
                <w:b/>
                <w:bCs/>
                <w:color w:val="auto"/>
                <w:sz w:val="20"/>
                <w:szCs w:val="20"/>
                <w:highlight w:val="yellow"/>
              </w:rPr>
            </w:pPr>
          </w:p>
        </w:tc>
        <w:tc>
          <w:tcPr>
            <w:tcW w:w="992" w:type="dxa"/>
            <w:vMerge/>
            <w:vAlign w:val="center"/>
            <w:hideMark/>
          </w:tcPr>
          <w:p w:rsidR="00BD3565" w:rsidRPr="004272C9" w:rsidRDefault="00BD3565" w:rsidP="00BC3117">
            <w:pPr>
              <w:rPr>
                <w:b/>
                <w:bCs/>
                <w:color w:val="auto"/>
                <w:sz w:val="20"/>
                <w:szCs w:val="20"/>
                <w:highlight w:val="yellow"/>
              </w:rPr>
            </w:pPr>
          </w:p>
        </w:tc>
      </w:tr>
      <w:tr w:rsidR="0079322D" w:rsidRPr="004272C9" w:rsidTr="00BC3117">
        <w:trPr>
          <w:trHeight w:val="315"/>
        </w:trPr>
        <w:tc>
          <w:tcPr>
            <w:tcW w:w="2374" w:type="dxa"/>
            <w:shd w:val="clear" w:color="auto" w:fill="auto"/>
            <w:noWrap/>
            <w:vAlign w:val="center"/>
            <w:hideMark/>
          </w:tcPr>
          <w:p w:rsidR="0079322D" w:rsidRPr="00A653A0" w:rsidRDefault="0079322D" w:rsidP="00BC3117">
            <w:pPr>
              <w:rPr>
                <w:color w:val="auto"/>
                <w:sz w:val="20"/>
                <w:szCs w:val="20"/>
              </w:rPr>
            </w:pPr>
            <w:r w:rsidRPr="00A653A0">
              <w:rPr>
                <w:color w:val="auto"/>
                <w:sz w:val="20"/>
                <w:szCs w:val="20"/>
              </w:rPr>
              <w:t xml:space="preserve">Valstybės biudžeto lėšos </w:t>
            </w:r>
          </w:p>
        </w:tc>
        <w:tc>
          <w:tcPr>
            <w:tcW w:w="1701" w:type="dxa"/>
            <w:shd w:val="clear" w:color="auto" w:fill="auto"/>
            <w:noWrap/>
            <w:vAlign w:val="center"/>
          </w:tcPr>
          <w:p w:rsidR="0079322D" w:rsidRDefault="0079322D">
            <w:pPr>
              <w:jc w:val="right"/>
              <w:rPr>
                <w:sz w:val="20"/>
                <w:szCs w:val="20"/>
              </w:rPr>
            </w:pPr>
            <w:r>
              <w:rPr>
                <w:sz w:val="20"/>
                <w:szCs w:val="20"/>
              </w:rPr>
              <w:t>498,2</w:t>
            </w:r>
          </w:p>
        </w:tc>
        <w:tc>
          <w:tcPr>
            <w:tcW w:w="1843" w:type="dxa"/>
            <w:shd w:val="clear" w:color="auto" w:fill="auto"/>
            <w:noWrap/>
            <w:vAlign w:val="center"/>
          </w:tcPr>
          <w:p w:rsidR="0079322D" w:rsidRDefault="0079322D">
            <w:pPr>
              <w:jc w:val="right"/>
              <w:rPr>
                <w:sz w:val="20"/>
                <w:szCs w:val="20"/>
              </w:rPr>
            </w:pPr>
            <w:r>
              <w:rPr>
                <w:sz w:val="20"/>
                <w:szCs w:val="20"/>
              </w:rPr>
              <w:t>11,9</w:t>
            </w:r>
          </w:p>
        </w:tc>
        <w:tc>
          <w:tcPr>
            <w:tcW w:w="1418" w:type="dxa"/>
            <w:shd w:val="clear" w:color="auto" w:fill="auto"/>
            <w:noWrap/>
            <w:vAlign w:val="center"/>
          </w:tcPr>
          <w:p w:rsidR="0079322D" w:rsidRDefault="0079322D">
            <w:pPr>
              <w:jc w:val="right"/>
              <w:rPr>
                <w:sz w:val="20"/>
                <w:szCs w:val="20"/>
              </w:rPr>
            </w:pPr>
            <w:r>
              <w:rPr>
                <w:sz w:val="20"/>
                <w:szCs w:val="20"/>
              </w:rPr>
              <w:t>62,0</w:t>
            </w:r>
          </w:p>
        </w:tc>
        <w:tc>
          <w:tcPr>
            <w:tcW w:w="1275" w:type="dxa"/>
            <w:shd w:val="clear" w:color="auto" w:fill="auto"/>
            <w:noWrap/>
            <w:vAlign w:val="center"/>
          </w:tcPr>
          <w:p w:rsidR="0079322D" w:rsidRDefault="0079322D">
            <w:pPr>
              <w:jc w:val="right"/>
              <w:rPr>
                <w:sz w:val="20"/>
                <w:szCs w:val="20"/>
              </w:rPr>
            </w:pPr>
            <w:r>
              <w:rPr>
                <w:sz w:val="20"/>
                <w:szCs w:val="20"/>
              </w:rPr>
              <w:t>14,8</w:t>
            </w:r>
          </w:p>
        </w:tc>
        <w:tc>
          <w:tcPr>
            <w:tcW w:w="992" w:type="dxa"/>
            <w:shd w:val="clear" w:color="auto" w:fill="auto"/>
            <w:noWrap/>
            <w:vAlign w:val="center"/>
          </w:tcPr>
          <w:p w:rsidR="0079322D" w:rsidRDefault="0079322D">
            <w:pPr>
              <w:jc w:val="right"/>
              <w:rPr>
                <w:sz w:val="20"/>
                <w:szCs w:val="20"/>
              </w:rPr>
            </w:pPr>
            <w:r>
              <w:rPr>
                <w:sz w:val="20"/>
                <w:szCs w:val="20"/>
              </w:rPr>
              <w:t>586,9</w:t>
            </w:r>
          </w:p>
        </w:tc>
      </w:tr>
      <w:tr w:rsidR="0079322D" w:rsidRPr="004272C9" w:rsidTr="00BC3117">
        <w:trPr>
          <w:trHeight w:val="315"/>
        </w:trPr>
        <w:tc>
          <w:tcPr>
            <w:tcW w:w="2374" w:type="dxa"/>
            <w:shd w:val="clear" w:color="auto" w:fill="auto"/>
            <w:vAlign w:val="center"/>
            <w:hideMark/>
          </w:tcPr>
          <w:p w:rsidR="0079322D" w:rsidRPr="00A653A0" w:rsidRDefault="0079322D" w:rsidP="00BC3117">
            <w:pPr>
              <w:rPr>
                <w:color w:val="auto"/>
                <w:sz w:val="20"/>
                <w:szCs w:val="20"/>
              </w:rPr>
            </w:pPr>
            <w:r w:rsidRPr="00A653A0">
              <w:rPr>
                <w:color w:val="auto"/>
                <w:sz w:val="20"/>
                <w:szCs w:val="20"/>
              </w:rPr>
              <w:t>ES ir kitos tarptautinės finansinės paramos lėšos</w:t>
            </w:r>
          </w:p>
        </w:tc>
        <w:tc>
          <w:tcPr>
            <w:tcW w:w="1701" w:type="dxa"/>
            <w:shd w:val="clear" w:color="auto" w:fill="auto"/>
            <w:noWrap/>
            <w:vAlign w:val="center"/>
            <w:hideMark/>
          </w:tcPr>
          <w:p w:rsidR="0079322D" w:rsidRDefault="0079322D">
            <w:pPr>
              <w:jc w:val="right"/>
              <w:rPr>
                <w:sz w:val="20"/>
                <w:szCs w:val="20"/>
              </w:rPr>
            </w:pPr>
            <w:r>
              <w:rPr>
                <w:sz w:val="20"/>
                <w:szCs w:val="20"/>
              </w:rPr>
              <w:t>152,4</w:t>
            </w:r>
          </w:p>
        </w:tc>
        <w:tc>
          <w:tcPr>
            <w:tcW w:w="1843" w:type="dxa"/>
            <w:shd w:val="clear" w:color="auto" w:fill="auto"/>
            <w:noWrap/>
            <w:vAlign w:val="center"/>
            <w:hideMark/>
          </w:tcPr>
          <w:p w:rsidR="0079322D" w:rsidRDefault="0079322D">
            <w:pPr>
              <w:jc w:val="right"/>
              <w:rPr>
                <w:sz w:val="20"/>
                <w:szCs w:val="20"/>
              </w:rPr>
            </w:pPr>
            <w:r>
              <w:rPr>
                <w:sz w:val="20"/>
                <w:szCs w:val="20"/>
              </w:rPr>
              <w:t>0</w:t>
            </w:r>
          </w:p>
        </w:tc>
        <w:tc>
          <w:tcPr>
            <w:tcW w:w="1418" w:type="dxa"/>
            <w:shd w:val="clear" w:color="auto" w:fill="auto"/>
            <w:noWrap/>
            <w:vAlign w:val="center"/>
            <w:hideMark/>
          </w:tcPr>
          <w:p w:rsidR="0079322D" w:rsidRDefault="0079322D">
            <w:pPr>
              <w:jc w:val="right"/>
              <w:rPr>
                <w:sz w:val="20"/>
                <w:szCs w:val="20"/>
              </w:rPr>
            </w:pPr>
            <w:r>
              <w:rPr>
                <w:sz w:val="20"/>
                <w:szCs w:val="20"/>
              </w:rPr>
              <w:t>1,6</w:t>
            </w:r>
          </w:p>
        </w:tc>
        <w:tc>
          <w:tcPr>
            <w:tcW w:w="1275" w:type="dxa"/>
            <w:shd w:val="clear" w:color="auto" w:fill="auto"/>
            <w:noWrap/>
            <w:vAlign w:val="center"/>
            <w:hideMark/>
          </w:tcPr>
          <w:p w:rsidR="0079322D" w:rsidRDefault="0079322D">
            <w:pPr>
              <w:jc w:val="right"/>
              <w:rPr>
                <w:sz w:val="20"/>
                <w:szCs w:val="20"/>
              </w:rPr>
            </w:pPr>
            <w:r>
              <w:rPr>
                <w:sz w:val="20"/>
                <w:szCs w:val="20"/>
              </w:rPr>
              <w:t>0</w:t>
            </w:r>
          </w:p>
        </w:tc>
        <w:tc>
          <w:tcPr>
            <w:tcW w:w="992" w:type="dxa"/>
            <w:shd w:val="clear" w:color="auto" w:fill="auto"/>
            <w:noWrap/>
            <w:vAlign w:val="center"/>
            <w:hideMark/>
          </w:tcPr>
          <w:p w:rsidR="0079322D" w:rsidRDefault="0079322D">
            <w:pPr>
              <w:jc w:val="right"/>
              <w:rPr>
                <w:sz w:val="20"/>
                <w:szCs w:val="20"/>
              </w:rPr>
            </w:pPr>
            <w:r>
              <w:rPr>
                <w:sz w:val="20"/>
                <w:szCs w:val="20"/>
              </w:rPr>
              <w:t>154</w:t>
            </w:r>
          </w:p>
        </w:tc>
      </w:tr>
      <w:tr w:rsidR="0079322D" w:rsidRPr="004272C9" w:rsidTr="00BC3117">
        <w:trPr>
          <w:trHeight w:val="315"/>
        </w:trPr>
        <w:tc>
          <w:tcPr>
            <w:tcW w:w="2374" w:type="dxa"/>
            <w:shd w:val="clear" w:color="auto" w:fill="auto"/>
            <w:vAlign w:val="center"/>
            <w:hideMark/>
          </w:tcPr>
          <w:p w:rsidR="0079322D" w:rsidRPr="00A653A0" w:rsidRDefault="0079322D" w:rsidP="00BC3117">
            <w:pPr>
              <w:rPr>
                <w:color w:val="auto"/>
                <w:sz w:val="20"/>
                <w:szCs w:val="20"/>
              </w:rPr>
            </w:pPr>
            <w:r w:rsidRPr="00A653A0">
              <w:rPr>
                <w:color w:val="auto"/>
                <w:sz w:val="20"/>
                <w:szCs w:val="20"/>
              </w:rPr>
              <w:t xml:space="preserve">Valstybės vardu pasiskolintos lėšos </w:t>
            </w:r>
          </w:p>
        </w:tc>
        <w:tc>
          <w:tcPr>
            <w:tcW w:w="1701" w:type="dxa"/>
            <w:shd w:val="clear" w:color="auto" w:fill="auto"/>
            <w:noWrap/>
            <w:vAlign w:val="center"/>
            <w:hideMark/>
          </w:tcPr>
          <w:p w:rsidR="0079322D" w:rsidRDefault="0079322D">
            <w:pPr>
              <w:jc w:val="right"/>
              <w:rPr>
                <w:sz w:val="20"/>
                <w:szCs w:val="20"/>
              </w:rPr>
            </w:pPr>
            <w:r>
              <w:rPr>
                <w:sz w:val="20"/>
                <w:szCs w:val="20"/>
              </w:rPr>
              <w:t>1 905,4</w:t>
            </w:r>
          </w:p>
        </w:tc>
        <w:tc>
          <w:tcPr>
            <w:tcW w:w="1843" w:type="dxa"/>
            <w:shd w:val="clear" w:color="auto" w:fill="auto"/>
            <w:noWrap/>
            <w:vAlign w:val="center"/>
            <w:hideMark/>
          </w:tcPr>
          <w:p w:rsidR="0079322D" w:rsidRDefault="0079322D">
            <w:pPr>
              <w:jc w:val="right"/>
              <w:rPr>
                <w:sz w:val="20"/>
                <w:szCs w:val="20"/>
              </w:rPr>
            </w:pPr>
            <w:r>
              <w:rPr>
                <w:sz w:val="20"/>
                <w:szCs w:val="20"/>
              </w:rPr>
              <w:t>0</w:t>
            </w:r>
          </w:p>
        </w:tc>
        <w:tc>
          <w:tcPr>
            <w:tcW w:w="1418" w:type="dxa"/>
            <w:shd w:val="clear" w:color="auto" w:fill="auto"/>
            <w:noWrap/>
            <w:vAlign w:val="center"/>
            <w:hideMark/>
          </w:tcPr>
          <w:p w:rsidR="0079322D" w:rsidRDefault="0079322D">
            <w:pPr>
              <w:jc w:val="right"/>
              <w:rPr>
                <w:sz w:val="20"/>
                <w:szCs w:val="20"/>
              </w:rPr>
            </w:pPr>
            <w:r>
              <w:rPr>
                <w:sz w:val="20"/>
                <w:szCs w:val="20"/>
              </w:rPr>
              <w:t>0</w:t>
            </w:r>
          </w:p>
        </w:tc>
        <w:tc>
          <w:tcPr>
            <w:tcW w:w="1275" w:type="dxa"/>
            <w:shd w:val="clear" w:color="auto" w:fill="auto"/>
            <w:noWrap/>
            <w:vAlign w:val="center"/>
            <w:hideMark/>
          </w:tcPr>
          <w:p w:rsidR="0079322D" w:rsidRDefault="0079322D">
            <w:pPr>
              <w:jc w:val="right"/>
              <w:rPr>
                <w:sz w:val="20"/>
                <w:szCs w:val="20"/>
              </w:rPr>
            </w:pPr>
            <w:r>
              <w:rPr>
                <w:sz w:val="20"/>
                <w:szCs w:val="20"/>
              </w:rPr>
              <w:t>0</w:t>
            </w:r>
          </w:p>
        </w:tc>
        <w:tc>
          <w:tcPr>
            <w:tcW w:w="992" w:type="dxa"/>
            <w:shd w:val="clear" w:color="auto" w:fill="auto"/>
            <w:noWrap/>
            <w:vAlign w:val="center"/>
            <w:hideMark/>
          </w:tcPr>
          <w:p w:rsidR="0079322D" w:rsidRDefault="0079322D">
            <w:pPr>
              <w:jc w:val="right"/>
              <w:rPr>
                <w:sz w:val="20"/>
                <w:szCs w:val="20"/>
              </w:rPr>
            </w:pPr>
            <w:r>
              <w:rPr>
                <w:sz w:val="20"/>
                <w:szCs w:val="20"/>
              </w:rPr>
              <w:t>1905,4</w:t>
            </w:r>
          </w:p>
        </w:tc>
      </w:tr>
      <w:tr w:rsidR="0079322D" w:rsidRPr="004272C9" w:rsidTr="00BC3117">
        <w:trPr>
          <w:trHeight w:val="315"/>
        </w:trPr>
        <w:tc>
          <w:tcPr>
            <w:tcW w:w="2374" w:type="dxa"/>
            <w:shd w:val="clear" w:color="auto" w:fill="auto"/>
            <w:vAlign w:val="center"/>
            <w:hideMark/>
          </w:tcPr>
          <w:p w:rsidR="0079322D" w:rsidRPr="00A653A0" w:rsidRDefault="0079322D" w:rsidP="00BC3117">
            <w:pPr>
              <w:rPr>
                <w:b/>
                <w:bCs/>
                <w:color w:val="auto"/>
                <w:sz w:val="20"/>
                <w:szCs w:val="20"/>
              </w:rPr>
            </w:pPr>
            <w:r w:rsidRPr="00A653A0">
              <w:rPr>
                <w:b/>
                <w:bCs/>
                <w:color w:val="auto"/>
                <w:sz w:val="20"/>
                <w:szCs w:val="20"/>
              </w:rPr>
              <w:t>Iš viso valstybės biudžeto ir skolintos lėšos</w:t>
            </w:r>
          </w:p>
        </w:tc>
        <w:tc>
          <w:tcPr>
            <w:tcW w:w="1701" w:type="dxa"/>
            <w:shd w:val="clear" w:color="auto" w:fill="auto"/>
            <w:noWrap/>
            <w:vAlign w:val="center"/>
          </w:tcPr>
          <w:p w:rsidR="0079322D" w:rsidRDefault="0079322D">
            <w:pPr>
              <w:jc w:val="right"/>
              <w:rPr>
                <w:b/>
                <w:bCs/>
                <w:sz w:val="20"/>
                <w:szCs w:val="20"/>
              </w:rPr>
            </w:pPr>
            <w:r>
              <w:rPr>
                <w:b/>
                <w:bCs/>
                <w:sz w:val="20"/>
                <w:szCs w:val="20"/>
              </w:rPr>
              <w:t>2 556,0</w:t>
            </w:r>
          </w:p>
        </w:tc>
        <w:tc>
          <w:tcPr>
            <w:tcW w:w="1843" w:type="dxa"/>
            <w:shd w:val="clear" w:color="auto" w:fill="auto"/>
            <w:noWrap/>
            <w:vAlign w:val="center"/>
          </w:tcPr>
          <w:p w:rsidR="0079322D" w:rsidRDefault="0079322D">
            <w:pPr>
              <w:jc w:val="right"/>
              <w:rPr>
                <w:b/>
                <w:bCs/>
                <w:sz w:val="20"/>
                <w:szCs w:val="20"/>
              </w:rPr>
            </w:pPr>
            <w:r>
              <w:rPr>
                <w:b/>
                <w:bCs/>
                <w:sz w:val="20"/>
                <w:szCs w:val="20"/>
              </w:rPr>
              <w:t>11,9</w:t>
            </w:r>
          </w:p>
        </w:tc>
        <w:tc>
          <w:tcPr>
            <w:tcW w:w="1418" w:type="dxa"/>
            <w:shd w:val="clear" w:color="auto" w:fill="auto"/>
            <w:noWrap/>
            <w:vAlign w:val="center"/>
          </w:tcPr>
          <w:p w:rsidR="0079322D" w:rsidRDefault="0079322D">
            <w:pPr>
              <w:jc w:val="right"/>
              <w:rPr>
                <w:b/>
                <w:bCs/>
                <w:sz w:val="20"/>
                <w:szCs w:val="20"/>
              </w:rPr>
            </w:pPr>
            <w:r>
              <w:rPr>
                <w:b/>
                <w:bCs/>
                <w:sz w:val="20"/>
                <w:szCs w:val="20"/>
              </w:rPr>
              <w:t>63,6</w:t>
            </w:r>
          </w:p>
        </w:tc>
        <w:tc>
          <w:tcPr>
            <w:tcW w:w="1275" w:type="dxa"/>
            <w:shd w:val="clear" w:color="auto" w:fill="auto"/>
            <w:noWrap/>
            <w:vAlign w:val="center"/>
          </w:tcPr>
          <w:p w:rsidR="0079322D" w:rsidRDefault="0079322D">
            <w:pPr>
              <w:jc w:val="right"/>
              <w:rPr>
                <w:b/>
                <w:bCs/>
                <w:sz w:val="20"/>
                <w:szCs w:val="20"/>
              </w:rPr>
            </w:pPr>
            <w:r>
              <w:rPr>
                <w:b/>
                <w:bCs/>
                <w:sz w:val="20"/>
                <w:szCs w:val="20"/>
              </w:rPr>
              <w:t>14,8</w:t>
            </w:r>
          </w:p>
        </w:tc>
        <w:tc>
          <w:tcPr>
            <w:tcW w:w="992" w:type="dxa"/>
            <w:shd w:val="clear" w:color="auto" w:fill="auto"/>
            <w:noWrap/>
            <w:vAlign w:val="center"/>
          </w:tcPr>
          <w:p w:rsidR="0079322D" w:rsidRDefault="0079322D">
            <w:pPr>
              <w:jc w:val="right"/>
              <w:rPr>
                <w:b/>
                <w:bCs/>
                <w:sz w:val="20"/>
                <w:szCs w:val="20"/>
              </w:rPr>
            </w:pPr>
            <w:r>
              <w:rPr>
                <w:b/>
                <w:bCs/>
                <w:sz w:val="20"/>
                <w:szCs w:val="20"/>
              </w:rPr>
              <w:t>2 646,3</w:t>
            </w:r>
          </w:p>
        </w:tc>
      </w:tr>
    </w:tbl>
    <w:p w:rsidR="00BD3565" w:rsidRPr="00A653A0" w:rsidRDefault="00BD3565" w:rsidP="00BD3565">
      <w:pPr>
        <w:jc w:val="both"/>
        <w:rPr>
          <w:i/>
          <w:color w:val="auto"/>
          <w:sz w:val="20"/>
          <w:szCs w:val="20"/>
        </w:rPr>
      </w:pPr>
      <w:r w:rsidRPr="00A653A0">
        <w:rPr>
          <w:i/>
          <w:color w:val="auto"/>
          <w:sz w:val="20"/>
          <w:szCs w:val="20"/>
        </w:rPr>
        <w:t>Šaltinis –  Finansų ministerija</w:t>
      </w:r>
    </w:p>
    <w:p w:rsidR="00BD3565" w:rsidRPr="004272C9" w:rsidRDefault="00BD3565" w:rsidP="00BD3565">
      <w:pPr>
        <w:autoSpaceDE w:val="0"/>
        <w:autoSpaceDN w:val="0"/>
        <w:adjustRightInd w:val="0"/>
        <w:ind w:firstLine="567"/>
        <w:jc w:val="both"/>
        <w:rPr>
          <w:highlight w:val="yellow"/>
        </w:rPr>
      </w:pPr>
    </w:p>
    <w:p w:rsidR="00BD3565" w:rsidRPr="000A2429" w:rsidRDefault="00BD3565" w:rsidP="00BD3565">
      <w:pPr>
        <w:tabs>
          <w:tab w:val="left" w:pos="360"/>
        </w:tabs>
        <w:ind w:firstLine="539"/>
        <w:jc w:val="both"/>
        <w:rPr>
          <w:color w:val="auto"/>
        </w:rPr>
      </w:pPr>
      <w:r w:rsidRPr="000A2429">
        <w:rPr>
          <w:color w:val="auto"/>
        </w:rPr>
        <w:t>Ataskaitinio laikotarpio pabaigoje valstybės biudžeto, įskaitant ES ir kitos tarptautinės finansinės paramos lėšas, lėšų likutis sudarė 7</w:t>
      </w:r>
      <w:r w:rsidR="0079322D" w:rsidRPr="000A2429">
        <w:rPr>
          <w:color w:val="auto"/>
        </w:rPr>
        <w:t>4</w:t>
      </w:r>
      <w:r w:rsidRPr="000A2429">
        <w:rPr>
          <w:color w:val="auto"/>
        </w:rPr>
        <w:t>0,</w:t>
      </w:r>
      <w:r w:rsidR="0079322D" w:rsidRPr="000A2429">
        <w:rPr>
          <w:color w:val="auto"/>
        </w:rPr>
        <w:t>9</w:t>
      </w:r>
      <w:r w:rsidRPr="000A2429">
        <w:rPr>
          <w:color w:val="auto"/>
        </w:rPr>
        <w:t xml:space="preserve"> mln. eurų, iš kurių:</w:t>
      </w:r>
    </w:p>
    <w:p w:rsidR="00BD3565" w:rsidRPr="000A2429" w:rsidRDefault="000A2429" w:rsidP="00BD3565">
      <w:pPr>
        <w:pStyle w:val="Sraopastraipa"/>
        <w:numPr>
          <w:ilvl w:val="0"/>
          <w:numId w:val="7"/>
        </w:numPr>
        <w:tabs>
          <w:tab w:val="left" w:pos="851"/>
        </w:tabs>
        <w:ind w:left="0" w:firstLine="567"/>
        <w:jc w:val="both"/>
        <w:rPr>
          <w:color w:val="auto"/>
        </w:rPr>
      </w:pPr>
      <w:r w:rsidRPr="000A2429">
        <w:rPr>
          <w:color w:val="auto"/>
        </w:rPr>
        <w:t>1</w:t>
      </w:r>
      <w:r w:rsidR="00BD3565" w:rsidRPr="000A2429">
        <w:rPr>
          <w:color w:val="auto"/>
        </w:rPr>
        <w:t>1,</w:t>
      </w:r>
      <w:r w:rsidRPr="000A2429">
        <w:rPr>
          <w:color w:val="auto"/>
        </w:rPr>
        <w:t>9</w:t>
      </w:r>
      <w:r w:rsidR="00BD3565" w:rsidRPr="000A2429">
        <w:rPr>
          <w:color w:val="auto"/>
        </w:rPr>
        <w:t xml:space="preserve"> m</w:t>
      </w:r>
      <w:r w:rsidRPr="000A2429">
        <w:rPr>
          <w:color w:val="auto"/>
        </w:rPr>
        <w:t>ln. eurų sudaro mokėtojų iki 2020</w:t>
      </w:r>
      <w:r w:rsidR="00BD3565" w:rsidRPr="000A2429">
        <w:rPr>
          <w:color w:val="auto"/>
        </w:rPr>
        <w:t xml:space="preserve"> m. gruodžio 31 d. į Valstybinės mokesčių inspekcijos ir Muitinės departamento biudžeto pajamų surenkamąsias sąskaitas įmokėtos įmokos;</w:t>
      </w:r>
    </w:p>
    <w:p w:rsidR="00BD3565" w:rsidRPr="000A2429" w:rsidRDefault="000A2429" w:rsidP="00BD3565">
      <w:pPr>
        <w:pStyle w:val="Sraopastraipa"/>
        <w:numPr>
          <w:ilvl w:val="0"/>
          <w:numId w:val="7"/>
        </w:numPr>
        <w:tabs>
          <w:tab w:val="left" w:pos="851"/>
        </w:tabs>
        <w:ind w:left="0" w:firstLine="567"/>
        <w:jc w:val="both"/>
        <w:rPr>
          <w:color w:val="auto"/>
        </w:rPr>
      </w:pPr>
      <w:r w:rsidRPr="000A2429">
        <w:rPr>
          <w:color w:val="auto"/>
        </w:rPr>
        <w:t>63</w:t>
      </w:r>
      <w:r w:rsidR="00BD3565" w:rsidRPr="000A2429">
        <w:rPr>
          <w:color w:val="auto"/>
        </w:rPr>
        <w:t>,</w:t>
      </w:r>
      <w:r w:rsidRPr="000A2429">
        <w:rPr>
          <w:color w:val="auto"/>
        </w:rPr>
        <w:t>6</w:t>
      </w:r>
      <w:r w:rsidR="00BD3565" w:rsidRPr="000A2429">
        <w:rPr>
          <w:color w:val="auto"/>
        </w:rPr>
        <w:t xml:space="preserve"> mln. eurų sudaro iki 202</w:t>
      </w:r>
      <w:r w:rsidRPr="000A2429">
        <w:rPr>
          <w:color w:val="auto"/>
        </w:rPr>
        <w:t>1</w:t>
      </w:r>
      <w:r w:rsidR="00BD3565" w:rsidRPr="000A2429">
        <w:rPr>
          <w:color w:val="auto"/>
        </w:rPr>
        <w:t xml:space="preserve"> m. sausio 10 d. asignavimų valdytojų grąžintos lėšos;</w:t>
      </w:r>
    </w:p>
    <w:p w:rsidR="00BD3565" w:rsidRPr="0065321D" w:rsidRDefault="00BD3565" w:rsidP="00272697">
      <w:pPr>
        <w:pStyle w:val="Sraopastraipa"/>
        <w:numPr>
          <w:ilvl w:val="0"/>
          <w:numId w:val="7"/>
        </w:numPr>
        <w:tabs>
          <w:tab w:val="left" w:pos="567"/>
          <w:tab w:val="left" w:pos="851"/>
        </w:tabs>
        <w:ind w:left="0" w:firstLine="567"/>
        <w:jc w:val="both"/>
        <w:rPr>
          <w:color w:val="auto"/>
        </w:rPr>
      </w:pPr>
      <w:r w:rsidRPr="001A5293">
        <w:rPr>
          <w:color w:val="auto"/>
        </w:rPr>
        <w:t>1</w:t>
      </w:r>
      <w:r w:rsidR="000A2429" w:rsidRPr="001A5293">
        <w:rPr>
          <w:color w:val="auto"/>
        </w:rPr>
        <w:t>4</w:t>
      </w:r>
      <w:r w:rsidRPr="001A5293">
        <w:rPr>
          <w:color w:val="auto"/>
        </w:rPr>
        <w:t>,</w:t>
      </w:r>
      <w:r w:rsidR="000A2429" w:rsidRPr="001A5293">
        <w:rPr>
          <w:color w:val="auto"/>
        </w:rPr>
        <w:t>8</w:t>
      </w:r>
      <w:r w:rsidRPr="001A5293">
        <w:rPr>
          <w:color w:val="auto"/>
        </w:rPr>
        <w:t xml:space="preserve"> mln. eurų sudaro lėšos, kurios </w:t>
      </w:r>
      <w:r w:rsidR="00873D9A" w:rsidRPr="001A5293">
        <w:rPr>
          <w:color w:val="auto"/>
        </w:rPr>
        <w:t xml:space="preserve">buvo </w:t>
      </w:r>
      <w:r w:rsidRPr="001A5293">
        <w:rPr>
          <w:color w:val="auto"/>
        </w:rPr>
        <w:t>negrąžintos ir liko asignavimų valdytojų sąskaitose</w:t>
      </w:r>
      <w:r w:rsidR="00873D9A" w:rsidRPr="001A5293">
        <w:rPr>
          <w:color w:val="auto"/>
        </w:rPr>
        <w:t xml:space="preserve"> teisės aktuose nustatyta tvarka, tačiau dalį šių lėšų – Kultūros ministerija – 516,5 tūkst. eurų, Sveikatos apsaugos ministerija - </w:t>
      </w:r>
      <w:r w:rsidR="00873D9A" w:rsidRPr="001A5293">
        <w:rPr>
          <w:color w:val="auto"/>
          <w:lang w:eastAsia="lt-LT"/>
        </w:rPr>
        <w:t xml:space="preserve">2 701, 7 tūkst. eurų, Švietimo, mokslo ir sporto ministerija – 36,7 tūkst. eurų 2021 m. turės grąžinti į biudžetą </w:t>
      </w:r>
      <w:r w:rsidR="00873D9A" w:rsidRPr="001A5293">
        <w:rPr>
          <w:color w:val="auto"/>
        </w:rPr>
        <w:t>atsižvelgiant į 2020 m</w:t>
      </w:r>
      <w:r w:rsidR="00873D9A" w:rsidRPr="0065321D">
        <w:rPr>
          <w:color w:val="auto"/>
        </w:rPr>
        <w:t>. lapkričio 3 d. Konstitucinio Teismo nutarimą „Dėl Lietuvos Respublikos įstatymų, kuriais reguliuojamas tam tikrų programų, fondų arba institucijų finansavimas, nuostatų atitikties Lietuvos Respublikos Konstitucijai</w:t>
      </w:r>
      <w:r w:rsidR="00F07313" w:rsidRPr="0065321D">
        <w:rPr>
          <w:color w:val="auto"/>
        </w:rPr>
        <w:t>“.</w:t>
      </w:r>
    </w:p>
    <w:p w:rsidR="00BD3565" w:rsidRPr="001A5293" w:rsidRDefault="00BD3565" w:rsidP="0065321D">
      <w:pPr>
        <w:pStyle w:val="Sraopastraipa"/>
        <w:tabs>
          <w:tab w:val="left" w:pos="0"/>
          <w:tab w:val="left" w:pos="851"/>
        </w:tabs>
        <w:ind w:left="0" w:firstLine="567"/>
        <w:jc w:val="both"/>
        <w:rPr>
          <w:color w:val="auto"/>
        </w:rPr>
      </w:pPr>
      <w:r w:rsidRPr="001A5293">
        <w:rPr>
          <w:color w:val="auto"/>
        </w:rPr>
        <w:t xml:space="preserve">Valstybės vardu pasiskolintų lėšų likutis sudarė </w:t>
      </w:r>
      <w:r w:rsidR="007B2722" w:rsidRPr="001A5293">
        <w:rPr>
          <w:color w:val="auto"/>
        </w:rPr>
        <w:t xml:space="preserve">1 </w:t>
      </w:r>
      <w:r w:rsidR="003D7AFF" w:rsidRPr="001A5293">
        <w:rPr>
          <w:color w:val="auto"/>
        </w:rPr>
        <w:t>905</w:t>
      </w:r>
      <w:r w:rsidR="007B2722" w:rsidRPr="001A5293">
        <w:rPr>
          <w:color w:val="auto"/>
        </w:rPr>
        <w:t>,</w:t>
      </w:r>
      <w:r w:rsidR="003D7AFF" w:rsidRPr="001A5293">
        <w:rPr>
          <w:color w:val="auto"/>
        </w:rPr>
        <w:t>4</w:t>
      </w:r>
      <w:r w:rsidRPr="001A5293">
        <w:rPr>
          <w:color w:val="auto"/>
        </w:rPr>
        <w:t xml:space="preserve"> mln. eurų. Iš jų </w:t>
      </w:r>
      <w:r w:rsidR="00703987" w:rsidRPr="001A5293">
        <w:rPr>
          <w:color w:val="auto"/>
        </w:rPr>
        <w:t xml:space="preserve">per 2020 m gauti 700 mln. eur iš Europos investicijų banko, 400 mln. eur iš Šiaurės investicijų banko ir 175 mln. iš Europos </w:t>
      </w:r>
      <w:r w:rsidR="00C52747" w:rsidRPr="001A5293">
        <w:rPr>
          <w:color w:val="auto"/>
        </w:rPr>
        <w:t xml:space="preserve">Centrinio </w:t>
      </w:r>
      <w:r w:rsidR="00703987" w:rsidRPr="001A5293">
        <w:rPr>
          <w:color w:val="auto"/>
        </w:rPr>
        <w:t>banko.</w:t>
      </w:r>
    </w:p>
    <w:p w:rsidR="00825C81" w:rsidRDefault="00BD3565" w:rsidP="00BD3565">
      <w:pPr>
        <w:ind w:firstLine="567"/>
        <w:jc w:val="both"/>
        <w:rPr>
          <w:rFonts w:eastAsia="MS Mincho"/>
          <w:color w:val="auto"/>
          <w:lang w:eastAsia="ja-JP"/>
        </w:rPr>
      </w:pPr>
      <w:r w:rsidRPr="00A63C5F">
        <w:rPr>
          <w:color w:val="auto"/>
        </w:rPr>
        <w:lastRenderedPageBreak/>
        <w:t>Vyriausybės</w:t>
      </w:r>
      <w:r w:rsidRPr="00A63C5F">
        <w:rPr>
          <w:color w:val="auto"/>
          <w:vertAlign w:val="superscript"/>
        </w:rPr>
        <w:footnoteReference w:id="23"/>
      </w:r>
      <w:r w:rsidRPr="00A63C5F">
        <w:rPr>
          <w:color w:val="auto"/>
        </w:rPr>
        <w:t xml:space="preserve"> suteikta teise Finansų ministerija iš valstybės biudžeto laikinai laisvų lėšų teikia savivaldybėms trumpalaikes paskolas kai savivaldybėms laikinai trūksta biudžeto pajamų ir trumpalaikes arba ilgalaikes paskolas, kai dėl kredito įstaigų veiklos apribojimo ir (arba) jų licencijų </w:t>
      </w:r>
      <w:r w:rsidRPr="00454EB6">
        <w:rPr>
          <w:color w:val="auto"/>
        </w:rPr>
        <w:t xml:space="preserve">atšaukimo </w:t>
      </w:r>
      <w:r w:rsidRPr="008331A4">
        <w:rPr>
          <w:color w:val="auto"/>
        </w:rPr>
        <w:t>savivaldybės negali disponuoti savo lėšomis. 20</w:t>
      </w:r>
      <w:r w:rsidR="009F2692" w:rsidRPr="008331A4">
        <w:rPr>
          <w:color w:val="auto"/>
        </w:rPr>
        <w:t>20</w:t>
      </w:r>
      <w:r w:rsidRPr="008331A4">
        <w:rPr>
          <w:color w:val="auto"/>
        </w:rPr>
        <w:t xml:space="preserve"> metais šia teise pasinaudojo </w:t>
      </w:r>
      <w:r w:rsidR="009F2692" w:rsidRPr="008331A4">
        <w:rPr>
          <w:color w:val="auto"/>
        </w:rPr>
        <w:t>49</w:t>
      </w:r>
      <w:r w:rsidRPr="008331A4">
        <w:rPr>
          <w:color w:val="auto"/>
        </w:rPr>
        <w:t xml:space="preserve"> </w:t>
      </w:r>
      <w:r w:rsidRPr="00385048">
        <w:rPr>
          <w:color w:val="auto"/>
        </w:rPr>
        <w:t>savivaldybės</w:t>
      </w:r>
      <w:r w:rsidR="00070C0B">
        <w:rPr>
          <w:color w:val="auto"/>
        </w:rPr>
        <w:t xml:space="preserve"> ir buvo suteikta t</w:t>
      </w:r>
      <w:r w:rsidRPr="00385048">
        <w:rPr>
          <w:color w:val="auto"/>
        </w:rPr>
        <w:t xml:space="preserve">rumpalaikių paskolų </w:t>
      </w:r>
      <w:r w:rsidR="00070C0B">
        <w:rPr>
          <w:color w:val="auto"/>
        </w:rPr>
        <w:t>už</w:t>
      </w:r>
      <w:r w:rsidRPr="00385048">
        <w:rPr>
          <w:color w:val="auto"/>
        </w:rPr>
        <w:t xml:space="preserve"> </w:t>
      </w:r>
      <w:r w:rsidR="008331A4" w:rsidRPr="00385048">
        <w:rPr>
          <w:color w:val="auto"/>
        </w:rPr>
        <w:t>100</w:t>
      </w:r>
      <w:r w:rsidRPr="00385048">
        <w:rPr>
          <w:color w:val="auto"/>
        </w:rPr>
        <w:t>,</w:t>
      </w:r>
      <w:r w:rsidR="008331A4" w:rsidRPr="00385048">
        <w:rPr>
          <w:color w:val="auto"/>
        </w:rPr>
        <w:t>9</w:t>
      </w:r>
      <w:r w:rsidRPr="00385048">
        <w:rPr>
          <w:color w:val="auto"/>
        </w:rPr>
        <w:t xml:space="preserve"> mln. eurų,</w:t>
      </w:r>
      <w:r w:rsidR="008331A4" w:rsidRPr="00385048">
        <w:rPr>
          <w:color w:val="auto"/>
        </w:rPr>
        <w:t xml:space="preserve"> o grąžinta </w:t>
      </w:r>
      <w:r w:rsidR="008331A4" w:rsidRPr="00385048">
        <w:rPr>
          <w:rFonts w:eastAsia="MS Mincho"/>
          <w:color w:val="auto"/>
          <w:lang w:eastAsia="ja-JP"/>
        </w:rPr>
        <w:t>– 10,8 mln. eurų.</w:t>
      </w:r>
    </w:p>
    <w:p w:rsidR="00BD3565" w:rsidRPr="00287499" w:rsidRDefault="00BD3565" w:rsidP="00BD3565">
      <w:pPr>
        <w:ind w:firstLine="567"/>
        <w:jc w:val="both"/>
        <w:rPr>
          <w:color w:val="auto"/>
        </w:rPr>
      </w:pPr>
      <w:r w:rsidRPr="00385048">
        <w:rPr>
          <w:color w:val="auto"/>
        </w:rPr>
        <w:t>20</w:t>
      </w:r>
      <w:r w:rsidR="0092354B" w:rsidRPr="00385048">
        <w:rPr>
          <w:color w:val="auto"/>
        </w:rPr>
        <w:t>20</w:t>
      </w:r>
      <w:r w:rsidRPr="00385048">
        <w:rPr>
          <w:color w:val="auto"/>
        </w:rPr>
        <w:t xml:space="preserve"> metų</w:t>
      </w:r>
      <w:r w:rsidRPr="0004551D">
        <w:rPr>
          <w:color w:val="auto"/>
        </w:rPr>
        <w:t xml:space="preserve"> pabaigoje savivaldyb</w:t>
      </w:r>
      <w:r w:rsidR="00EE5D60">
        <w:rPr>
          <w:color w:val="auto"/>
        </w:rPr>
        <w:t>ėms suteikt</w:t>
      </w:r>
      <w:r w:rsidR="00070C0B">
        <w:rPr>
          <w:color w:val="auto"/>
        </w:rPr>
        <w:t>ų</w:t>
      </w:r>
      <w:r w:rsidR="00EE5D60">
        <w:rPr>
          <w:color w:val="auto"/>
        </w:rPr>
        <w:t xml:space="preserve"> trumpalaik</w:t>
      </w:r>
      <w:r w:rsidR="00070C0B">
        <w:rPr>
          <w:color w:val="auto"/>
        </w:rPr>
        <w:t xml:space="preserve">ių </w:t>
      </w:r>
      <w:r w:rsidR="00EE5D60">
        <w:rPr>
          <w:color w:val="auto"/>
        </w:rPr>
        <w:t>paskol</w:t>
      </w:r>
      <w:r w:rsidR="00070C0B">
        <w:rPr>
          <w:color w:val="auto"/>
        </w:rPr>
        <w:t>ų likutis</w:t>
      </w:r>
      <w:r w:rsidR="00454C76">
        <w:rPr>
          <w:color w:val="auto"/>
        </w:rPr>
        <w:t xml:space="preserve"> sudarė </w:t>
      </w:r>
      <w:r w:rsidR="0004551D" w:rsidRPr="0004551D">
        <w:rPr>
          <w:color w:val="auto"/>
        </w:rPr>
        <w:t>9</w:t>
      </w:r>
      <w:r w:rsidR="00287499">
        <w:rPr>
          <w:color w:val="auto"/>
        </w:rPr>
        <w:t>0</w:t>
      </w:r>
      <w:r w:rsidRPr="0004551D">
        <w:rPr>
          <w:color w:val="auto"/>
        </w:rPr>
        <w:t>,</w:t>
      </w:r>
      <w:r w:rsidR="00287499">
        <w:rPr>
          <w:color w:val="auto"/>
        </w:rPr>
        <w:t>1</w:t>
      </w:r>
      <w:r w:rsidRPr="0004551D">
        <w:rPr>
          <w:color w:val="auto"/>
        </w:rPr>
        <w:t xml:space="preserve"> mln. </w:t>
      </w:r>
      <w:r w:rsidR="00EE5D60" w:rsidRPr="0004551D">
        <w:rPr>
          <w:color w:val="auto"/>
        </w:rPr>
        <w:t>E</w:t>
      </w:r>
      <w:r w:rsidRPr="0004551D">
        <w:rPr>
          <w:color w:val="auto"/>
        </w:rPr>
        <w:t>urų</w:t>
      </w:r>
      <w:r w:rsidR="00287499">
        <w:rPr>
          <w:color w:val="auto"/>
        </w:rPr>
        <w:t xml:space="preserve">, o </w:t>
      </w:r>
      <w:r w:rsidR="00287499" w:rsidRPr="00287499">
        <w:rPr>
          <w:color w:val="auto"/>
        </w:rPr>
        <w:t>paskolos savivaldybėms, kurios buvo išduotos 2011 ir 2013 metais iš valstybės biudžeto laikinam pajamų trūkumui, susidariusiam dėl akcinės bendrovės banko „Snoras“, akcinės bendrovės Ūkio banko veiklos apribojimo ir banko licencijos atšaukimo, padengti ir kurių grąžinimo terminas pratęstas iki 2023 m., likutis yra 9,7 mln.</w:t>
      </w:r>
      <w:r w:rsidRPr="00287499">
        <w:rPr>
          <w:color w:val="auto"/>
        </w:rPr>
        <w:t xml:space="preserve"> </w:t>
      </w:r>
    </w:p>
    <w:p w:rsidR="00BD3565" w:rsidRPr="004272C9" w:rsidRDefault="00BD3565" w:rsidP="00BD3565">
      <w:pPr>
        <w:rPr>
          <w:b/>
          <w:color w:val="auto"/>
          <w:highlight w:val="yellow"/>
        </w:rPr>
      </w:pPr>
    </w:p>
    <w:p w:rsidR="00BD3565" w:rsidRPr="00FE7BF4" w:rsidRDefault="00BD3565" w:rsidP="00BD3565">
      <w:pPr>
        <w:rPr>
          <w:b/>
          <w:color w:val="auto"/>
        </w:rPr>
      </w:pPr>
    </w:p>
    <w:p w:rsidR="00BD3565" w:rsidRPr="00FE7BF4" w:rsidRDefault="00FE7BF4" w:rsidP="00BD3565">
      <w:pPr>
        <w:jc w:val="both"/>
        <w:rPr>
          <w:color w:val="auto"/>
        </w:rPr>
      </w:pPr>
      <w:r w:rsidRPr="00FE7BF4">
        <w:rPr>
          <w:color w:val="auto"/>
        </w:rPr>
        <w:t>Finansų ministrė</w:t>
      </w:r>
      <w:r w:rsidR="00BD3565" w:rsidRPr="00FE7BF4">
        <w:rPr>
          <w:color w:val="auto"/>
        </w:rPr>
        <w:tab/>
      </w:r>
      <w:r w:rsidR="00BD3565" w:rsidRPr="00FE7BF4">
        <w:rPr>
          <w:color w:val="auto"/>
        </w:rPr>
        <w:tab/>
      </w:r>
      <w:r w:rsidR="00BD3565" w:rsidRPr="00FE7BF4">
        <w:rPr>
          <w:color w:val="auto"/>
        </w:rPr>
        <w:tab/>
      </w:r>
      <w:r w:rsidR="00BD3565" w:rsidRPr="00FE7BF4">
        <w:rPr>
          <w:color w:val="auto"/>
        </w:rPr>
        <w:tab/>
      </w:r>
      <w:r w:rsidR="00BD3565" w:rsidRPr="00FE7BF4">
        <w:rPr>
          <w:color w:val="auto"/>
        </w:rPr>
        <w:tab/>
      </w:r>
      <w:r w:rsidRPr="00FE7BF4">
        <w:rPr>
          <w:color w:val="auto"/>
        </w:rPr>
        <w:t>Gintarė Skaistė</w:t>
      </w:r>
    </w:p>
    <w:p w:rsidR="00BD3565" w:rsidRPr="00FE7BF4" w:rsidRDefault="00BD3565" w:rsidP="00BD3565">
      <w:pPr>
        <w:jc w:val="both"/>
        <w:rPr>
          <w:color w:val="auto"/>
        </w:rPr>
      </w:pPr>
    </w:p>
    <w:p w:rsidR="00BD3565" w:rsidRPr="00FE7BF4" w:rsidRDefault="00BD3565" w:rsidP="00BD3565">
      <w:pPr>
        <w:jc w:val="both"/>
        <w:rPr>
          <w:color w:val="auto"/>
        </w:rPr>
      </w:pPr>
    </w:p>
    <w:p w:rsidR="00BD3565" w:rsidRPr="00B17761" w:rsidRDefault="00BD3565" w:rsidP="00BD3565">
      <w:pPr>
        <w:jc w:val="both"/>
        <w:rPr>
          <w:color w:val="auto"/>
        </w:rPr>
      </w:pPr>
      <w:r w:rsidRPr="00FE7BF4">
        <w:rPr>
          <w:color w:val="auto"/>
        </w:rPr>
        <w:t xml:space="preserve">Valstybės iždo departamento direktorius </w:t>
      </w:r>
      <w:r w:rsidRPr="00FE7BF4">
        <w:rPr>
          <w:color w:val="auto"/>
        </w:rPr>
        <w:tab/>
      </w:r>
      <w:r w:rsidRPr="00FE7BF4">
        <w:rPr>
          <w:color w:val="auto"/>
        </w:rPr>
        <w:tab/>
      </w:r>
      <w:r w:rsidRPr="00FE7BF4">
        <w:rPr>
          <w:color w:val="auto"/>
        </w:rPr>
        <w:tab/>
        <w:t>Audrius Želionis</w:t>
      </w:r>
    </w:p>
    <w:p w:rsidR="00B17761" w:rsidRPr="00B17761" w:rsidRDefault="00B17761" w:rsidP="00BD3565">
      <w:pPr>
        <w:rPr>
          <w:color w:val="auto"/>
          <w:sz w:val="20"/>
          <w:szCs w:val="20"/>
        </w:rPr>
      </w:pPr>
    </w:p>
    <w:sectPr w:rsidR="00B17761" w:rsidRPr="00B17761" w:rsidSect="000A4043">
      <w:headerReference w:type="even" r:id="rId14"/>
      <w:footerReference w:type="default" r:id="rId15"/>
      <w:headerReference w:type="first" r:id="rId16"/>
      <w:pgSz w:w="11906" w:h="16838"/>
      <w:pgMar w:top="992" w:right="567" w:bottom="141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487" w:rsidRDefault="00353487">
      <w:r>
        <w:separator/>
      </w:r>
    </w:p>
  </w:endnote>
  <w:endnote w:type="continuationSeparator" w:id="0">
    <w:p w:rsidR="00353487" w:rsidRDefault="00353487">
      <w:r>
        <w:continuationSeparator/>
      </w:r>
    </w:p>
  </w:endnote>
  <w:endnote w:type="continuationNotice" w:id="1">
    <w:p w:rsidR="00353487" w:rsidRDefault="00353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ndara">
    <w:panose1 w:val="020E0502030303020204"/>
    <w:charset w:val="BA"/>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353487" w:rsidTr="007967B4">
      <w:tc>
        <w:tcPr>
          <w:tcW w:w="4500" w:type="pct"/>
          <w:tcBorders>
            <w:top w:val="single" w:sz="4" w:space="0" w:color="000000" w:themeColor="text1"/>
          </w:tcBorders>
          <w:shd w:val="clear" w:color="auto" w:fill="auto"/>
        </w:tcPr>
        <w:p w:rsidR="00353487" w:rsidRPr="000A4043" w:rsidRDefault="00353487" w:rsidP="005A51DD">
          <w:pPr>
            <w:jc w:val="center"/>
            <w:rPr>
              <w:bCs/>
              <w:color w:val="auto"/>
            </w:rPr>
          </w:pPr>
          <w:r w:rsidRPr="000A4043">
            <w:rPr>
              <w:bCs/>
              <w:color w:val="808080" w:themeColor="background1" w:themeShade="80"/>
              <w:sz w:val="16"/>
            </w:rPr>
            <w:t>20</w:t>
          </w:r>
          <w:r>
            <w:rPr>
              <w:bCs/>
              <w:color w:val="808080" w:themeColor="background1" w:themeShade="80"/>
              <w:sz w:val="16"/>
            </w:rPr>
            <w:t>20</w:t>
          </w:r>
          <w:r w:rsidRPr="000A4043">
            <w:rPr>
              <w:bCs/>
              <w:color w:val="808080" w:themeColor="background1" w:themeShade="80"/>
              <w:sz w:val="16"/>
            </w:rPr>
            <w:t xml:space="preserve"> METŲ LIETUVOS RESPUBLIKOS VALSTYBĖS BIUDŽETO VYKDYMO ATASKAITŲ AIŠKINAMASIS RAŠTAS</w:t>
          </w:r>
        </w:p>
      </w:tc>
      <w:tc>
        <w:tcPr>
          <w:tcW w:w="500" w:type="pct"/>
          <w:tcBorders>
            <w:top w:val="single" w:sz="4" w:space="0" w:color="C0504D" w:themeColor="accent2"/>
          </w:tcBorders>
          <w:shd w:val="clear" w:color="auto" w:fill="943634" w:themeFill="accent2" w:themeFillShade="BF"/>
        </w:tcPr>
        <w:p w:rsidR="00353487" w:rsidRDefault="00353487">
          <w:pPr>
            <w:pStyle w:val="Antrats"/>
            <w:rPr>
              <w:color w:val="FFFFFF" w:themeColor="background1"/>
            </w:rPr>
          </w:pPr>
          <w:r>
            <w:rPr>
              <w:color w:val="auto"/>
            </w:rPr>
            <w:fldChar w:fldCharType="begin"/>
          </w:r>
          <w:r>
            <w:instrText>PAGE   \* MERGEFORMAT</w:instrText>
          </w:r>
          <w:r>
            <w:rPr>
              <w:color w:val="auto"/>
            </w:rPr>
            <w:fldChar w:fldCharType="separate"/>
          </w:r>
          <w:r w:rsidR="00BE1F2D" w:rsidRPr="00BE1F2D">
            <w:rPr>
              <w:noProof/>
              <w:color w:val="FFFFFF" w:themeColor="background1"/>
            </w:rPr>
            <w:t>17</w:t>
          </w:r>
          <w:r>
            <w:rPr>
              <w:color w:val="FFFFFF" w:themeColor="background1"/>
            </w:rPr>
            <w:fldChar w:fldCharType="end"/>
          </w:r>
        </w:p>
      </w:tc>
    </w:tr>
  </w:tbl>
  <w:p w:rsidR="00353487" w:rsidRDefault="003534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487" w:rsidRDefault="00353487">
      <w:r>
        <w:separator/>
      </w:r>
    </w:p>
  </w:footnote>
  <w:footnote w:type="continuationSeparator" w:id="0">
    <w:p w:rsidR="00353487" w:rsidRDefault="00353487">
      <w:r>
        <w:continuationSeparator/>
      </w:r>
    </w:p>
  </w:footnote>
  <w:footnote w:type="continuationNotice" w:id="1">
    <w:p w:rsidR="00353487" w:rsidRDefault="00353487"/>
  </w:footnote>
  <w:footnote w:id="2">
    <w:p w:rsidR="00353487" w:rsidRDefault="00353487" w:rsidP="006A3DE8">
      <w:pPr>
        <w:pStyle w:val="Puslapioinaostekstas"/>
        <w:jc w:val="both"/>
      </w:pPr>
      <w:r>
        <w:rPr>
          <w:rStyle w:val="Puslapioinaosnuoroda"/>
        </w:rPr>
        <w:footnoteRef/>
      </w:r>
      <w:r>
        <w:t xml:space="preserve"> Lietuvos Respublikos viešojo sektoriaus atskaitomybės įstatymas, 2007 m. birželio 26 d. Nr. X-1212 (su pakeitimais ir papildymais).</w:t>
      </w:r>
    </w:p>
  </w:footnote>
  <w:footnote w:id="3">
    <w:p w:rsidR="00353487" w:rsidRDefault="00353487" w:rsidP="006A3DE8">
      <w:pPr>
        <w:pStyle w:val="Puslapioinaostekstas"/>
        <w:jc w:val="both"/>
      </w:pPr>
      <w:r>
        <w:rPr>
          <w:rStyle w:val="Puslapioinaosnuoroda"/>
        </w:rPr>
        <w:footnoteRef/>
      </w:r>
      <w:r>
        <w:t xml:space="preserve"> Lietuvos Respublikos biudžeto sandaros įstatymas, 1990 m. liepos d. 30 Nr. I-430 (su pakeitimais ir papildymais).</w:t>
      </w:r>
    </w:p>
  </w:footnote>
  <w:footnote w:id="4">
    <w:p w:rsidR="00353487" w:rsidRDefault="00353487" w:rsidP="006A3DE8">
      <w:pPr>
        <w:pStyle w:val="Puslapioinaostekstas"/>
        <w:jc w:val="both"/>
      </w:pPr>
      <w:r>
        <w:rPr>
          <w:rStyle w:val="Puslapioinaosnuoroda"/>
        </w:rPr>
        <w:footnoteRef/>
      </w:r>
      <w:r>
        <w:t xml:space="preserve"> Lietuvos Respublikos Vyriausybės 2001 m. gegužės 14 d. nutarimas Nr. 543 ,,Dėl  Lietuvos Respublikos valstybės biudžeto ir savivaldybių biudžetų sudarymo ir vykdymo taisyklių patvirtinimo“ (su pakeitimais ir papildymais).</w:t>
      </w:r>
    </w:p>
  </w:footnote>
  <w:footnote w:id="5">
    <w:p w:rsidR="00353487" w:rsidRDefault="00353487" w:rsidP="006A3DE8">
      <w:pPr>
        <w:pStyle w:val="Puslapioinaostekstas"/>
        <w:jc w:val="both"/>
      </w:pPr>
      <w:r>
        <w:rPr>
          <w:rStyle w:val="Puslapioinaosnuoroda"/>
        </w:rPr>
        <w:footnoteRef/>
      </w:r>
      <w:r>
        <w:t xml:space="preserve"> Lietuvos Respublikos 2020 m. valstybės biudžeto ir savivaldybių biudžetų finansinių rodiklių patvirtinimo įstatymas, 2019 m. gruodžio 17 d. Nr. XIII-2695. </w:t>
      </w:r>
    </w:p>
  </w:footnote>
  <w:footnote w:id="6">
    <w:p w:rsidR="00353487" w:rsidRDefault="00353487" w:rsidP="006A3DE8">
      <w:pPr>
        <w:pStyle w:val="Puslapioinaostekstas"/>
        <w:jc w:val="both"/>
      </w:pPr>
      <w:r>
        <w:rPr>
          <w:rStyle w:val="Puslapioinaosnuoroda"/>
        </w:rPr>
        <w:footnoteRef/>
      </w:r>
      <w:r>
        <w:t xml:space="preserve"> Lietuvos Respublikos finansų ministro 2008 m gruodžio 31 d. įsakymas Nr. 1K-465 ,,Dėl valstybės ir savivaldybių biudžetinių įstaigų ir kitų subjektų žemesniojo lygio biudžeto vykdymo ataskaitų sudarymo taisyklių ir formų patvirtinimo“ (su pakeitimais ir papildymais). </w:t>
      </w:r>
    </w:p>
  </w:footnote>
  <w:footnote w:id="7">
    <w:p w:rsidR="00353487" w:rsidRDefault="00353487" w:rsidP="006A3DE8">
      <w:pPr>
        <w:pStyle w:val="Puslapioinaostekstas"/>
        <w:jc w:val="both"/>
      </w:pPr>
      <w:r>
        <w:rPr>
          <w:rStyle w:val="Puslapioinaosnuoroda"/>
        </w:rPr>
        <w:footnoteRef/>
      </w:r>
      <w:r>
        <w:t xml:space="preserve"> Lietuvos Respublikos finansų ministro 2010 m. sausio 29 d. įsakymas Nr. 1K-022 ,,Dėl vykdymo ataskaitų“  (su pakeitimais ir papildymais).</w:t>
      </w:r>
    </w:p>
  </w:footnote>
  <w:footnote w:id="8">
    <w:p w:rsidR="00353487" w:rsidRDefault="00353487" w:rsidP="006A3DE8">
      <w:pPr>
        <w:pStyle w:val="Puslapioinaostekstas"/>
        <w:jc w:val="both"/>
      </w:pPr>
      <w:r>
        <w:rPr>
          <w:rStyle w:val="Puslapioinaosnuoroda"/>
        </w:rPr>
        <w:footnoteRef/>
      </w:r>
      <w:r>
        <w:t xml:space="preserve"> Lietuvos Respublikos mokesčių administravimo įstatymas, 2004 m. balandžio 13 d. Nr. IX-2112 (su pakeitimais ir papildymais).</w:t>
      </w:r>
    </w:p>
  </w:footnote>
  <w:footnote w:id="9">
    <w:p w:rsidR="00353487" w:rsidRDefault="00353487" w:rsidP="006A3DE8">
      <w:pPr>
        <w:pStyle w:val="Puslapioinaostekstas"/>
        <w:jc w:val="both"/>
      </w:pPr>
      <w:r>
        <w:rPr>
          <w:rStyle w:val="Puslapioinaosnuoroda"/>
        </w:rPr>
        <w:footnoteRef/>
      </w:r>
      <w:r>
        <w:t xml:space="preserve"> Lietuvos Respublikos finansų ministro 2003 m. birželio 20 d. įsakymas Nr. 1K-169 ,,Dėl valstybės biudžetui priskirtų mokesčių, kitų įmokų ir rinkliavų pervedimo į valstybės iždo sąskaitą“ (su pakeitimais ir papildymais).</w:t>
      </w:r>
    </w:p>
  </w:footnote>
  <w:footnote w:id="10">
    <w:p w:rsidR="00353487" w:rsidRDefault="00353487" w:rsidP="006A3DE8">
      <w:pPr>
        <w:pStyle w:val="Puslapioinaostekstas"/>
        <w:jc w:val="both"/>
      </w:pPr>
      <w:r>
        <w:rPr>
          <w:rStyle w:val="Puslapioinaosnuoroda"/>
        </w:rPr>
        <w:footnoteRef/>
      </w:r>
      <w:r>
        <w:t xml:space="preserve"> Lietuvos Respublikos finansų ministro 2006 m. gruodžio 29 d. įsakymas Nr. 1K-429 ,,Dėl Europos Sąjungos, kitos tarptautinės finansinės paramos ir kitų valstybės biudžetui priskirtų lėšų tiesioginio pervedimo į valstybės iždą taisyklių ir įmokų kodų sąrašo patvirtinimo“ (su pakeitimais ir papildymais).</w:t>
      </w:r>
    </w:p>
  </w:footnote>
  <w:footnote w:id="11">
    <w:p w:rsidR="00353487" w:rsidRDefault="00353487" w:rsidP="006A3DE8">
      <w:pPr>
        <w:pStyle w:val="Puslapioinaostekstas"/>
        <w:jc w:val="both"/>
      </w:pPr>
      <w:r>
        <w:rPr>
          <w:rStyle w:val="Puslapioinaosnuoroda"/>
        </w:rPr>
        <w:footnoteRef/>
      </w:r>
      <w:r>
        <w:t xml:space="preserve"> Lietuvos Respublikos finansų ministro 2003 m. sausio 29 d. įsakymas Nr. 1K-019 ,,Dėl mokesčių ir kitų įmokų į valstybės biudžetą ir savivaldybių biudžetus apyskaitos“ (su pakeitimais ir papildymais).</w:t>
      </w:r>
    </w:p>
  </w:footnote>
  <w:footnote w:id="12">
    <w:p w:rsidR="00353487" w:rsidRDefault="00353487" w:rsidP="006A3DE8">
      <w:pPr>
        <w:pStyle w:val="Puslapioinaostekstas"/>
        <w:jc w:val="both"/>
      </w:pPr>
      <w:r>
        <w:rPr>
          <w:rStyle w:val="Puslapioinaosnuoroda"/>
        </w:rPr>
        <w:footnoteRef/>
      </w:r>
      <w:r>
        <w:t xml:space="preserve"> Lietuvos Respublikos finansų ministro 2000 m. liepos 21 d. įsakymas Nr. 195 ,,Dėl valstybės biudžeto lėšų išdavimo iš valstybės iždo sąskaitos taisyklių patvirtinimo“ (su pakeitimais ir papildymais).</w:t>
      </w:r>
    </w:p>
  </w:footnote>
  <w:footnote w:id="13">
    <w:p w:rsidR="00353487" w:rsidRDefault="00353487" w:rsidP="005F418D">
      <w:pPr>
        <w:pStyle w:val="Puslapioinaostekstas"/>
        <w:rPr>
          <w:rFonts w:eastAsia="Calibri"/>
        </w:rPr>
      </w:pPr>
      <w:r>
        <w:rPr>
          <w:rStyle w:val="Puslapioinaosnuoroda"/>
        </w:rPr>
        <w:footnoteRef/>
      </w:r>
      <w:r>
        <w:t xml:space="preserve"> </w:t>
      </w: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liepos 29 d. nutarimas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rugsėjo 30 d. nutarimas Nr. 1061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spalio 28 d. nutarimas Nr. 1203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rugsėjo 16 d. nutarimas Nr. 1002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lapkričio 25 d. nutarimas Nr. 1316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w:t>
      </w:r>
      <w:r>
        <w:rPr>
          <w:bCs/>
        </w:rPr>
        <w:t>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spalio 14 d. nutarimas Nr. 1124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spalio 21 d. nutarimas Nr. 1176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rugsėjo 2 d. nutarimas Nr. 964 ir 2020 m. rugpjūčio 19 d.nutarimas Nr. 915 „Dėl Lietuvos Respublikos Vyriausybės 2020 m. liepos 29 d. nutarimo Nr. 832 „Dėl</w:t>
      </w:r>
      <w:r>
        <w:rPr>
          <w:b/>
          <w:bCs/>
          <w:caps/>
        </w:rPr>
        <w:t> </w:t>
      </w:r>
      <w:r w:rsidRPr="007C3D07">
        <w:rPr>
          <w:bCs/>
          <w:caps/>
        </w:rPr>
        <w:t>A</w:t>
      </w:r>
      <w:r w:rsidRPr="007C3D07">
        <w:rPr>
          <w:bCs/>
        </w:rPr>
        <w:t>t</w:t>
      </w:r>
      <w:r w:rsidRPr="00124F1A">
        <w:rPr>
          <w:bCs/>
        </w:rPr>
        <w:t>eities ekonomikos </w:t>
      </w:r>
      <w:r>
        <w:rPr>
          <w:bCs/>
        </w:rPr>
        <w:t>DNR</w:t>
      </w:r>
      <w:r w:rsidRPr="00124F1A">
        <w:rPr>
          <w:bCs/>
        </w:rPr>
        <w:t xml:space="preserve"> plano įgyvendinamų veiksmų ir projektų sąrašo patvirtinimo ir lėšų skyrimo</w:t>
      </w:r>
      <w:r>
        <w:rPr>
          <w:rFonts w:eastAsia="Calibri"/>
        </w:rPr>
        <w:t>“ pakeitimo“.</w:t>
      </w:r>
    </w:p>
    <w:p w:rsidR="00353487" w:rsidRDefault="00353487" w:rsidP="005F418D">
      <w:pPr>
        <w:pStyle w:val="Puslapioinaostekstas"/>
        <w:rPr>
          <w:rFonts w:eastAsia="Calibri"/>
        </w:rPr>
      </w:pPr>
      <w:r w:rsidRPr="00864078">
        <w:t xml:space="preserve">Lietuvos Respublikos Vyriausybės </w:t>
      </w:r>
      <w:r>
        <w:rPr>
          <w:rFonts w:eastAsia="Calibri"/>
        </w:rPr>
        <w:t>2020</w:t>
      </w:r>
      <w:r w:rsidRPr="00864078">
        <w:rPr>
          <w:rFonts w:eastAsia="Calibri"/>
        </w:rPr>
        <w:t xml:space="preserve"> m.</w:t>
      </w:r>
      <w:r>
        <w:rPr>
          <w:rFonts w:eastAsia="Calibri"/>
        </w:rPr>
        <w:t xml:space="preserve"> gruodžio 2 d. nutarimas Nr. 1357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balandžio 15 d. nutarimas Nr. 374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birželio 10 d. nutarimas Nr. 596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rugsėjo 16 d. nutarimas Nr. 1010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gegužės 13 d. nutarimas Nr. 481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balandžio 1 d. nutarimas Nr. 318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liepos 16 d. nutarimas Nr. 804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balandžio 29 d. nutarimas Nr. 439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birželio 17 d. nutarimas Nr. 633 „Dėl lėšų skyrimo“.</w:t>
      </w:r>
    </w:p>
    <w:p w:rsidR="00353487" w:rsidRDefault="00353487" w:rsidP="005F418D">
      <w:pPr>
        <w:pStyle w:val="Puslapioinaostekstas"/>
        <w:rPr>
          <w:rFonts w:eastAsia="Calibri"/>
        </w:rPr>
      </w:pPr>
      <w:r w:rsidRPr="00864078">
        <w:t xml:space="preserve">Lietuvos Respublikos Vyriausybės </w:t>
      </w:r>
      <w:r w:rsidRPr="00864078">
        <w:rPr>
          <w:rFonts w:eastAsia="Calibri"/>
        </w:rPr>
        <w:t>20</w:t>
      </w:r>
      <w:r>
        <w:rPr>
          <w:rFonts w:eastAsia="Calibri"/>
        </w:rPr>
        <w:t>20</w:t>
      </w:r>
      <w:r w:rsidRPr="00864078">
        <w:rPr>
          <w:rFonts w:eastAsia="Calibri"/>
        </w:rPr>
        <w:t xml:space="preserve"> m.</w:t>
      </w:r>
      <w:r>
        <w:rPr>
          <w:rFonts w:eastAsia="Calibri"/>
        </w:rPr>
        <w:t xml:space="preserve"> balandžio 22 d. nutarimas Nr. 412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gegužės 6 d. nutarimas Nr. 458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liepos 29 d. nutarimas Nr. 831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rugpjūčio 19 d. nutarimas Nr. 907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spalio 28 d. nutarimas Nr. 1207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spalio 21 d. nutarimas Nr. 1154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birželio 3 d. nutarimas Nr. 565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gegužės 20 d. nutarimas Nr. 502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birželio 10 d. nutarimas Nr. 591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rugsėjo 23 d. nutarimas Nr. 1033 „Dėl lėšų skyrimo“.</w:t>
      </w:r>
    </w:p>
    <w:p w:rsidR="00353487" w:rsidRPr="00A62E5C" w:rsidRDefault="00353487" w:rsidP="00935D1A">
      <w:pPr>
        <w:pStyle w:val="Puslapioinaostekstas"/>
      </w:pPr>
      <w:r w:rsidRPr="00A62E5C">
        <w:t xml:space="preserve">Lietuvos Respublikos Vyriausybės </w:t>
      </w:r>
      <w:r w:rsidRPr="00A62E5C">
        <w:rPr>
          <w:rFonts w:eastAsia="Calibri"/>
        </w:rPr>
        <w:t>2020 m. lapkričio 18 d. nutarimas Nr. 1276 „Dėl lėšų skyrimo“.</w:t>
      </w:r>
    </w:p>
    <w:p w:rsidR="00353487" w:rsidRDefault="00353487" w:rsidP="00935D1A">
      <w:pPr>
        <w:pStyle w:val="Puslapioinaostekstas"/>
        <w:rPr>
          <w:rFonts w:eastAsia="Calibri"/>
        </w:rPr>
      </w:pPr>
      <w:r w:rsidRPr="00A62E5C">
        <w:t xml:space="preserve">Lietuvos Respublikos Vyriausybės </w:t>
      </w:r>
      <w:r w:rsidRPr="00A62E5C">
        <w:rPr>
          <w:rFonts w:eastAsia="Calibri"/>
        </w:rPr>
        <w:t>2020 m. gruodžio 9 d. nutarimas Nr. 1373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spalio 14 d. nutarimas Nr. 1127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rugpjūčio 17 d. nutarimas Nr. 877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liepos 1 d. nutarimas Nr. 718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balandžio 8 d. nutarimas Nr. 351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lapkričio 11 d. nutarimas Nr. 1252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liepos 8 d. nutarimas Nr. 776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gruodžio 16 d. nutarimas Nr. 1434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kovo 18 d. nutarimas Nr. 229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2020 m. kovo 25 d. nutarimas Nr. 265 „Dėl lėšų skyrimo“.</w:t>
      </w:r>
    </w:p>
    <w:p w:rsidR="00353487" w:rsidRPr="00A62E5C" w:rsidRDefault="00353487" w:rsidP="000E7207">
      <w:pPr>
        <w:rPr>
          <w:rFonts w:eastAsia="Calibri"/>
          <w:sz w:val="20"/>
          <w:szCs w:val="20"/>
        </w:rPr>
      </w:pPr>
      <w:r w:rsidRPr="00A62E5C">
        <w:rPr>
          <w:sz w:val="20"/>
          <w:szCs w:val="20"/>
        </w:rPr>
        <w:t xml:space="preserve">Lietuvos Respublikos Vyriausybės </w:t>
      </w:r>
      <w:r w:rsidRPr="00A62E5C">
        <w:rPr>
          <w:rFonts w:eastAsia="Calibri"/>
          <w:sz w:val="20"/>
          <w:szCs w:val="20"/>
        </w:rPr>
        <w:t>2020 m. gruodžio 21 d. nutarimas Nr. 1442 „Dėl lėšų skyrimo“.</w:t>
      </w:r>
    </w:p>
    <w:p w:rsidR="00353487" w:rsidRPr="00A62E5C" w:rsidRDefault="00353487" w:rsidP="000E7207">
      <w:pPr>
        <w:pStyle w:val="Puslapioinaostekstas"/>
      </w:pPr>
      <w:r w:rsidRPr="00A62E5C">
        <w:t xml:space="preserve">Lietuvos Respublikos Vyriausybės </w:t>
      </w:r>
      <w:r w:rsidRPr="00A62E5C">
        <w:rPr>
          <w:rFonts w:eastAsia="Calibri"/>
        </w:rPr>
        <w:t xml:space="preserve">2020 m. rugpjūčio 12 d. nutarimas Nr. 899 „Dėl </w:t>
      </w:r>
      <w:r w:rsidRPr="00A62E5C">
        <w:rPr>
          <w:bCs/>
        </w:rPr>
        <w:t>pritarimo Valstybės rezervo tvarkytojos – Sveikatos apsaugos ministerijos sprendimams panaudoti jos tvarkomas valstybės rezervo medicinos atsargas</w:t>
      </w:r>
      <w:r w:rsidRPr="00A62E5C">
        <w:rPr>
          <w:rFonts w:eastAsia="Calibri"/>
        </w:rPr>
        <w:t>“.</w:t>
      </w:r>
    </w:p>
    <w:p w:rsidR="00353487" w:rsidRPr="00A62E5C" w:rsidRDefault="00353487" w:rsidP="000E7207">
      <w:pPr>
        <w:pStyle w:val="Puslapioinaostekstas"/>
      </w:pPr>
      <w:r w:rsidRPr="00A62E5C">
        <w:t xml:space="preserve">Lietuvos Respublikos Vyriausybės </w:t>
      </w:r>
      <w:r w:rsidRPr="00A62E5C">
        <w:rPr>
          <w:rFonts w:eastAsia="Calibri"/>
        </w:rPr>
        <w:t xml:space="preserve">2020 m. rugsėjo 16 d. nutarimas Nr.1009 „Dėl </w:t>
      </w:r>
      <w:r w:rsidRPr="00A62E5C">
        <w:rPr>
          <w:bCs/>
        </w:rPr>
        <w:t>lėšų skyrimo</w:t>
      </w:r>
      <w:r w:rsidRPr="00A62E5C">
        <w:rPr>
          <w:rFonts w:eastAsia="Calibri"/>
        </w:rPr>
        <w:t>“.</w:t>
      </w:r>
    </w:p>
    <w:p w:rsidR="00353487" w:rsidRPr="00A62E5C" w:rsidRDefault="00353487" w:rsidP="000E7207">
      <w:pPr>
        <w:pStyle w:val="Puslapioinaostekstas"/>
      </w:pPr>
      <w:r w:rsidRPr="00A62E5C">
        <w:t xml:space="preserve">Lietuvos Respublikos Vyriausybės </w:t>
      </w:r>
      <w:r w:rsidRPr="00A62E5C">
        <w:rPr>
          <w:rFonts w:eastAsia="Calibri"/>
        </w:rPr>
        <w:t xml:space="preserve">2020 m. rugsėjo 16 d. nutarimas Nr.1015 „Dėl </w:t>
      </w:r>
      <w:r w:rsidRPr="00A62E5C">
        <w:rPr>
          <w:bCs/>
        </w:rPr>
        <w:t>lėšų skyrimo</w:t>
      </w:r>
      <w:r w:rsidRPr="00A62E5C">
        <w:rPr>
          <w:rFonts w:eastAsia="Calibri"/>
        </w:rPr>
        <w:t>“.</w:t>
      </w:r>
    </w:p>
    <w:p w:rsidR="00353487" w:rsidRPr="00FC59EC" w:rsidRDefault="00353487" w:rsidP="000E7207">
      <w:pPr>
        <w:pStyle w:val="Puslapioinaostekstas"/>
        <w:rPr>
          <w:rFonts w:eastAsia="Calibri"/>
        </w:rPr>
      </w:pPr>
      <w:r w:rsidRPr="00A62E5C">
        <w:t xml:space="preserve">Lietuvos Respublikos Vyriausybės </w:t>
      </w:r>
      <w:r w:rsidRPr="00A62E5C">
        <w:rPr>
          <w:rFonts w:eastAsia="Calibri"/>
        </w:rPr>
        <w:t xml:space="preserve">2020 m. liepos 8 d. nutarimas Nr.755 „Dėl </w:t>
      </w:r>
      <w:r w:rsidRPr="00A62E5C">
        <w:rPr>
          <w:bCs/>
        </w:rPr>
        <w:t>lėšų skyrimo</w:t>
      </w:r>
      <w:r w:rsidRPr="00A62E5C">
        <w:rPr>
          <w:rFonts w:eastAsia="Calibri"/>
        </w:rPr>
        <w:t>“.</w:t>
      </w:r>
    </w:p>
  </w:footnote>
  <w:footnote w:id="14">
    <w:p w:rsidR="00353487" w:rsidRPr="00AF125F" w:rsidRDefault="00353487" w:rsidP="006472E8">
      <w:pPr>
        <w:pStyle w:val="Puslapioinaostekstas"/>
        <w:rPr>
          <w:sz w:val="18"/>
          <w:szCs w:val="18"/>
        </w:rPr>
      </w:pPr>
      <w:r w:rsidRPr="00AF125F">
        <w:rPr>
          <w:rStyle w:val="Puslapioinaosnuoroda"/>
          <w:sz w:val="18"/>
          <w:szCs w:val="18"/>
        </w:rPr>
        <w:footnoteRef/>
      </w:r>
      <w:r w:rsidRPr="00AF125F">
        <w:rPr>
          <w:sz w:val="18"/>
          <w:szCs w:val="18"/>
        </w:rPr>
        <w:t xml:space="preserve">  Lietuvos Respublikos kelių priežiūros ir plėtros programos</w:t>
      </w:r>
      <w:r>
        <w:rPr>
          <w:sz w:val="18"/>
          <w:szCs w:val="18"/>
        </w:rPr>
        <w:t xml:space="preserve"> finansavimo</w:t>
      </w:r>
      <w:r w:rsidRPr="00AF125F">
        <w:rPr>
          <w:sz w:val="18"/>
          <w:szCs w:val="18"/>
        </w:rPr>
        <w:t xml:space="preserve"> įstatymas, 2000</w:t>
      </w:r>
      <w:r>
        <w:rPr>
          <w:sz w:val="18"/>
          <w:szCs w:val="18"/>
        </w:rPr>
        <w:t xml:space="preserve"> m. spalio 12 d. Nr. VIII-2032.</w:t>
      </w:r>
    </w:p>
  </w:footnote>
  <w:footnote w:id="15">
    <w:p w:rsidR="00353487" w:rsidRDefault="00353487" w:rsidP="006472E8">
      <w:pPr>
        <w:pStyle w:val="Puslapioinaostekstas"/>
      </w:pPr>
      <w:r>
        <w:rPr>
          <w:rStyle w:val="Puslapioinaosnuoroda"/>
        </w:rPr>
        <w:footnoteRef/>
      </w:r>
      <w:r>
        <w:t xml:space="preserve"> </w:t>
      </w:r>
      <w:r w:rsidRPr="00AF125F">
        <w:rPr>
          <w:sz w:val="18"/>
          <w:szCs w:val="18"/>
        </w:rPr>
        <w:t xml:space="preserve">Lietuvos Respublikos kultūros rėmimo fondo įstatymas, </w:t>
      </w:r>
      <w:r>
        <w:rPr>
          <w:sz w:val="18"/>
          <w:szCs w:val="18"/>
        </w:rPr>
        <w:t>2007 m. liepos 4 d. Nr. X-1260.</w:t>
      </w:r>
    </w:p>
  </w:footnote>
  <w:footnote w:id="16">
    <w:p w:rsidR="00353487" w:rsidRPr="002046D7" w:rsidRDefault="00353487" w:rsidP="006472E8">
      <w:pPr>
        <w:pStyle w:val="Puslapioinaostekstas"/>
        <w:rPr>
          <w:sz w:val="18"/>
          <w:szCs w:val="18"/>
        </w:rPr>
      </w:pPr>
      <w:r>
        <w:rPr>
          <w:rStyle w:val="Puslapioinaosnuoroda"/>
        </w:rPr>
        <w:footnoteRef/>
      </w:r>
      <w:r>
        <w:t xml:space="preserve"> </w:t>
      </w:r>
      <w:r w:rsidRPr="00AF125F">
        <w:rPr>
          <w:color w:val="auto"/>
          <w:sz w:val="18"/>
          <w:szCs w:val="18"/>
        </w:rPr>
        <w:t xml:space="preserve">Lietuvos Respublikos </w:t>
      </w:r>
      <w:r>
        <w:rPr>
          <w:color w:val="auto"/>
          <w:sz w:val="18"/>
          <w:szCs w:val="18"/>
        </w:rPr>
        <w:t xml:space="preserve">kūno kultūros ir sporto </w:t>
      </w:r>
      <w:r w:rsidRPr="00AF125F">
        <w:rPr>
          <w:color w:val="auto"/>
          <w:sz w:val="18"/>
          <w:szCs w:val="18"/>
        </w:rPr>
        <w:t xml:space="preserve">įstatymas, </w:t>
      </w:r>
      <w:r>
        <w:rPr>
          <w:color w:val="auto"/>
          <w:sz w:val="18"/>
          <w:szCs w:val="18"/>
        </w:rPr>
        <w:t>2018</w:t>
      </w:r>
      <w:r w:rsidRPr="00AF125F">
        <w:rPr>
          <w:color w:val="auto"/>
          <w:sz w:val="18"/>
          <w:szCs w:val="18"/>
        </w:rPr>
        <w:t xml:space="preserve"> m.</w:t>
      </w:r>
      <w:r>
        <w:rPr>
          <w:color w:val="auto"/>
          <w:sz w:val="18"/>
          <w:szCs w:val="18"/>
        </w:rPr>
        <w:t xml:space="preserve"> spalio</w:t>
      </w:r>
      <w:r w:rsidRPr="00AF125F">
        <w:rPr>
          <w:color w:val="auto"/>
          <w:sz w:val="18"/>
          <w:szCs w:val="18"/>
        </w:rPr>
        <w:t xml:space="preserve"> 1</w:t>
      </w:r>
      <w:r>
        <w:rPr>
          <w:color w:val="auto"/>
          <w:sz w:val="18"/>
          <w:szCs w:val="18"/>
        </w:rPr>
        <w:t>8</w:t>
      </w:r>
      <w:r w:rsidRPr="00AF125F">
        <w:rPr>
          <w:color w:val="auto"/>
          <w:sz w:val="18"/>
          <w:szCs w:val="18"/>
        </w:rPr>
        <w:t xml:space="preserve"> d. Nr. </w:t>
      </w:r>
      <w:r>
        <w:rPr>
          <w:color w:val="auto"/>
          <w:sz w:val="18"/>
          <w:szCs w:val="18"/>
        </w:rPr>
        <w:t>XII</w:t>
      </w:r>
      <w:r w:rsidRPr="00AF125F">
        <w:rPr>
          <w:color w:val="auto"/>
          <w:sz w:val="18"/>
          <w:szCs w:val="18"/>
        </w:rPr>
        <w:t>I-</w:t>
      </w:r>
      <w:r>
        <w:rPr>
          <w:color w:val="auto"/>
          <w:sz w:val="18"/>
          <w:szCs w:val="18"/>
        </w:rPr>
        <w:t>1</w:t>
      </w:r>
      <w:r w:rsidRPr="00AF125F">
        <w:rPr>
          <w:color w:val="auto"/>
          <w:sz w:val="18"/>
          <w:szCs w:val="18"/>
        </w:rPr>
        <w:t>5</w:t>
      </w:r>
      <w:r>
        <w:rPr>
          <w:color w:val="auto"/>
          <w:sz w:val="18"/>
          <w:szCs w:val="18"/>
        </w:rPr>
        <w:t>40.</w:t>
      </w:r>
    </w:p>
  </w:footnote>
  <w:footnote w:id="17">
    <w:p w:rsidR="00353487" w:rsidRPr="002046D7" w:rsidRDefault="00353487" w:rsidP="006472E8">
      <w:pPr>
        <w:pStyle w:val="Puslapioinaostekstas"/>
        <w:rPr>
          <w:sz w:val="18"/>
          <w:szCs w:val="18"/>
        </w:rPr>
      </w:pPr>
      <w:r>
        <w:rPr>
          <w:rStyle w:val="Puslapioinaosnuoroda"/>
        </w:rPr>
        <w:footnoteRef/>
      </w:r>
      <w:r>
        <w:t xml:space="preserve"> </w:t>
      </w:r>
      <w:r w:rsidRPr="00AF125F">
        <w:rPr>
          <w:color w:val="auto"/>
          <w:sz w:val="18"/>
          <w:szCs w:val="18"/>
        </w:rPr>
        <w:t>Lietuvos Respublikos sveikatos sistemos įstatymas, 1994 m. liepos 19 d. Nr. I-552</w:t>
      </w:r>
      <w:r>
        <w:rPr>
          <w:color w:val="auto"/>
          <w:sz w:val="18"/>
          <w:szCs w:val="18"/>
        </w:rPr>
        <w:t>.</w:t>
      </w:r>
    </w:p>
  </w:footnote>
  <w:footnote w:id="18">
    <w:p w:rsidR="00353487" w:rsidRPr="00AF125F" w:rsidRDefault="00353487" w:rsidP="006472E8">
      <w:pPr>
        <w:pStyle w:val="Puslapioinaostekstas"/>
        <w:rPr>
          <w:sz w:val="18"/>
          <w:szCs w:val="18"/>
        </w:rPr>
      </w:pPr>
      <w:r w:rsidRPr="00AF125F">
        <w:rPr>
          <w:rStyle w:val="Puslapioinaosnuoroda"/>
          <w:sz w:val="18"/>
          <w:szCs w:val="18"/>
        </w:rPr>
        <w:footnoteRef/>
      </w:r>
      <w:r w:rsidRPr="00AF125F">
        <w:rPr>
          <w:sz w:val="18"/>
          <w:szCs w:val="18"/>
        </w:rPr>
        <w:t xml:space="preserve"> Lietuvos Respublikos klimato kaitos valdymo finansinių instrumentų įstatymas, 2009 m. liepos 7 d. Nr. XI-329.</w:t>
      </w:r>
    </w:p>
  </w:footnote>
  <w:footnote w:id="19">
    <w:p w:rsidR="00353487" w:rsidRPr="00AF125F" w:rsidRDefault="00353487" w:rsidP="006472E8">
      <w:pPr>
        <w:pStyle w:val="Puslapioinaostekstas"/>
        <w:rPr>
          <w:sz w:val="18"/>
          <w:szCs w:val="18"/>
        </w:rPr>
      </w:pPr>
      <w:r w:rsidRPr="0052276C">
        <w:rPr>
          <w:rStyle w:val="Puslapioinaosnuoroda"/>
          <w:sz w:val="18"/>
          <w:szCs w:val="18"/>
        </w:rPr>
        <w:footnoteRef/>
      </w:r>
      <w:r w:rsidRPr="00AF125F">
        <w:rPr>
          <w:sz w:val="18"/>
          <w:szCs w:val="18"/>
        </w:rPr>
        <w:t xml:space="preserve"> </w:t>
      </w:r>
      <w:r w:rsidRPr="0052276C">
        <w:rPr>
          <w:sz w:val="18"/>
          <w:szCs w:val="18"/>
        </w:rPr>
        <w:t>Lietuvos Respublikos Seimo 2002 m. gegužės 30 d. nutarimas Nr. IX-912 „Dėl Rezervinio (stabilizavimo) fondo nuostatų patvirtinimo</w:t>
      </w:r>
      <w:r>
        <w:rPr>
          <w:sz w:val="18"/>
          <w:szCs w:val="18"/>
        </w:rPr>
        <w:t>“.</w:t>
      </w:r>
    </w:p>
  </w:footnote>
  <w:footnote w:id="20">
    <w:p w:rsidR="00353487" w:rsidRPr="00AF125F" w:rsidRDefault="00353487" w:rsidP="006472E8">
      <w:pPr>
        <w:pStyle w:val="Puslapioinaostekstas"/>
        <w:rPr>
          <w:sz w:val="18"/>
          <w:szCs w:val="18"/>
        </w:rPr>
      </w:pPr>
      <w:r w:rsidRPr="0052276C">
        <w:rPr>
          <w:rStyle w:val="Puslapioinaosnuoroda"/>
          <w:sz w:val="18"/>
          <w:szCs w:val="18"/>
        </w:rPr>
        <w:footnoteRef/>
      </w:r>
      <w:r w:rsidRPr="00AF125F">
        <w:rPr>
          <w:sz w:val="18"/>
          <w:szCs w:val="18"/>
        </w:rPr>
        <w:t xml:space="preserve"> Lietuvos Respublikos finansų ministro</w:t>
      </w:r>
      <w:r>
        <w:rPr>
          <w:sz w:val="18"/>
          <w:szCs w:val="18"/>
        </w:rPr>
        <w:t xml:space="preserve"> </w:t>
      </w:r>
      <w:r w:rsidRPr="0052276C">
        <w:rPr>
          <w:sz w:val="18"/>
          <w:szCs w:val="18"/>
        </w:rPr>
        <w:t>2003 m. lapkričio 13 d. įsakymas Nr. 1K-273 „Dėl</w:t>
      </w:r>
      <w:r w:rsidRPr="00AF125F">
        <w:rPr>
          <w:sz w:val="18"/>
          <w:szCs w:val="18"/>
        </w:rPr>
        <w:t xml:space="preserve"> Rezervinio (stabilizavimo) fondo valdy</w:t>
      </w:r>
      <w:r>
        <w:rPr>
          <w:sz w:val="18"/>
          <w:szCs w:val="18"/>
        </w:rPr>
        <w:t>mo“.</w:t>
      </w:r>
    </w:p>
  </w:footnote>
  <w:footnote w:id="21">
    <w:p w:rsidR="00353487" w:rsidRPr="00AF125F" w:rsidRDefault="00353487" w:rsidP="006472E8">
      <w:pPr>
        <w:pStyle w:val="Puslapioinaostekstas"/>
        <w:rPr>
          <w:sz w:val="18"/>
          <w:szCs w:val="18"/>
        </w:rPr>
      </w:pPr>
      <w:r w:rsidRPr="00AF125F">
        <w:rPr>
          <w:rStyle w:val="Puslapioinaosnuoroda"/>
          <w:sz w:val="18"/>
          <w:szCs w:val="18"/>
        </w:rPr>
        <w:footnoteRef/>
      </w:r>
      <w:r w:rsidRPr="00AF125F">
        <w:rPr>
          <w:sz w:val="18"/>
          <w:szCs w:val="18"/>
        </w:rPr>
        <w:t xml:space="preserve"> </w:t>
      </w:r>
      <w:r>
        <w:rPr>
          <w:sz w:val="18"/>
          <w:szCs w:val="18"/>
        </w:rPr>
        <w:t xml:space="preserve"> </w:t>
      </w:r>
      <w:r w:rsidRPr="00AF125F">
        <w:rPr>
          <w:sz w:val="18"/>
          <w:szCs w:val="18"/>
        </w:rPr>
        <w:t>Lietuvos Respublikos Vyriausybės 2013 m. rugpjūčio 28 d. nutarimas Nr. 791 ,,Dėl įgyvendinant finansų inžinerijos priemones grįžusių ir grį</w:t>
      </w:r>
      <w:r>
        <w:rPr>
          <w:sz w:val="18"/>
          <w:szCs w:val="18"/>
        </w:rPr>
        <w:t>ši</w:t>
      </w:r>
      <w:r w:rsidRPr="00AF125F">
        <w:rPr>
          <w:sz w:val="18"/>
          <w:szCs w:val="18"/>
        </w:rPr>
        <w:t>ančių lėšų panaudojimo tvarkos aprašo patvirtinimo“.</w:t>
      </w:r>
    </w:p>
  </w:footnote>
  <w:footnote w:id="22">
    <w:p w:rsidR="00353487" w:rsidRPr="00AF125F" w:rsidRDefault="00353487" w:rsidP="006472E8">
      <w:pPr>
        <w:pStyle w:val="Puslapioinaostekstas"/>
        <w:rPr>
          <w:sz w:val="18"/>
          <w:szCs w:val="18"/>
        </w:rPr>
      </w:pPr>
      <w:r w:rsidRPr="00AF125F">
        <w:rPr>
          <w:rStyle w:val="Puslapioinaosnuoroda"/>
          <w:sz w:val="18"/>
          <w:szCs w:val="18"/>
        </w:rPr>
        <w:footnoteRef/>
      </w:r>
      <w:r w:rsidRPr="00AF125F">
        <w:rPr>
          <w:sz w:val="18"/>
          <w:szCs w:val="18"/>
        </w:rPr>
        <w:t xml:space="preserve"> Lietuvos Respublikos finansų ministro 2011 m. gegužės 19 d. įsakymas Nr. 1K-192 ,,Dėl </w:t>
      </w:r>
      <w:r>
        <w:rPr>
          <w:sz w:val="18"/>
          <w:szCs w:val="18"/>
        </w:rPr>
        <w:t>p</w:t>
      </w:r>
      <w:r w:rsidRPr="00844D0C">
        <w:rPr>
          <w:sz w:val="18"/>
          <w:szCs w:val="18"/>
        </w:rPr>
        <w:t>alūkanų, sukauptų įgyvendinant finansines priemones, įskaitymo į valstybės biudžetą taisykles</w:t>
      </w:r>
      <w:r>
        <w:rPr>
          <w:sz w:val="18"/>
          <w:szCs w:val="18"/>
        </w:rPr>
        <w:t xml:space="preserve"> taisyklių patvirtinimo“</w:t>
      </w:r>
      <w:r w:rsidRPr="00AF125F">
        <w:rPr>
          <w:sz w:val="18"/>
          <w:szCs w:val="18"/>
        </w:rPr>
        <w:t>.</w:t>
      </w:r>
    </w:p>
  </w:footnote>
  <w:footnote w:id="23">
    <w:p w:rsidR="00353487" w:rsidRPr="0035549A" w:rsidRDefault="00353487" w:rsidP="00BD3565">
      <w:pPr>
        <w:pStyle w:val="Puslapioinaostekstas"/>
        <w:jc w:val="both"/>
        <w:rPr>
          <w:sz w:val="18"/>
          <w:szCs w:val="18"/>
        </w:rPr>
      </w:pPr>
      <w:r w:rsidRPr="00507193">
        <w:rPr>
          <w:rStyle w:val="Puslapioinaosnuoroda"/>
          <w:sz w:val="18"/>
          <w:szCs w:val="18"/>
        </w:rPr>
        <w:footnoteRef/>
      </w:r>
      <w:r w:rsidRPr="00507193">
        <w:rPr>
          <w:sz w:val="18"/>
          <w:szCs w:val="18"/>
        </w:rPr>
        <w:t xml:space="preserve"> </w:t>
      </w:r>
      <w:r w:rsidRPr="0035549A">
        <w:rPr>
          <w:sz w:val="18"/>
          <w:szCs w:val="18"/>
        </w:rPr>
        <w:t>Lietuvos Respublikos Vyriausybės 2004 m. kovo</w:t>
      </w:r>
      <w:r>
        <w:rPr>
          <w:sz w:val="18"/>
          <w:szCs w:val="18"/>
        </w:rPr>
        <w:t xml:space="preserve"> 26 d. nutarimas Nr. 345 ,,Dėl S</w:t>
      </w:r>
      <w:r w:rsidRPr="0035549A">
        <w:rPr>
          <w:sz w:val="18"/>
          <w:szCs w:val="18"/>
        </w:rPr>
        <w:t>avivaldybių skolinimosi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87" w:rsidRDefault="00353487" w:rsidP="007E64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53487" w:rsidRDefault="003534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87" w:rsidRDefault="00353487">
    <w:pPr>
      <w:pStyle w:val="Antrats"/>
    </w:pPr>
    <w:r>
      <w:rPr>
        <w:noProof/>
        <w:lang w:eastAsia="lt-LT"/>
      </w:rPr>
      <mc:AlternateContent>
        <mc:Choice Requires="wps">
          <w:drawing>
            <wp:anchor distT="0" distB="0" distL="114300" distR="114300" simplePos="0" relativeHeight="251660288" behindDoc="0" locked="0" layoutInCell="0" allowOverlap="1" wp14:anchorId="6AE8AC69" wp14:editId="7B2B1D98">
              <wp:simplePos x="0" y="0"/>
              <wp:positionH relativeFrom="margin">
                <wp:align>left</wp:align>
              </wp:positionH>
              <wp:positionV relativeFrom="topMargin">
                <wp:align>center</wp:align>
              </wp:positionV>
              <wp:extent cx="5943600" cy="170815"/>
              <wp:effectExtent l="0" t="0" r="0" b="1905"/>
              <wp:wrapNone/>
              <wp:docPr id="473" name="473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Pavadinimas"/>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353487" w:rsidRDefault="00353487">
                              <w:r>
                                <w:t>[Įveskite dokumento pavadinimą]</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73 teksto laukas"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" o:allowincell="f" filled="f" stroked="f">
              <v:textbox style="mso-fit-shape-to-text:t" inset=",0,,0">
                <w:txbxContent>
                  <w:sdt>
                    <w:sdtPr>
                      <w:alias w:val="Pavadinimas"/>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353487" w:rsidRDefault="00353487">
                        <w:r>
                          <w:t>[Įveskite dokumento pavadinimą]</w:t>
                        </w:r>
                      </w:p>
                    </w:sdtContent>
                  </w:sdt>
                </w:txbxContent>
              </v:textbox>
              <w10:wrap anchorx="margin" anchory="margin"/>
            </v:shape>
          </w:pict>
        </mc:Fallback>
      </mc:AlternateContent>
    </w:r>
    <w:r>
      <w:rPr>
        <w:noProof/>
        <w:lang w:eastAsia="lt-LT"/>
      </w:rPr>
      <mc:AlternateContent>
        <mc:Choice Requires="wps">
          <w:drawing>
            <wp:anchor distT="0" distB="0" distL="114300" distR="114300" simplePos="0" relativeHeight="251659264" behindDoc="0" locked="0" layoutInCell="0" allowOverlap="1" wp14:anchorId="401B4E53" wp14:editId="72989499">
              <wp:simplePos x="0" y="0"/>
              <wp:positionH relativeFrom="page">
                <wp:align>left</wp:align>
              </wp:positionH>
              <wp:positionV relativeFrom="topMargin">
                <wp:align>center</wp:align>
              </wp:positionV>
              <wp:extent cx="914400" cy="170815"/>
              <wp:effectExtent l="0" t="0" r="0" b="0"/>
              <wp:wrapNone/>
              <wp:docPr id="474" name="474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rsidR="00353487" w:rsidRDefault="00353487">
                          <w:pPr>
                            <w:jc w:val="right"/>
                            <w:rPr>
                              <w:color w:val="FFFFFF" w:themeColor="background1"/>
                              <w14:numForm w14:val="lining"/>
                            </w:rPr>
                          </w:pPr>
                          <w:r>
                            <w:rPr>
                              <w:color w:val="auto"/>
                              <w14:numForm w14:val="lining"/>
                            </w:rPr>
                            <w:fldChar w:fldCharType="begin"/>
                          </w:r>
                          <w:r>
                            <w:rPr>
                              <w14:numForm w14:val="lining"/>
                            </w:rPr>
                            <w:instrText>PAGE   \* MERGEFORMAT</w:instrText>
                          </w:r>
                          <w:r>
                            <w:rPr>
                              <w:color w:val="auto"/>
                              <w14:numForm w14:val="lining"/>
                            </w:rPr>
                            <w:fldChar w:fldCharType="separate"/>
                          </w:r>
                          <w:r w:rsidRPr="005E010B">
                            <w:rPr>
                              <w:noProof/>
                              <w:color w:val="FFFFFF" w:themeColor="background1"/>
                              <w14:numForm w14:val="lining"/>
                            </w:rPr>
                            <w:t>1</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474 teksto laukas"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B568TAAAgAA4wMAAA4AAAAAAAAAAAAA&#10;AAAALgIAAGRycy9lMm9Eb2MueG1sUEsBAi0AFAAGAAgAAAAhADRpgQvbAAAABAEAAA8AAAAAAAAA&#10;AAAAAAAAWgQAAGRycy9kb3ducmV2LnhtbFBLBQYAAAAABAAEAPMAAABiBQAAAAA=&#10;" o:allowincell="f" fillcolor="#4f81bd [3204]" stroked="f">
              <v:textbox style="mso-fit-shape-to-text:t" inset=",0,,0">
                <w:txbxContent>
                  <w:p w:rsidR="00353487" w:rsidRDefault="00353487">
                    <w:pPr>
                      <w:jc w:val="right"/>
                      <w:rPr>
                        <w:color w:val="FFFFFF" w:themeColor="background1"/>
                        <w14:numForm w14:val="lining"/>
                      </w:rPr>
                    </w:pPr>
                    <w:r>
                      <w:rPr>
                        <w:color w:val="auto"/>
                        <w14:numForm w14:val="lining"/>
                      </w:rPr>
                      <w:fldChar w:fldCharType="begin"/>
                    </w:r>
                    <w:r>
                      <w:rPr>
                        <w14:numForm w14:val="lining"/>
                      </w:rPr>
                      <w:instrText>PAGE   \* MERGEFORMAT</w:instrText>
                    </w:r>
                    <w:r>
                      <w:rPr>
                        <w:color w:val="auto"/>
                        <w14:numForm w14:val="lining"/>
                      </w:rPr>
                      <w:fldChar w:fldCharType="separate"/>
                    </w:r>
                    <w:r w:rsidRPr="005E010B">
                      <w:rPr>
                        <w:noProof/>
                        <w:color w:val="FFFFFF" w:themeColor="background1"/>
                        <w14:numForm w14:val="lining"/>
                      </w:rPr>
                      <w:t>1</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6AE"/>
    <w:multiLevelType w:val="hybridMultilevel"/>
    <w:tmpl w:val="85D8243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B5A34F9"/>
    <w:multiLevelType w:val="hybridMultilevel"/>
    <w:tmpl w:val="4AC037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D9E0EAE"/>
    <w:multiLevelType w:val="hybridMultilevel"/>
    <w:tmpl w:val="43C8CC62"/>
    <w:lvl w:ilvl="0" w:tplc="1B2262D4">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F9E59E6"/>
    <w:multiLevelType w:val="hybridMultilevel"/>
    <w:tmpl w:val="3962BF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67109C4"/>
    <w:multiLevelType w:val="hybridMultilevel"/>
    <w:tmpl w:val="CD26E2C4"/>
    <w:lvl w:ilvl="0" w:tplc="04270001">
      <w:start w:val="1"/>
      <w:numFmt w:val="bullet"/>
      <w:lvlText w:val=""/>
      <w:lvlJc w:val="left"/>
      <w:pPr>
        <w:ind w:left="1637"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30A2769F"/>
    <w:multiLevelType w:val="hybridMultilevel"/>
    <w:tmpl w:val="E332763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33810F61"/>
    <w:multiLevelType w:val="hybridMultilevel"/>
    <w:tmpl w:val="318AE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4586285"/>
    <w:multiLevelType w:val="hybridMultilevel"/>
    <w:tmpl w:val="6E400B82"/>
    <w:lvl w:ilvl="0" w:tplc="C498ADE4">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349E55A6"/>
    <w:multiLevelType w:val="hybridMultilevel"/>
    <w:tmpl w:val="CEB0D9B0"/>
    <w:lvl w:ilvl="0" w:tplc="F53469FE">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3BAF6CFE"/>
    <w:multiLevelType w:val="hybridMultilevel"/>
    <w:tmpl w:val="EB06F72A"/>
    <w:lvl w:ilvl="0" w:tplc="35CC5492">
      <w:start w:val="1"/>
      <w:numFmt w:val="decimal"/>
      <w:lvlText w:val="%1."/>
      <w:lvlJc w:val="left"/>
      <w:pPr>
        <w:ind w:left="1467" w:hanging="90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3CA54222"/>
    <w:multiLevelType w:val="hybridMultilevel"/>
    <w:tmpl w:val="56DEF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DDC6686"/>
    <w:multiLevelType w:val="hybridMultilevel"/>
    <w:tmpl w:val="EA464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28B1927"/>
    <w:multiLevelType w:val="hybridMultilevel"/>
    <w:tmpl w:val="3A3093E8"/>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3">
    <w:nsid w:val="447928DF"/>
    <w:multiLevelType w:val="hybridMultilevel"/>
    <w:tmpl w:val="71E614F6"/>
    <w:lvl w:ilvl="0" w:tplc="0427000F">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nsid w:val="46515B9C"/>
    <w:multiLevelType w:val="hybridMultilevel"/>
    <w:tmpl w:val="B5BECD5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5">
    <w:nsid w:val="4FE83741"/>
    <w:multiLevelType w:val="hybridMultilevel"/>
    <w:tmpl w:val="151E9B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54672E41"/>
    <w:multiLevelType w:val="hybridMultilevel"/>
    <w:tmpl w:val="53B4A51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5A2D340E"/>
    <w:multiLevelType w:val="hybridMultilevel"/>
    <w:tmpl w:val="84E49B80"/>
    <w:lvl w:ilvl="0" w:tplc="7206AEE2">
      <w:start w:val="1"/>
      <w:numFmt w:val="upperRoman"/>
      <w:lvlText w:val="%1."/>
      <w:lvlJc w:val="left"/>
      <w:pPr>
        <w:tabs>
          <w:tab w:val="num" w:pos="1800"/>
        </w:tabs>
        <w:ind w:left="180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5CEB7270"/>
    <w:multiLevelType w:val="hybridMultilevel"/>
    <w:tmpl w:val="1EDC266A"/>
    <w:lvl w:ilvl="0" w:tplc="A8C2BE18">
      <w:start w:val="5"/>
      <w:numFmt w:val="upperRoman"/>
      <w:lvlText w:val="%1."/>
      <w:lvlJc w:val="left"/>
      <w:pPr>
        <w:tabs>
          <w:tab w:val="num" w:pos="1800"/>
        </w:tabs>
        <w:ind w:left="1800" w:hanging="72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nsid w:val="5DD04DFB"/>
    <w:multiLevelType w:val="hybridMultilevel"/>
    <w:tmpl w:val="4B9AC4D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F0162B1"/>
    <w:multiLevelType w:val="hybridMultilevel"/>
    <w:tmpl w:val="EBD00950"/>
    <w:lvl w:ilvl="0" w:tplc="6A4EA658">
      <w:numFmt w:val="bullet"/>
      <w:lvlText w:val="-"/>
      <w:lvlJc w:val="left"/>
      <w:pPr>
        <w:ind w:left="1489" w:hanging="360"/>
      </w:pPr>
      <w:rPr>
        <w:rFonts w:ascii="Times New Roman" w:eastAsia="Calibri" w:hAnsi="Times New Roman" w:cs="Times New Roman" w:hint="default"/>
      </w:rPr>
    </w:lvl>
    <w:lvl w:ilvl="1" w:tplc="04270003" w:tentative="1">
      <w:start w:val="1"/>
      <w:numFmt w:val="bullet"/>
      <w:lvlText w:val="o"/>
      <w:lvlJc w:val="left"/>
      <w:pPr>
        <w:ind w:left="2209" w:hanging="360"/>
      </w:pPr>
      <w:rPr>
        <w:rFonts w:ascii="Courier New" w:hAnsi="Courier New" w:cs="Courier New" w:hint="default"/>
      </w:rPr>
    </w:lvl>
    <w:lvl w:ilvl="2" w:tplc="04270005" w:tentative="1">
      <w:start w:val="1"/>
      <w:numFmt w:val="bullet"/>
      <w:lvlText w:val=""/>
      <w:lvlJc w:val="left"/>
      <w:pPr>
        <w:ind w:left="2929" w:hanging="360"/>
      </w:pPr>
      <w:rPr>
        <w:rFonts w:ascii="Wingdings" w:hAnsi="Wingdings" w:hint="default"/>
      </w:rPr>
    </w:lvl>
    <w:lvl w:ilvl="3" w:tplc="04270001" w:tentative="1">
      <w:start w:val="1"/>
      <w:numFmt w:val="bullet"/>
      <w:lvlText w:val=""/>
      <w:lvlJc w:val="left"/>
      <w:pPr>
        <w:ind w:left="3649" w:hanging="360"/>
      </w:pPr>
      <w:rPr>
        <w:rFonts w:ascii="Symbol" w:hAnsi="Symbol" w:hint="default"/>
      </w:rPr>
    </w:lvl>
    <w:lvl w:ilvl="4" w:tplc="04270003" w:tentative="1">
      <w:start w:val="1"/>
      <w:numFmt w:val="bullet"/>
      <w:lvlText w:val="o"/>
      <w:lvlJc w:val="left"/>
      <w:pPr>
        <w:ind w:left="4369" w:hanging="360"/>
      </w:pPr>
      <w:rPr>
        <w:rFonts w:ascii="Courier New" w:hAnsi="Courier New" w:cs="Courier New" w:hint="default"/>
      </w:rPr>
    </w:lvl>
    <w:lvl w:ilvl="5" w:tplc="04270005" w:tentative="1">
      <w:start w:val="1"/>
      <w:numFmt w:val="bullet"/>
      <w:lvlText w:val=""/>
      <w:lvlJc w:val="left"/>
      <w:pPr>
        <w:ind w:left="5089" w:hanging="360"/>
      </w:pPr>
      <w:rPr>
        <w:rFonts w:ascii="Wingdings" w:hAnsi="Wingdings" w:hint="default"/>
      </w:rPr>
    </w:lvl>
    <w:lvl w:ilvl="6" w:tplc="04270001" w:tentative="1">
      <w:start w:val="1"/>
      <w:numFmt w:val="bullet"/>
      <w:lvlText w:val=""/>
      <w:lvlJc w:val="left"/>
      <w:pPr>
        <w:ind w:left="5809" w:hanging="360"/>
      </w:pPr>
      <w:rPr>
        <w:rFonts w:ascii="Symbol" w:hAnsi="Symbol" w:hint="default"/>
      </w:rPr>
    </w:lvl>
    <w:lvl w:ilvl="7" w:tplc="04270003" w:tentative="1">
      <w:start w:val="1"/>
      <w:numFmt w:val="bullet"/>
      <w:lvlText w:val="o"/>
      <w:lvlJc w:val="left"/>
      <w:pPr>
        <w:ind w:left="6529" w:hanging="360"/>
      </w:pPr>
      <w:rPr>
        <w:rFonts w:ascii="Courier New" w:hAnsi="Courier New" w:cs="Courier New" w:hint="default"/>
      </w:rPr>
    </w:lvl>
    <w:lvl w:ilvl="8" w:tplc="04270005" w:tentative="1">
      <w:start w:val="1"/>
      <w:numFmt w:val="bullet"/>
      <w:lvlText w:val=""/>
      <w:lvlJc w:val="left"/>
      <w:pPr>
        <w:ind w:left="7249" w:hanging="360"/>
      </w:pPr>
      <w:rPr>
        <w:rFonts w:ascii="Wingdings" w:hAnsi="Wingdings" w:hint="default"/>
      </w:rPr>
    </w:lvl>
  </w:abstractNum>
  <w:abstractNum w:abstractNumId="21">
    <w:nsid w:val="627741D6"/>
    <w:multiLevelType w:val="hybridMultilevel"/>
    <w:tmpl w:val="FFCE3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2AD4A61"/>
    <w:multiLevelType w:val="hybridMultilevel"/>
    <w:tmpl w:val="73B21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8DA3ECD"/>
    <w:multiLevelType w:val="hybridMultilevel"/>
    <w:tmpl w:val="0EDA3E5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6BC9538E"/>
    <w:multiLevelType w:val="hybridMultilevel"/>
    <w:tmpl w:val="5BB83C2A"/>
    <w:lvl w:ilvl="0" w:tplc="955C5DEA">
      <w:start w:val="1"/>
      <w:numFmt w:val="decimal"/>
      <w:lvlText w:val="%1)"/>
      <w:lvlJc w:val="left"/>
      <w:pPr>
        <w:ind w:left="1129" w:hanging="360"/>
      </w:pPr>
      <w:rPr>
        <w:rFonts w:ascii="Times New Roman" w:eastAsia="Calibri" w:hAnsi="Times New Roman" w:cs="Times New Roman"/>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5">
    <w:nsid w:val="75662C0E"/>
    <w:multiLevelType w:val="hybridMultilevel"/>
    <w:tmpl w:val="F3B879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77DC761F"/>
    <w:multiLevelType w:val="hybridMultilevel"/>
    <w:tmpl w:val="9036D3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7E915555"/>
    <w:multiLevelType w:val="hybridMultilevel"/>
    <w:tmpl w:val="57B63312"/>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8">
    <w:nsid w:val="7F651824"/>
    <w:multiLevelType w:val="hybridMultilevel"/>
    <w:tmpl w:val="8496EE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7"/>
  </w:num>
  <w:num w:numId="2">
    <w:abstractNumId w:val="13"/>
  </w:num>
  <w:num w:numId="3">
    <w:abstractNumId w:val="19"/>
  </w:num>
  <w:num w:numId="4">
    <w:abstractNumId w:val="7"/>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0"/>
  </w:num>
  <w:num w:numId="10">
    <w:abstractNumId w:val="24"/>
  </w:num>
  <w:num w:numId="11">
    <w:abstractNumId w:val="20"/>
  </w:num>
  <w:num w:numId="12">
    <w:abstractNumId w:val="27"/>
  </w:num>
  <w:num w:numId="13">
    <w:abstractNumId w:val="2"/>
  </w:num>
  <w:num w:numId="14">
    <w:abstractNumId w:val="11"/>
  </w:num>
  <w:num w:numId="15">
    <w:abstractNumId w:val="8"/>
  </w:num>
  <w:num w:numId="16">
    <w:abstractNumId w:val="4"/>
  </w:num>
  <w:num w:numId="17">
    <w:abstractNumId w:val="26"/>
  </w:num>
  <w:num w:numId="18">
    <w:abstractNumId w:val="25"/>
  </w:num>
  <w:num w:numId="19">
    <w:abstractNumId w:val="9"/>
  </w:num>
  <w:num w:numId="20">
    <w:abstractNumId w:val="28"/>
  </w:num>
  <w:num w:numId="21">
    <w:abstractNumId w:val="1"/>
  </w:num>
  <w:num w:numId="22">
    <w:abstractNumId w:val="15"/>
  </w:num>
  <w:num w:numId="23">
    <w:abstractNumId w:val="6"/>
  </w:num>
  <w:num w:numId="24">
    <w:abstractNumId w:val="22"/>
  </w:num>
  <w:num w:numId="25">
    <w:abstractNumId w:val="21"/>
  </w:num>
  <w:num w:numId="26">
    <w:abstractNumId w:val="16"/>
  </w:num>
  <w:num w:numId="27">
    <w:abstractNumId w:val="10"/>
  </w:num>
  <w:num w:numId="28">
    <w:abstractNumId w:val="14"/>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5A"/>
    <w:rsid w:val="00000138"/>
    <w:rsid w:val="00000520"/>
    <w:rsid w:val="00000943"/>
    <w:rsid w:val="0000219B"/>
    <w:rsid w:val="00007491"/>
    <w:rsid w:val="00007C53"/>
    <w:rsid w:val="000103FE"/>
    <w:rsid w:val="00011004"/>
    <w:rsid w:val="00011F0D"/>
    <w:rsid w:val="0001224A"/>
    <w:rsid w:val="00012348"/>
    <w:rsid w:val="00012A7C"/>
    <w:rsid w:val="00013227"/>
    <w:rsid w:val="0001477F"/>
    <w:rsid w:val="0001525D"/>
    <w:rsid w:val="000153C5"/>
    <w:rsid w:val="00015E52"/>
    <w:rsid w:val="00016435"/>
    <w:rsid w:val="000200B8"/>
    <w:rsid w:val="000200B9"/>
    <w:rsid w:val="00021753"/>
    <w:rsid w:val="000228A2"/>
    <w:rsid w:val="00022962"/>
    <w:rsid w:val="00022E51"/>
    <w:rsid w:val="00023004"/>
    <w:rsid w:val="00024EEC"/>
    <w:rsid w:val="000258BB"/>
    <w:rsid w:val="0002669C"/>
    <w:rsid w:val="0002717D"/>
    <w:rsid w:val="000274D3"/>
    <w:rsid w:val="000275FE"/>
    <w:rsid w:val="00027717"/>
    <w:rsid w:val="00027909"/>
    <w:rsid w:val="0003085D"/>
    <w:rsid w:val="000309D2"/>
    <w:rsid w:val="00030B59"/>
    <w:rsid w:val="0003180B"/>
    <w:rsid w:val="000337CC"/>
    <w:rsid w:val="000342D0"/>
    <w:rsid w:val="00035519"/>
    <w:rsid w:val="00036886"/>
    <w:rsid w:val="00036AD6"/>
    <w:rsid w:val="00037524"/>
    <w:rsid w:val="0003799F"/>
    <w:rsid w:val="00037FC6"/>
    <w:rsid w:val="00040427"/>
    <w:rsid w:val="00040625"/>
    <w:rsid w:val="00040889"/>
    <w:rsid w:val="00040D78"/>
    <w:rsid w:val="00040E00"/>
    <w:rsid w:val="00042D6A"/>
    <w:rsid w:val="000430C8"/>
    <w:rsid w:val="000446D3"/>
    <w:rsid w:val="00044951"/>
    <w:rsid w:val="0004501C"/>
    <w:rsid w:val="0004551D"/>
    <w:rsid w:val="00045B5A"/>
    <w:rsid w:val="0004691D"/>
    <w:rsid w:val="00046D8C"/>
    <w:rsid w:val="000503E3"/>
    <w:rsid w:val="00050891"/>
    <w:rsid w:val="00050D4E"/>
    <w:rsid w:val="000510FE"/>
    <w:rsid w:val="00051175"/>
    <w:rsid w:val="000513F7"/>
    <w:rsid w:val="00051A9E"/>
    <w:rsid w:val="00051F73"/>
    <w:rsid w:val="0005200B"/>
    <w:rsid w:val="00052152"/>
    <w:rsid w:val="00053599"/>
    <w:rsid w:val="00053A34"/>
    <w:rsid w:val="00053F87"/>
    <w:rsid w:val="00055611"/>
    <w:rsid w:val="000558CF"/>
    <w:rsid w:val="00056AB2"/>
    <w:rsid w:val="00056CA6"/>
    <w:rsid w:val="0006028C"/>
    <w:rsid w:val="00060A5D"/>
    <w:rsid w:val="000611B0"/>
    <w:rsid w:val="000613F8"/>
    <w:rsid w:val="0006164F"/>
    <w:rsid w:val="000617B1"/>
    <w:rsid w:val="00061E93"/>
    <w:rsid w:val="000621B3"/>
    <w:rsid w:val="0006245C"/>
    <w:rsid w:val="00062AE8"/>
    <w:rsid w:val="00062F53"/>
    <w:rsid w:val="00063379"/>
    <w:rsid w:val="00063829"/>
    <w:rsid w:val="000647F3"/>
    <w:rsid w:val="00064F51"/>
    <w:rsid w:val="000661EC"/>
    <w:rsid w:val="000675F6"/>
    <w:rsid w:val="00070C0B"/>
    <w:rsid w:val="00071C5C"/>
    <w:rsid w:val="00072E13"/>
    <w:rsid w:val="00072EEC"/>
    <w:rsid w:val="000739A4"/>
    <w:rsid w:val="00073C1D"/>
    <w:rsid w:val="00073F1D"/>
    <w:rsid w:val="000753F6"/>
    <w:rsid w:val="00075490"/>
    <w:rsid w:val="000760CF"/>
    <w:rsid w:val="00077054"/>
    <w:rsid w:val="00077976"/>
    <w:rsid w:val="00077C9D"/>
    <w:rsid w:val="00080C3B"/>
    <w:rsid w:val="0008589A"/>
    <w:rsid w:val="000867D2"/>
    <w:rsid w:val="00086A65"/>
    <w:rsid w:val="00086E41"/>
    <w:rsid w:val="00087743"/>
    <w:rsid w:val="00087EA6"/>
    <w:rsid w:val="00090996"/>
    <w:rsid w:val="00091B52"/>
    <w:rsid w:val="00092332"/>
    <w:rsid w:val="0009235F"/>
    <w:rsid w:val="00092824"/>
    <w:rsid w:val="00092BF3"/>
    <w:rsid w:val="00093070"/>
    <w:rsid w:val="000934C7"/>
    <w:rsid w:val="000949BE"/>
    <w:rsid w:val="00094DCF"/>
    <w:rsid w:val="000955C4"/>
    <w:rsid w:val="000965F3"/>
    <w:rsid w:val="00097598"/>
    <w:rsid w:val="00097E61"/>
    <w:rsid w:val="000A0262"/>
    <w:rsid w:val="000A09A5"/>
    <w:rsid w:val="000A0DA4"/>
    <w:rsid w:val="000A22A6"/>
    <w:rsid w:val="000A2429"/>
    <w:rsid w:val="000A2816"/>
    <w:rsid w:val="000A29E1"/>
    <w:rsid w:val="000A2CE6"/>
    <w:rsid w:val="000A32E1"/>
    <w:rsid w:val="000A346B"/>
    <w:rsid w:val="000A3C2D"/>
    <w:rsid w:val="000A3F19"/>
    <w:rsid w:val="000A4043"/>
    <w:rsid w:val="000A4BC0"/>
    <w:rsid w:val="000A5F6C"/>
    <w:rsid w:val="000A729A"/>
    <w:rsid w:val="000A7D2F"/>
    <w:rsid w:val="000B1F12"/>
    <w:rsid w:val="000B26A2"/>
    <w:rsid w:val="000B3401"/>
    <w:rsid w:val="000B47C8"/>
    <w:rsid w:val="000B4AAB"/>
    <w:rsid w:val="000C04B3"/>
    <w:rsid w:val="000C11C4"/>
    <w:rsid w:val="000C1D10"/>
    <w:rsid w:val="000C20A4"/>
    <w:rsid w:val="000C255D"/>
    <w:rsid w:val="000C260A"/>
    <w:rsid w:val="000C3292"/>
    <w:rsid w:val="000C3854"/>
    <w:rsid w:val="000C3A7B"/>
    <w:rsid w:val="000C42DA"/>
    <w:rsid w:val="000C46BC"/>
    <w:rsid w:val="000C4B36"/>
    <w:rsid w:val="000C4DAC"/>
    <w:rsid w:val="000C5035"/>
    <w:rsid w:val="000C6222"/>
    <w:rsid w:val="000C7033"/>
    <w:rsid w:val="000D3A94"/>
    <w:rsid w:val="000D4EFD"/>
    <w:rsid w:val="000D5C8B"/>
    <w:rsid w:val="000D5CC6"/>
    <w:rsid w:val="000D6988"/>
    <w:rsid w:val="000D6C62"/>
    <w:rsid w:val="000E2467"/>
    <w:rsid w:val="000E2917"/>
    <w:rsid w:val="000E2B67"/>
    <w:rsid w:val="000E2D4D"/>
    <w:rsid w:val="000E2F10"/>
    <w:rsid w:val="000E436E"/>
    <w:rsid w:val="000E4498"/>
    <w:rsid w:val="000E494A"/>
    <w:rsid w:val="000E548B"/>
    <w:rsid w:val="000E5A5C"/>
    <w:rsid w:val="000E5E18"/>
    <w:rsid w:val="000E7207"/>
    <w:rsid w:val="000E7AFD"/>
    <w:rsid w:val="000E7B69"/>
    <w:rsid w:val="000F120C"/>
    <w:rsid w:val="000F1CC9"/>
    <w:rsid w:val="000F1D9D"/>
    <w:rsid w:val="000F2B2D"/>
    <w:rsid w:val="000F34B9"/>
    <w:rsid w:val="000F35D3"/>
    <w:rsid w:val="000F6140"/>
    <w:rsid w:val="000F6141"/>
    <w:rsid w:val="000F6FA7"/>
    <w:rsid w:val="00100292"/>
    <w:rsid w:val="001020E4"/>
    <w:rsid w:val="0010234C"/>
    <w:rsid w:val="00103166"/>
    <w:rsid w:val="00103E84"/>
    <w:rsid w:val="0010522E"/>
    <w:rsid w:val="001055A1"/>
    <w:rsid w:val="00105641"/>
    <w:rsid w:val="00106AEB"/>
    <w:rsid w:val="00107E1E"/>
    <w:rsid w:val="0011038D"/>
    <w:rsid w:val="00110C84"/>
    <w:rsid w:val="0011149F"/>
    <w:rsid w:val="001115E9"/>
    <w:rsid w:val="001119B2"/>
    <w:rsid w:val="00113A01"/>
    <w:rsid w:val="00114749"/>
    <w:rsid w:val="0011478A"/>
    <w:rsid w:val="00114AD9"/>
    <w:rsid w:val="0011741B"/>
    <w:rsid w:val="0011752C"/>
    <w:rsid w:val="00120133"/>
    <w:rsid w:val="00120B8A"/>
    <w:rsid w:val="00120C2C"/>
    <w:rsid w:val="00120FEE"/>
    <w:rsid w:val="00121E41"/>
    <w:rsid w:val="00122882"/>
    <w:rsid w:val="00123496"/>
    <w:rsid w:val="00123E19"/>
    <w:rsid w:val="00123EE3"/>
    <w:rsid w:val="00124AA9"/>
    <w:rsid w:val="00124F1A"/>
    <w:rsid w:val="00125E29"/>
    <w:rsid w:val="00126654"/>
    <w:rsid w:val="0012666D"/>
    <w:rsid w:val="00126BDE"/>
    <w:rsid w:val="00127D74"/>
    <w:rsid w:val="00127E7C"/>
    <w:rsid w:val="00127F48"/>
    <w:rsid w:val="00127F53"/>
    <w:rsid w:val="00130002"/>
    <w:rsid w:val="00130142"/>
    <w:rsid w:val="001307F5"/>
    <w:rsid w:val="00130EB6"/>
    <w:rsid w:val="001324FE"/>
    <w:rsid w:val="0013351A"/>
    <w:rsid w:val="001337AE"/>
    <w:rsid w:val="0013453C"/>
    <w:rsid w:val="0013468E"/>
    <w:rsid w:val="00134748"/>
    <w:rsid w:val="00134972"/>
    <w:rsid w:val="00134EFE"/>
    <w:rsid w:val="00135055"/>
    <w:rsid w:val="00135239"/>
    <w:rsid w:val="00136E4C"/>
    <w:rsid w:val="00137838"/>
    <w:rsid w:val="00137B8F"/>
    <w:rsid w:val="00140C2D"/>
    <w:rsid w:val="00143047"/>
    <w:rsid w:val="00143A26"/>
    <w:rsid w:val="00143A7C"/>
    <w:rsid w:val="00143EEC"/>
    <w:rsid w:val="00144065"/>
    <w:rsid w:val="00144E6D"/>
    <w:rsid w:val="001458B3"/>
    <w:rsid w:val="00146229"/>
    <w:rsid w:val="00146704"/>
    <w:rsid w:val="00147980"/>
    <w:rsid w:val="0015038C"/>
    <w:rsid w:val="00150832"/>
    <w:rsid w:val="00150A59"/>
    <w:rsid w:val="00151B81"/>
    <w:rsid w:val="001560BF"/>
    <w:rsid w:val="00160032"/>
    <w:rsid w:val="00160BCB"/>
    <w:rsid w:val="00160F76"/>
    <w:rsid w:val="001615E9"/>
    <w:rsid w:val="00162795"/>
    <w:rsid w:val="001628C6"/>
    <w:rsid w:val="00162D2B"/>
    <w:rsid w:val="001633DE"/>
    <w:rsid w:val="0016354F"/>
    <w:rsid w:val="00163A6E"/>
    <w:rsid w:val="00165C93"/>
    <w:rsid w:val="0016655D"/>
    <w:rsid w:val="001678C3"/>
    <w:rsid w:val="001709FC"/>
    <w:rsid w:val="00170BAA"/>
    <w:rsid w:val="00171B8C"/>
    <w:rsid w:val="00171DBD"/>
    <w:rsid w:val="00172A19"/>
    <w:rsid w:val="001732A1"/>
    <w:rsid w:val="00173E33"/>
    <w:rsid w:val="00173EC3"/>
    <w:rsid w:val="00174175"/>
    <w:rsid w:val="00174350"/>
    <w:rsid w:val="0017709F"/>
    <w:rsid w:val="001777E3"/>
    <w:rsid w:val="00180CB9"/>
    <w:rsid w:val="00182110"/>
    <w:rsid w:val="00183CF1"/>
    <w:rsid w:val="00184057"/>
    <w:rsid w:val="00184EA8"/>
    <w:rsid w:val="001857FF"/>
    <w:rsid w:val="00186B21"/>
    <w:rsid w:val="001871F9"/>
    <w:rsid w:val="00187722"/>
    <w:rsid w:val="001877AC"/>
    <w:rsid w:val="001877FE"/>
    <w:rsid w:val="00187844"/>
    <w:rsid w:val="0019070A"/>
    <w:rsid w:val="00192D4A"/>
    <w:rsid w:val="00193499"/>
    <w:rsid w:val="00193FAB"/>
    <w:rsid w:val="00194209"/>
    <w:rsid w:val="00194C17"/>
    <w:rsid w:val="00194D56"/>
    <w:rsid w:val="00196BFE"/>
    <w:rsid w:val="00197379"/>
    <w:rsid w:val="00197A9D"/>
    <w:rsid w:val="001A1CFB"/>
    <w:rsid w:val="001A1E26"/>
    <w:rsid w:val="001A2734"/>
    <w:rsid w:val="001A28DF"/>
    <w:rsid w:val="001A2BBF"/>
    <w:rsid w:val="001A3021"/>
    <w:rsid w:val="001A4B88"/>
    <w:rsid w:val="001A4E44"/>
    <w:rsid w:val="001A5293"/>
    <w:rsid w:val="001A6000"/>
    <w:rsid w:val="001A7557"/>
    <w:rsid w:val="001A7CE8"/>
    <w:rsid w:val="001B0504"/>
    <w:rsid w:val="001B083C"/>
    <w:rsid w:val="001B1458"/>
    <w:rsid w:val="001B196B"/>
    <w:rsid w:val="001B1AA0"/>
    <w:rsid w:val="001B293A"/>
    <w:rsid w:val="001B2C0A"/>
    <w:rsid w:val="001B55F4"/>
    <w:rsid w:val="001B59D5"/>
    <w:rsid w:val="001B60C0"/>
    <w:rsid w:val="001B7FA5"/>
    <w:rsid w:val="001C1A6C"/>
    <w:rsid w:val="001C1D0C"/>
    <w:rsid w:val="001C27B5"/>
    <w:rsid w:val="001C508A"/>
    <w:rsid w:val="001C5EB8"/>
    <w:rsid w:val="001C66C8"/>
    <w:rsid w:val="001C77D0"/>
    <w:rsid w:val="001D037A"/>
    <w:rsid w:val="001D07B8"/>
    <w:rsid w:val="001D0BDD"/>
    <w:rsid w:val="001D0C87"/>
    <w:rsid w:val="001D0DAD"/>
    <w:rsid w:val="001D15E7"/>
    <w:rsid w:val="001D2346"/>
    <w:rsid w:val="001D2978"/>
    <w:rsid w:val="001D38F0"/>
    <w:rsid w:val="001D3BF3"/>
    <w:rsid w:val="001D49F0"/>
    <w:rsid w:val="001D4F8A"/>
    <w:rsid w:val="001D4FFF"/>
    <w:rsid w:val="001D668B"/>
    <w:rsid w:val="001E0547"/>
    <w:rsid w:val="001E46DA"/>
    <w:rsid w:val="001E4D54"/>
    <w:rsid w:val="001E5768"/>
    <w:rsid w:val="001E58DB"/>
    <w:rsid w:val="001E6546"/>
    <w:rsid w:val="001E7890"/>
    <w:rsid w:val="001F1339"/>
    <w:rsid w:val="001F3680"/>
    <w:rsid w:val="001F3AA2"/>
    <w:rsid w:val="001F46FB"/>
    <w:rsid w:val="001F5854"/>
    <w:rsid w:val="001F6593"/>
    <w:rsid w:val="001F6CF9"/>
    <w:rsid w:val="001F7D8D"/>
    <w:rsid w:val="00200941"/>
    <w:rsid w:val="002029B9"/>
    <w:rsid w:val="00203FEA"/>
    <w:rsid w:val="00204033"/>
    <w:rsid w:val="002046D7"/>
    <w:rsid w:val="0020509E"/>
    <w:rsid w:val="0020542A"/>
    <w:rsid w:val="00205FA4"/>
    <w:rsid w:val="002060D6"/>
    <w:rsid w:val="0020756A"/>
    <w:rsid w:val="0020756B"/>
    <w:rsid w:val="002076FD"/>
    <w:rsid w:val="00207730"/>
    <w:rsid w:val="002107E0"/>
    <w:rsid w:val="00210D0A"/>
    <w:rsid w:val="002115D3"/>
    <w:rsid w:val="0021230E"/>
    <w:rsid w:val="00212796"/>
    <w:rsid w:val="00212C28"/>
    <w:rsid w:val="0021304E"/>
    <w:rsid w:val="00214BE4"/>
    <w:rsid w:val="00215587"/>
    <w:rsid w:val="002158D6"/>
    <w:rsid w:val="00215A19"/>
    <w:rsid w:val="00215D12"/>
    <w:rsid w:val="00215D1C"/>
    <w:rsid w:val="00215EE2"/>
    <w:rsid w:val="00216F89"/>
    <w:rsid w:val="00217FF6"/>
    <w:rsid w:val="00220790"/>
    <w:rsid w:val="002215C7"/>
    <w:rsid w:val="002230DA"/>
    <w:rsid w:val="002232B6"/>
    <w:rsid w:val="002237A2"/>
    <w:rsid w:val="00223A9F"/>
    <w:rsid w:val="00223D88"/>
    <w:rsid w:val="002251D5"/>
    <w:rsid w:val="00225861"/>
    <w:rsid w:val="0022612F"/>
    <w:rsid w:val="00230552"/>
    <w:rsid w:val="00230C79"/>
    <w:rsid w:val="00230D39"/>
    <w:rsid w:val="002317DC"/>
    <w:rsid w:val="00231D13"/>
    <w:rsid w:val="00231D2A"/>
    <w:rsid w:val="0023205F"/>
    <w:rsid w:val="00232C31"/>
    <w:rsid w:val="00233302"/>
    <w:rsid w:val="002336A7"/>
    <w:rsid w:val="002336C2"/>
    <w:rsid w:val="0023455E"/>
    <w:rsid w:val="00234563"/>
    <w:rsid w:val="00234FCE"/>
    <w:rsid w:val="00235B21"/>
    <w:rsid w:val="00235F8C"/>
    <w:rsid w:val="002361A8"/>
    <w:rsid w:val="00236661"/>
    <w:rsid w:val="00236BE8"/>
    <w:rsid w:val="0023755C"/>
    <w:rsid w:val="00240F1F"/>
    <w:rsid w:val="002424AE"/>
    <w:rsid w:val="00242774"/>
    <w:rsid w:val="00242B6D"/>
    <w:rsid w:val="00243B93"/>
    <w:rsid w:val="00244A19"/>
    <w:rsid w:val="00246490"/>
    <w:rsid w:val="00247A74"/>
    <w:rsid w:val="00247C32"/>
    <w:rsid w:val="00247C75"/>
    <w:rsid w:val="00250494"/>
    <w:rsid w:val="00251568"/>
    <w:rsid w:val="0025168D"/>
    <w:rsid w:val="00251D45"/>
    <w:rsid w:val="00252246"/>
    <w:rsid w:val="002522A6"/>
    <w:rsid w:val="00252823"/>
    <w:rsid w:val="002535E4"/>
    <w:rsid w:val="0025494C"/>
    <w:rsid w:val="00255943"/>
    <w:rsid w:val="00255A76"/>
    <w:rsid w:val="00255AB2"/>
    <w:rsid w:val="00255D5A"/>
    <w:rsid w:val="0025696D"/>
    <w:rsid w:val="00256EBB"/>
    <w:rsid w:val="00261C65"/>
    <w:rsid w:val="00262351"/>
    <w:rsid w:val="002623AF"/>
    <w:rsid w:val="00262625"/>
    <w:rsid w:val="00262964"/>
    <w:rsid w:val="00264006"/>
    <w:rsid w:val="00264592"/>
    <w:rsid w:val="00265172"/>
    <w:rsid w:val="00265FBF"/>
    <w:rsid w:val="0026604F"/>
    <w:rsid w:val="00267B0C"/>
    <w:rsid w:val="00271C01"/>
    <w:rsid w:val="00271D12"/>
    <w:rsid w:val="00272697"/>
    <w:rsid w:val="0027337F"/>
    <w:rsid w:val="00273CE6"/>
    <w:rsid w:val="0027478D"/>
    <w:rsid w:val="00276C0A"/>
    <w:rsid w:val="0027702E"/>
    <w:rsid w:val="00277F07"/>
    <w:rsid w:val="00280B3E"/>
    <w:rsid w:val="00280CDF"/>
    <w:rsid w:val="002810E8"/>
    <w:rsid w:val="00281E32"/>
    <w:rsid w:val="0028222D"/>
    <w:rsid w:val="00282CBF"/>
    <w:rsid w:val="0028398E"/>
    <w:rsid w:val="002839CC"/>
    <w:rsid w:val="0028423C"/>
    <w:rsid w:val="00284634"/>
    <w:rsid w:val="002847CC"/>
    <w:rsid w:val="00284A97"/>
    <w:rsid w:val="00284CA9"/>
    <w:rsid w:val="00285198"/>
    <w:rsid w:val="00285328"/>
    <w:rsid w:val="00285513"/>
    <w:rsid w:val="00285527"/>
    <w:rsid w:val="002855F8"/>
    <w:rsid w:val="00285D78"/>
    <w:rsid w:val="002861EF"/>
    <w:rsid w:val="002869E0"/>
    <w:rsid w:val="00286D66"/>
    <w:rsid w:val="00287499"/>
    <w:rsid w:val="00287ABF"/>
    <w:rsid w:val="00287D28"/>
    <w:rsid w:val="00287F86"/>
    <w:rsid w:val="0029024E"/>
    <w:rsid w:val="0029027D"/>
    <w:rsid w:val="002918A4"/>
    <w:rsid w:val="00292FDC"/>
    <w:rsid w:val="00293A4A"/>
    <w:rsid w:val="00293AEA"/>
    <w:rsid w:val="00294849"/>
    <w:rsid w:val="00294B77"/>
    <w:rsid w:val="00294D46"/>
    <w:rsid w:val="00294DC0"/>
    <w:rsid w:val="00295883"/>
    <w:rsid w:val="0029615C"/>
    <w:rsid w:val="002972D7"/>
    <w:rsid w:val="00297FF3"/>
    <w:rsid w:val="002A11EE"/>
    <w:rsid w:val="002A152E"/>
    <w:rsid w:val="002A21D7"/>
    <w:rsid w:val="002A4A59"/>
    <w:rsid w:val="002A5565"/>
    <w:rsid w:val="002A5B8C"/>
    <w:rsid w:val="002A6081"/>
    <w:rsid w:val="002A6545"/>
    <w:rsid w:val="002A6933"/>
    <w:rsid w:val="002A777F"/>
    <w:rsid w:val="002A7A50"/>
    <w:rsid w:val="002B0361"/>
    <w:rsid w:val="002B0A4C"/>
    <w:rsid w:val="002B1756"/>
    <w:rsid w:val="002B2D18"/>
    <w:rsid w:val="002B2E4E"/>
    <w:rsid w:val="002B3C5B"/>
    <w:rsid w:val="002B5884"/>
    <w:rsid w:val="002B5A43"/>
    <w:rsid w:val="002B6538"/>
    <w:rsid w:val="002B6CDD"/>
    <w:rsid w:val="002B7C1D"/>
    <w:rsid w:val="002C081E"/>
    <w:rsid w:val="002C1135"/>
    <w:rsid w:val="002C1ACA"/>
    <w:rsid w:val="002C2DC3"/>
    <w:rsid w:val="002C2FA5"/>
    <w:rsid w:val="002C475A"/>
    <w:rsid w:val="002C491D"/>
    <w:rsid w:val="002C4DAB"/>
    <w:rsid w:val="002C556F"/>
    <w:rsid w:val="002C618B"/>
    <w:rsid w:val="002C653C"/>
    <w:rsid w:val="002C6698"/>
    <w:rsid w:val="002C6CD5"/>
    <w:rsid w:val="002C70CF"/>
    <w:rsid w:val="002D0E46"/>
    <w:rsid w:val="002D1668"/>
    <w:rsid w:val="002D364D"/>
    <w:rsid w:val="002D37DD"/>
    <w:rsid w:val="002D4657"/>
    <w:rsid w:val="002D5AF3"/>
    <w:rsid w:val="002D5F5C"/>
    <w:rsid w:val="002D5F6A"/>
    <w:rsid w:val="002D6891"/>
    <w:rsid w:val="002D6EF5"/>
    <w:rsid w:val="002D7183"/>
    <w:rsid w:val="002D7545"/>
    <w:rsid w:val="002D77BD"/>
    <w:rsid w:val="002D7B26"/>
    <w:rsid w:val="002E0422"/>
    <w:rsid w:val="002E0B90"/>
    <w:rsid w:val="002E1A92"/>
    <w:rsid w:val="002E1CAC"/>
    <w:rsid w:val="002E1F0F"/>
    <w:rsid w:val="002E2361"/>
    <w:rsid w:val="002E29DB"/>
    <w:rsid w:val="002E4A38"/>
    <w:rsid w:val="002E4F5F"/>
    <w:rsid w:val="002E5D70"/>
    <w:rsid w:val="002E5E01"/>
    <w:rsid w:val="002E62D3"/>
    <w:rsid w:val="002E6D12"/>
    <w:rsid w:val="002E6E1D"/>
    <w:rsid w:val="002E6EE4"/>
    <w:rsid w:val="002E7114"/>
    <w:rsid w:val="002E7F31"/>
    <w:rsid w:val="002F0E22"/>
    <w:rsid w:val="002F2871"/>
    <w:rsid w:val="002F339D"/>
    <w:rsid w:val="002F3540"/>
    <w:rsid w:val="002F503C"/>
    <w:rsid w:val="002F585F"/>
    <w:rsid w:val="002F63C2"/>
    <w:rsid w:val="002F72DC"/>
    <w:rsid w:val="0030008B"/>
    <w:rsid w:val="00300520"/>
    <w:rsid w:val="00300581"/>
    <w:rsid w:val="003006F7"/>
    <w:rsid w:val="0030152C"/>
    <w:rsid w:val="00301905"/>
    <w:rsid w:val="00301C1D"/>
    <w:rsid w:val="003025F1"/>
    <w:rsid w:val="00302F2F"/>
    <w:rsid w:val="00303A12"/>
    <w:rsid w:val="00304C33"/>
    <w:rsid w:val="00305FD7"/>
    <w:rsid w:val="00306DA7"/>
    <w:rsid w:val="003071D5"/>
    <w:rsid w:val="003079FC"/>
    <w:rsid w:val="00307E50"/>
    <w:rsid w:val="00307E87"/>
    <w:rsid w:val="003101C7"/>
    <w:rsid w:val="00310C4D"/>
    <w:rsid w:val="003112E9"/>
    <w:rsid w:val="0031161E"/>
    <w:rsid w:val="00311736"/>
    <w:rsid w:val="003123CB"/>
    <w:rsid w:val="003131D1"/>
    <w:rsid w:val="00314966"/>
    <w:rsid w:val="00314A67"/>
    <w:rsid w:val="003150D0"/>
    <w:rsid w:val="00316175"/>
    <w:rsid w:val="003168D0"/>
    <w:rsid w:val="00316E88"/>
    <w:rsid w:val="003173DF"/>
    <w:rsid w:val="0031753D"/>
    <w:rsid w:val="00317B8C"/>
    <w:rsid w:val="003205F1"/>
    <w:rsid w:val="0032122F"/>
    <w:rsid w:val="003218D1"/>
    <w:rsid w:val="00321A62"/>
    <w:rsid w:val="00322613"/>
    <w:rsid w:val="003229AB"/>
    <w:rsid w:val="0032384D"/>
    <w:rsid w:val="00325831"/>
    <w:rsid w:val="00325886"/>
    <w:rsid w:val="00325B4C"/>
    <w:rsid w:val="00326995"/>
    <w:rsid w:val="00326C56"/>
    <w:rsid w:val="0032777C"/>
    <w:rsid w:val="0033012E"/>
    <w:rsid w:val="00330C9E"/>
    <w:rsid w:val="00331C28"/>
    <w:rsid w:val="00331EC7"/>
    <w:rsid w:val="00332616"/>
    <w:rsid w:val="00334946"/>
    <w:rsid w:val="003356C0"/>
    <w:rsid w:val="003364F9"/>
    <w:rsid w:val="00336DFE"/>
    <w:rsid w:val="00340B47"/>
    <w:rsid w:val="00342016"/>
    <w:rsid w:val="00342FC1"/>
    <w:rsid w:val="00344428"/>
    <w:rsid w:val="003446CD"/>
    <w:rsid w:val="00344AE9"/>
    <w:rsid w:val="00345626"/>
    <w:rsid w:val="00345D2A"/>
    <w:rsid w:val="00346395"/>
    <w:rsid w:val="00346629"/>
    <w:rsid w:val="00350938"/>
    <w:rsid w:val="00352052"/>
    <w:rsid w:val="00353487"/>
    <w:rsid w:val="003547C5"/>
    <w:rsid w:val="00354C97"/>
    <w:rsid w:val="00354CE3"/>
    <w:rsid w:val="0035549A"/>
    <w:rsid w:val="0035661D"/>
    <w:rsid w:val="00357E03"/>
    <w:rsid w:val="003615D8"/>
    <w:rsid w:val="003617C1"/>
    <w:rsid w:val="003617CF"/>
    <w:rsid w:val="00361A8B"/>
    <w:rsid w:val="00363245"/>
    <w:rsid w:val="00365A66"/>
    <w:rsid w:val="00367F5B"/>
    <w:rsid w:val="00370E63"/>
    <w:rsid w:val="00371016"/>
    <w:rsid w:val="003717DE"/>
    <w:rsid w:val="00371AD0"/>
    <w:rsid w:val="00373992"/>
    <w:rsid w:val="003745F8"/>
    <w:rsid w:val="0037477C"/>
    <w:rsid w:val="0037478D"/>
    <w:rsid w:val="003748C1"/>
    <w:rsid w:val="00374B2F"/>
    <w:rsid w:val="00374D63"/>
    <w:rsid w:val="0037609F"/>
    <w:rsid w:val="00376921"/>
    <w:rsid w:val="0037766E"/>
    <w:rsid w:val="00377AFB"/>
    <w:rsid w:val="00377BE1"/>
    <w:rsid w:val="00377FB8"/>
    <w:rsid w:val="003807A6"/>
    <w:rsid w:val="003811C8"/>
    <w:rsid w:val="00381887"/>
    <w:rsid w:val="00382EE7"/>
    <w:rsid w:val="003835C2"/>
    <w:rsid w:val="0038416F"/>
    <w:rsid w:val="00385048"/>
    <w:rsid w:val="003857B8"/>
    <w:rsid w:val="0038596A"/>
    <w:rsid w:val="00385F90"/>
    <w:rsid w:val="0038622F"/>
    <w:rsid w:val="0038643F"/>
    <w:rsid w:val="00386762"/>
    <w:rsid w:val="00386F68"/>
    <w:rsid w:val="0039066C"/>
    <w:rsid w:val="00391B93"/>
    <w:rsid w:val="003921B1"/>
    <w:rsid w:val="00392700"/>
    <w:rsid w:val="00392B6C"/>
    <w:rsid w:val="00393506"/>
    <w:rsid w:val="00393A4F"/>
    <w:rsid w:val="003952CA"/>
    <w:rsid w:val="003962F5"/>
    <w:rsid w:val="0039747C"/>
    <w:rsid w:val="003A05EC"/>
    <w:rsid w:val="003A2189"/>
    <w:rsid w:val="003A68D5"/>
    <w:rsid w:val="003A6BA4"/>
    <w:rsid w:val="003A6C27"/>
    <w:rsid w:val="003B046C"/>
    <w:rsid w:val="003B05C4"/>
    <w:rsid w:val="003B1B76"/>
    <w:rsid w:val="003B3685"/>
    <w:rsid w:val="003B581A"/>
    <w:rsid w:val="003B6B32"/>
    <w:rsid w:val="003B788B"/>
    <w:rsid w:val="003C01EE"/>
    <w:rsid w:val="003C0A77"/>
    <w:rsid w:val="003C0C13"/>
    <w:rsid w:val="003C1570"/>
    <w:rsid w:val="003C21A9"/>
    <w:rsid w:val="003C28A8"/>
    <w:rsid w:val="003C2F4E"/>
    <w:rsid w:val="003C4127"/>
    <w:rsid w:val="003C4FD8"/>
    <w:rsid w:val="003C59D4"/>
    <w:rsid w:val="003C5DCA"/>
    <w:rsid w:val="003C5E1A"/>
    <w:rsid w:val="003C619A"/>
    <w:rsid w:val="003C6B90"/>
    <w:rsid w:val="003C6CB2"/>
    <w:rsid w:val="003C7491"/>
    <w:rsid w:val="003D1DBB"/>
    <w:rsid w:val="003D221B"/>
    <w:rsid w:val="003D3231"/>
    <w:rsid w:val="003D51A8"/>
    <w:rsid w:val="003D537D"/>
    <w:rsid w:val="003D629C"/>
    <w:rsid w:val="003D6340"/>
    <w:rsid w:val="003D7204"/>
    <w:rsid w:val="003D7A97"/>
    <w:rsid w:val="003D7AFF"/>
    <w:rsid w:val="003E043D"/>
    <w:rsid w:val="003E09D4"/>
    <w:rsid w:val="003E14F6"/>
    <w:rsid w:val="003E25CA"/>
    <w:rsid w:val="003E28A1"/>
    <w:rsid w:val="003E2CA4"/>
    <w:rsid w:val="003E529F"/>
    <w:rsid w:val="003E5962"/>
    <w:rsid w:val="003E5C04"/>
    <w:rsid w:val="003E67AB"/>
    <w:rsid w:val="003E6D05"/>
    <w:rsid w:val="003E6F4B"/>
    <w:rsid w:val="003E7E86"/>
    <w:rsid w:val="003F0C60"/>
    <w:rsid w:val="003F2820"/>
    <w:rsid w:val="003F2B67"/>
    <w:rsid w:val="003F3D4A"/>
    <w:rsid w:val="003F4325"/>
    <w:rsid w:val="003F4621"/>
    <w:rsid w:val="003F4CED"/>
    <w:rsid w:val="003F4FF5"/>
    <w:rsid w:val="003F6E51"/>
    <w:rsid w:val="003F715E"/>
    <w:rsid w:val="003F73D7"/>
    <w:rsid w:val="003F7B80"/>
    <w:rsid w:val="0040039A"/>
    <w:rsid w:val="00400BD6"/>
    <w:rsid w:val="004021FB"/>
    <w:rsid w:val="004027CD"/>
    <w:rsid w:val="004027D8"/>
    <w:rsid w:val="0040350C"/>
    <w:rsid w:val="0040351F"/>
    <w:rsid w:val="0040551B"/>
    <w:rsid w:val="00405696"/>
    <w:rsid w:val="00405C1D"/>
    <w:rsid w:val="004109E5"/>
    <w:rsid w:val="00412316"/>
    <w:rsid w:val="00413739"/>
    <w:rsid w:val="00413759"/>
    <w:rsid w:val="00414AC6"/>
    <w:rsid w:val="00415215"/>
    <w:rsid w:val="004157B5"/>
    <w:rsid w:val="00415818"/>
    <w:rsid w:val="00416169"/>
    <w:rsid w:val="00416F35"/>
    <w:rsid w:val="00417433"/>
    <w:rsid w:val="00417B96"/>
    <w:rsid w:val="004200F0"/>
    <w:rsid w:val="004214AE"/>
    <w:rsid w:val="004229E1"/>
    <w:rsid w:val="00423E1F"/>
    <w:rsid w:val="0042452A"/>
    <w:rsid w:val="00424E5F"/>
    <w:rsid w:val="00425110"/>
    <w:rsid w:val="00425423"/>
    <w:rsid w:val="00426738"/>
    <w:rsid w:val="00426791"/>
    <w:rsid w:val="004272C9"/>
    <w:rsid w:val="0042784D"/>
    <w:rsid w:val="00427A0D"/>
    <w:rsid w:val="00430B54"/>
    <w:rsid w:val="00431060"/>
    <w:rsid w:val="00431CA7"/>
    <w:rsid w:val="00431DA2"/>
    <w:rsid w:val="00433A76"/>
    <w:rsid w:val="00434315"/>
    <w:rsid w:val="004350CD"/>
    <w:rsid w:val="00435BB1"/>
    <w:rsid w:val="00435D8F"/>
    <w:rsid w:val="00440120"/>
    <w:rsid w:val="00440B7D"/>
    <w:rsid w:val="00440EFF"/>
    <w:rsid w:val="00441F36"/>
    <w:rsid w:val="00442639"/>
    <w:rsid w:val="00442EDC"/>
    <w:rsid w:val="0044343E"/>
    <w:rsid w:val="004435FE"/>
    <w:rsid w:val="004447FA"/>
    <w:rsid w:val="004455CB"/>
    <w:rsid w:val="00445957"/>
    <w:rsid w:val="0044641C"/>
    <w:rsid w:val="004466D7"/>
    <w:rsid w:val="0044674D"/>
    <w:rsid w:val="004507D5"/>
    <w:rsid w:val="00450949"/>
    <w:rsid w:val="00450BE3"/>
    <w:rsid w:val="00451061"/>
    <w:rsid w:val="004513E0"/>
    <w:rsid w:val="004515F6"/>
    <w:rsid w:val="00451A43"/>
    <w:rsid w:val="00452290"/>
    <w:rsid w:val="00453473"/>
    <w:rsid w:val="00453D5B"/>
    <w:rsid w:val="004543F4"/>
    <w:rsid w:val="00454C76"/>
    <w:rsid w:val="00454CE4"/>
    <w:rsid w:val="00454EB6"/>
    <w:rsid w:val="00455015"/>
    <w:rsid w:val="004554DC"/>
    <w:rsid w:val="00456C14"/>
    <w:rsid w:val="004571B2"/>
    <w:rsid w:val="0045755D"/>
    <w:rsid w:val="00457954"/>
    <w:rsid w:val="004579BF"/>
    <w:rsid w:val="00461979"/>
    <w:rsid w:val="00463DAB"/>
    <w:rsid w:val="00464070"/>
    <w:rsid w:val="00465599"/>
    <w:rsid w:val="00465DCB"/>
    <w:rsid w:val="00466689"/>
    <w:rsid w:val="004669A5"/>
    <w:rsid w:val="00466A52"/>
    <w:rsid w:val="00466DD3"/>
    <w:rsid w:val="00467551"/>
    <w:rsid w:val="00467D14"/>
    <w:rsid w:val="00470F76"/>
    <w:rsid w:val="004710BE"/>
    <w:rsid w:val="004718E7"/>
    <w:rsid w:val="0047204F"/>
    <w:rsid w:val="00472CA0"/>
    <w:rsid w:val="00473335"/>
    <w:rsid w:val="00473AD6"/>
    <w:rsid w:val="004745DA"/>
    <w:rsid w:val="00474864"/>
    <w:rsid w:val="004749B4"/>
    <w:rsid w:val="00474C6E"/>
    <w:rsid w:val="00475465"/>
    <w:rsid w:val="004759B7"/>
    <w:rsid w:val="00475FE8"/>
    <w:rsid w:val="00476A0E"/>
    <w:rsid w:val="00476C24"/>
    <w:rsid w:val="00476CA5"/>
    <w:rsid w:val="00476DE9"/>
    <w:rsid w:val="004779DF"/>
    <w:rsid w:val="00480030"/>
    <w:rsid w:val="0048108F"/>
    <w:rsid w:val="004836F0"/>
    <w:rsid w:val="00483A93"/>
    <w:rsid w:val="00483B30"/>
    <w:rsid w:val="00484FCA"/>
    <w:rsid w:val="00485251"/>
    <w:rsid w:val="00485FAB"/>
    <w:rsid w:val="00486665"/>
    <w:rsid w:val="00487314"/>
    <w:rsid w:val="00487669"/>
    <w:rsid w:val="00487E0F"/>
    <w:rsid w:val="00487F78"/>
    <w:rsid w:val="00490237"/>
    <w:rsid w:val="00490359"/>
    <w:rsid w:val="0049068A"/>
    <w:rsid w:val="0049079F"/>
    <w:rsid w:val="00490F7D"/>
    <w:rsid w:val="00491A0D"/>
    <w:rsid w:val="004947D6"/>
    <w:rsid w:val="00494D63"/>
    <w:rsid w:val="00494EB1"/>
    <w:rsid w:val="0049596A"/>
    <w:rsid w:val="00496ABE"/>
    <w:rsid w:val="0049745C"/>
    <w:rsid w:val="004976C9"/>
    <w:rsid w:val="004A0B07"/>
    <w:rsid w:val="004A1380"/>
    <w:rsid w:val="004A145C"/>
    <w:rsid w:val="004A2165"/>
    <w:rsid w:val="004A2AFB"/>
    <w:rsid w:val="004A3DDE"/>
    <w:rsid w:val="004A4C00"/>
    <w:rsid w:val="004A5803"/>
    <w:rsid w:val="004A72A1"/>
    <w:rsid w:val="004B0CA4"/>
    <w:rsid w:val="004B0D0D"/>
    <w:rsid w:val="004B0E10"/>
    <w:rsid w:val="004B133B"/>
    <w:rsid w:val="004B288E"/>
    <w:rsid w:val="004B42A7"/>
    <w:rsid w:val="004B57A0"/>
    <w:rsid w:val="004B5D63"/>
    <w:rsid w:val="004B730A"/>
    <w:rsid w:val="004B7395"/>
    <w:rsid w:val="004B74AE"/>
    <w:rsid w:val="004C0E5A"/>
    <w:rsid w:val="004C4E23"/>
    <w:rsid w:val="004C559D"/>
    <w:rsid w:val="004C5B67"/>
    <w:rsid w:val="004C60B0"/>
    <w:rsid w:val="004C7A25"/>
    <w:rsid w:val="004D01DF"/>
    <w:rsid w:val="004D1735"/>
    <w:rsid w:val="004D20BA"/>
    <w:rsid w:val="004D232F"/>
    <w:rsid w:val="004D2B79"/>
    <w:rsid w:val="004D5A04"/>
    <w:rsid w:val="004D5C27"/>
    <w:rsid w:val="004D76E0"/>
    <w:rsid w:val="004D7ED8"/>
    <w:rsid w:val="004E0F42"/>
    <w:rsid w:val="004E10FC"/>
    <w:rsid w:val="004E1BBF"/>
    <w:rsid w:val="004E1C8A"/>
    <w:rsid w:val="004E1E1A"/>
    <w:rsid w:val="004E2180"/>
    <w:rsid w:val="004E3C2F"/>
    <w:rsid w:val="004E5A01"/>
    <w:rsid w:val="004E5ECC"/>
    <w:rsid w:val="004E6281"/>
    <w:rsid w:val="004E7694"/>
    <w:rsid w:val="004E7865"/>
    <w:rsid w:val="004F0012"/>
    <w:rsid w:val="004F02A3"/>
    <w:rsid w:val="004F28BD"/>
    <w:rsid w:val="004F3A77"/>
    <w:rsid w:val="004F3BB1"/>
    <w:rsid w:val="004F5FF1"/>
    <w:rsid w:val="004F60D8"/>
    <w:rsid w:val="004F6DE3"/>
    <w:rsid w:val="00500092"/>
    <w:rsid w:val="00500293"/>
    <w:rsid w:val="005005F9"/>
    <w:rsid w:val="00500DEB"/>
    <w:rsid w:val="00500F35"/>
    <w:rsid w:val="005015DA"/>
    <w:rsid w:val="00501ADD"/>
    <w:rsid w:val="0050233D"/>
    <w:rsid w:val="00502DE3"/>
    <w:rsid w:val="005038A2"/>
    <w:rsid w:val="00504226"/>
    <w:rsid w:val="00506480"/>
    <w:rsid w:val="00507D64"/>
    <w:rsid w:val="005109B4"/>
    <w:rsid w:val="00510C02"/>
    <w:rsid w:val="005115A0"/>
    <w:rsid w:val="005117D1"/>
    <w:rsid w:val="00512872"/>
    <w:rsid w:val="005141C4"/>
    <w:rsid w:val="00514E0B"/>
    <w:rsid w:val="00514F84"/>
    <w:rsid w:val="005157C9"/>
    <w:rsid w:val="00515A52"/>
    <w:rsid w:val="005201C7"/>
    <w:rsid w:val="00520418"/>
    <w:rsid w:val="005210B8"/>
    <w:rsid w:val="00521DF9"/>
    <w:rsid w:val="0052276C"/>
    <w:rsid w:val="0052430B"/>
    <w:rsid w:val="00524909"/>
    <w:rsid w:val="00525DAD"/>
    <w:rsid w:val="00526554"/>
    <w:rsid w:val="00526BC4"/>
    <w:rsid w:val="00527F7B"/>
    <w:rsid w:val="0053066D"/>
    <w:rsid w:val="00530D73"/>
    <w:rsid w:val="005321F1"/>
    <w:rsid w:val="005330CF"/>
    <w:rsid w:val="005338A5"/>
    <w:rsid w:val="00533BAB"/>
    <w:rsid w:val="00534D9B"/>
    <w:rsid w:val="00536C6C"/>
    <w:rsid w:val="005378C5"/>
    <w:rsid w:val="00537D75"/>
    <w:rsid w:val="005400AD"/>
    <w:rsid w:val="00540867"/>
    <w:rsid w:val="00540C00"/>
    <w:rsid w:val="00541215"/>
    <w:rsid w:val="00541615"/>
    <w:rsid w:val="0054183F"/>
    <w:rsid w:val="00542B64"/>
    <w:rsid w:val="0054362B"/>
    <w:rsid w:val="005438C6"/>
    <w:rsid w:val="00543DA8"/>
    <w:rsid w:val="0054441B"/>
    <w:rsid w:val="00544D98"/>
    <w:rsid w:val="0054654E"/>
    <w:rsid w:val="005465AA"/>
    <w:rsid w:val="00546B20"/>
    <w:rsid w:val="005501A8"/>
    <w:rsid w:val="00550A64"/>
    <w:rsid w:val="00551F7F"/>
    <w:rsid w:val="00552C02"/>
    <w:rsid w:val="0055332D"/>
    <w:rsid w:val="00554758"/>
    <w:rsid w:val="00555255"/>
    <w:rsid w:val="005554B1"/>
    <w:rsid w:val="005579FD"/>
    <w:rsid w:val="00561022"/>
    <w:rsid w:val="00561AD2"/>
    <w:rsid w:val="00562CBC"/>
    <w:rsid w:val="005631DD"/>
    <w:rsid w:val="0056362C"/>
    <w:rsid w:val="00565037"/>
    <w:rsid w:val="005659A1"/>
    <w:rsid w:val="00565C81"/>
    <w:rsid w:val="0056700C"/>
    <w:rsid w:val="00567DB8"/>
    <w:rsid w:val="005703AE"/>
    <w:rsid w:val="00570520"/>
    <w:rsid w:val="0057074A"/>
    <w:rsid w:val="00570EAA"/>
    <w:rsid w:val="005710B6"/>
    <w:rsid w:val="005713B2"/>
    <w:rsid w:val="005716ED"/>
    <w:rsid w:val="005719D5"/>
    <w:rsid w:val="00571DD3"/>
    <w:rsid w:val="00572475"/>
    <w:rsid w:val="005730D1"/>
    <w:rsid w:val="00573A02"/>
    <w:rsid w:val="00575A02"/>
    <w:rsid w:val="00575F0D"/>
    <w:rsid w:val="00576546"/>
    <w:rsid w:val="00576AC9"/>
    <w:rsid w:val="00576B23"/>
    <w:rsid w:val="00577DB0"/>
    <w:rsid w:val="0058070C"/>
    <w:rsid w:val="00580C3E"/>
    <w:rsid w:val="0058195C"/>
    <w:rsid w:val="00581F78"/>
    <w:rsid w:val="00581F9C"/>
    <w:rsid w:val="00582032"/>
    <w:rsid w:val="00582938"/>
    <w:rsid w:val="00582DFD"/>
    <w:rsid w:val="00584F54"/>
    <w:rsid w:val="00585111"/>
    <w:rsid w:val="00585AEB"/>
    <w:rsid w:val="00585E0C"/>
    <w:rsid w:val="0058681B"/>
    <w:rsid w:val="00590539"/>
    <w:rsid w:val="00591ED9"/>
    <w:rsid w:val="00592562"/>
    <w:rsid w:val="00592EC7"/>
    <w:rsid w:val="0059344A"/>
    <w:rsid w:val="00593994"/>
    <w:rsid w:val="00593B1D"/>
    <w:rsid w:val="0059552B"/>
    <w:rsid w:val="00595E14"/>
    <w:rsid w:val="00596AA6"/>
    <w:rsid w:val="0059738D"/>
    <w:rsid w:val="005975E1"/>
    <w:rsid w:val="005A02DB"/>
    <w:rsid w:val="005A0303"/>
    <w:rsid w:val="005A111F"/>
    <w:rsid w:val="005A1683"/>
    <w:rsid w:val="005A1FBE"/>
    <w:rsid w:val="005A1FC2"/>
    <w:rsid w:val="005A2F32"/>
    <w:rsid w:val="005A4BA8"/>
    <w:rsid w:val="005A51DD"/>
    <w:rsid w:val="005A57B7"/>
    <w:rsid w:val="005A6D59"/>
    <w:rsid w:val="005A703C"/>
    <w:rsid w:val="005B0513"/>
    <w:rsid w:val="005B0702"/>
    <w:rsid w:val="005B2E06"/>
    <w:rsid w:val="005B3E24"/>
    <w:rsid w:val="005B5549"/>
    <w:rsid w:val="005B58D7"/>
    <w:rsid w:val="005B64D4"/>
    <w:rsid w:val="005B66BE"/>
    <w:rsid w:val="005C1006"/>
    <w:rsid w:val="005C1348"/>
    <w:rsid w:val="005C137F"/>
    <w:rsid w:val="005C188B"/>
    <w:rsid w:val="005C2437"/>
    <w:rsid w:val="005C2829"/>
    <w:rsid w:val="005C3C81"/>
    <w:rsid w:val="005C6876"/>
    <w:rsid w:val="005C790B"/>
    <w:rsid w:val="005D0416"/>
    <w:rsid w:val="005D1289"/>
    <w:rsid w:val="005D1F5E"/>
    <w:rsid w:val="005D2424"/>
    <w:rsid w:val="005D247F"/>
    <w:rsid w:val="005D3944"/>
    <w:rsid w:val="005D4B15"/>
    <w:rsid w:val="005D4CAD"/>
    <w:rsid w:val="005D6274"/>
    <w:rsid w:val="005D64A9"/>
    <w:rsid w:val="005D650D"/>
    <w:rsid w:val="005D7F82"/>
    <w:rsid w:val="005E010B"/>
    <w:rsid w:val="005E0375"/>
    <w:rsid w:val="005E0A86"/>
    <w:rsid w:val="005E0F22"/>
    <w:rsid w:val="005E1531"/>
    <w:rsid w:val="005E1AD0"/>
    <w:rsid w:val="005E2283"/>
    <w:rsid w:val="005E268B"/>
    <w:rsid w:val="005E2E9B"/>
    <w:rsid w:val="005E581C"/>
    <w:rsid w:val="005E6CA0"/>
    <w:rsid w:val="005E6E43"/>
    <w:rsid w:val="005F0FD1"/>
    <w:rsid w:val="005F220A"/>
    <w:rsid w:val="005F30EC"/>
    <w:rsid w:val="005F38C0"/>
    <w:rsid w:val="005F4036"/>
    <w:rsid w:val="005F418D"/>
    <w:rsid w:val="005F460B"/>
    <w:rsid w:val="005F7555"/>
    <w:rsid w:val="005F7F44"/>
    <w:rsid w:val="00602227"/>
    <w:rsid w:val="0060254E"/>
    <w:rsid w:val="0060272C"/>
    <w:rsid w:val="00602B23"/>
    <w:rsid w:val="006037BE"/>
    <w:rsid w:val="00604D34"/>
    <w:rsid w:val="00605941"/>
    <w:rsid w:val="006065D8"/>
    <w:rsid w:val="00606A9E"/>
    <w:rsid w:val="00610339"/>
    <w:rsid w:val="006105BD"/>
    <w:rsid w:val="00610C6F"/>
    <w:rsid w:val="00611F54"/>
    <w:rsid w:val="006128C0"/>
    <w:rsid w:val="00615095"/>
    <w:rsid w:val="00615A01"/>
    <w:rsid w:val="00615E46"/>
    <w:rsid w:val="00616BDF"/>
    <w:rsid w:val="006204D4"/>
    <w:rsid w:val="00621D45"/>
    <w:rsid w:val="00622379"/>
    <w:rsid w:val="0062350B"/>
    <w:rsid w:val="00624E99"/>
    <w:rsid w:val="006253C0"/>
    <w:rsid w:val="00625629"/>
    <w:rsid w:val="0062643B"/>
    <w:rsid w:val="00626C9E"/>
    <w:rsid w:val="00627430"/>
    <w:rsid w:val="006274F5"/>
    <w:rsid w:val="00630C59"/>
    <w:rsid w:val="006312F7"/>
    <w:rsid w:val="0063130B"/>
    <w:rsid w:val="0063140A"/>
    <w:rsid w:val="00631800"/>
    <w:rsid w:val="00631D42"/>
    <w:rsid w:val="00631D9E"/>
    <w:rsid w:val="006323E6"/>
    <w:rsid w:val="00634001"/>
    <w:rsid w:val="006344C3"/>
    <w:rsid w:val="006349A0"/>
    <w:rsid w:val="00636393"/>
    <w:rsid w:val="00636C13"/>
    <w:rsid w:val="00637628"/>
    <w:rsid w:val="0064036A"/>
    <w:rsid w:val="00640F8E"/>
    <w:rsid w:val="00641507"/>
    <w:rsid w:val="00641539"/>
    <w:rsid w:val="00641912"/>
    <w:rsid w:val="00641FB1"/>
    <w:rsid w:val="00643528"/>
    <w:rsid w:val="006435E6"/>
    <w:rsid w:val="00643D90"/>
    <w:rsid w:val="006446A6"/>
    <w:rsid w:val="00644869"/>
    <w:rsid w:val="006448EE"/>
    <w:rsid w:val="00644A41"/>
    <w:rsid w:val="00646277"/>
    <w:rsid w:val="00646EFE"/>
    <w:rsid w:val="006472E8"/>
    <w:rsid w:val="006474B9"/>
    <w:rsid w:val="00647523"/>
    <w:rsid w:val="00650815"/>
    <w:rsid w:val="006510B9"/>
    <w:rsid w:val="00651AD6"/>
    <w:rsid w:val="00651AF6"/>
    <w:rsid w:val="00651BA3"/>
    <w:rsid w:val="00652487"/>
    <w:rsid w:val="00652E90"/>
    <w:rsid w:val="0065321D"/>
    <w:rsid w:val="00653846"/>
    <w:rsid w:val="00654BFA"/>
    <w:rsid w:val="006550F2"/>
    <w:rsid w:val="00655F89"/>
    <w:rsid w:val="006561D0"/>
    <w:rsid w:val="0065621D"/>
    <w:rsid w:val="006566B1"/>
    <w:rsid w:val="0065710B"/>
    <w:rsid w:val="00657FE4"/>
    <w:rsid w:val="00660803"/>
    <w:rsid w:val="00660CA4"/>
    <w:rsid w:val="006613FD"/>
    <w:rsid w:val="0066189B"/>
    <w:rsid w:val="00661AC8"/>
    <w:rsid w:val="00666236"/>
    <w:rsid w:val="00666402"/>
    <w:rsid w:val="0066649F"/>
    <w:rsid w:val="00666B22"/>
    <w:rsid w:val="00670309"/>
    <w:rsid w:val="00670CF1"/>
    <w:rsid w:val="00671A99"/>
    <w:rsid w:val="00671F9B"/>
    <w:rsid w:val="00672719"/>
    <w:rsid w:val="00673F96"/>
    <w:rsid w:val="00676725"/>
    <w:rsid w:val="00676DA1"/>
    <w:rsid w:val="00680249"/>
    <w:rsid w:val="00680562"/>
    <w:rsid w:val="006816BB"/>
    <w:rsid w:val="00682AF3"/>
    <w:rsid w:val="006834A0"/>
    <w:rsid w:val="00684581"/>
    <w:rsid w:val="00685AFD"/>
    <w:rsid w:val="006870AF"/>
    <w:rsid w:val="006873EE"/>
    <w:rsid w:val="006902F3"/>
    <w:rsid w:val="0069056A"/>
    <w:rsid w:val="006915F4"/>
    <w:rsid w:val="006924BB"/>
    <w:rsid w:val="0069265C"/>
    <w:rsid w:val="006932B4"/>
    <w:rsid w:val="00693376"/>
    <w:rsid w:val="00693B8D"/>
    <w:rsid w:val="00693C94"/>
    <w:rsid w:val="0069463F"/>
    <w:rsid w:val="00695EF2"/>
    <w:rsid w:val="0069600C"/>
    <w:rsid w:val="00696B86"/>
    <w:rsid w:val="006A2DBB"/>
    <w:rsid w:val="006A3448"/>
    <w:rsid w:val="006A3B05"/>
    <w:rsid w:val="006A3DE8"/>
    <w:rsid w:val="006A5BCC"/>
    <w:rsid w:val="006A5CC1"/>
    <w:rsid w:val="006A64FB"/>
    <w:rsid w:val="006A65AA"/>
    <w:rsid w:val="006A6FA6"/>
    <w:rsid w:val="006A7B42"/>
    <w:rsid w:val="006A7C4D"/>
    <w:rsid w:val="006A7F52"/>
    <w:rsid w:val="006B0181"/>
    <w:rsid w:val="006B138A"/>
    <w:rsid w:val="006B1674"/>
    <w:rsid w:val="006B16D9"/>
    <w:rsid w:val="006B18AD"/>
    <w:rsid w:val="006B2E8B"/>
    <w:rsid w:val="006B3FEA"/>
    <w:rsid w:val="006B57F9"/>
    <w:rsid w:val="006B5EFC"/>
    <w:rsid w:val="006B6193"/>
    <w:rsid w:val="006B6F12"/>
    <w:rsid w:val="006B7A6F"/>
    <w:rsid w:val="006C119D"/>
    <w:rsid w:val="006C1225"/>
    <w:rsid w:val="006C18EF"/>
    <w:rsid w:val="006C213C"/>
    <w:rsid w:val="006C2431"/>
    <w:rsid w:val="006C2F1C"/>
    <w:rsid w:val="006C2F42"/>
    <w:rsid w:val="006C6299"/>
    <w:rsid w:val="006C68FF"/>
    <w:rsid w:val="006C7319"/>
    <w:rsid w:val="006C7B73"/>
    <w:rsid w:val="006C7FFB"/>
    <w:rsid w:val="006D09A2"/>
    <w:rsid w:val="006D2F90"/>
    <w:rsid w:val="006D3D2C"/>
    <w:rsid w:val="006D4066"/>
    <w:rsid w:val="006D4246"/>
    <w:rsid w:val="006D5CD6"/>
    <w:rsid w:val="006D6423"/>
    <w:rsid w:val="006D6CCD"/>
    <w:rsid w:val="006E0389"/>
    <w:rsid w:val="006E0957"/>
    <w:rsid w:val="006E1B10"/>
    <w:rsid w:val="006E1F0C"/>
    <w:rsid w:val="006E229D"/>
    <w:rsid w:val="006E330A"/>
    <w:rsid w:val="006E4537"/>
    <w:rsid w:val="006E6717"/>
    <w:rsid w:val="006F0A2B"/>
    <w:rsid w:val="006F0DC5"/>
    <w:rsid w:val="006F1765"/>
    <w:rsid w:val="006F2923"/>
    <w:rsid w:val="006F3092"/>
    <w:rsid w:val="006F39BA"/>
    <w:rsid w:val="006F42CB"/>
    <w:rsid w:val="006F51D5"/>
    <w:rsid w:val="006F5249"/>
    <w:rsid w:val="006F5E9F"/>
    <w:rsid w:val="006F62AF"/>
    <w:rsid w:val="006F6A24"/>
    <w:rsid w:val="006F7914"/>
    <w:rsid w:val="007001B6"/>
    <w:rsid w:val="0070164F"/>
    <w:rsid w:val="0070197D"/>
    <w:rsid w:val="00701F2A"/>
    <w:rsid w:val="00702B9B"/>
    <w:rsid w:val="007032C8"/>
    <w:rsid w:val="00703987"/>
    <w:rsid w:val="0070415B"/>
    <w:rsid w:val="00705E61"/>
    <w:rsid w:val="0070602F"/>
    <w:rsid w:val="0070691F"/>
    <w:rsid w:val="00707289"/>
    <w:rsid w:val="00710559"/>
    <w:rsid w:val="007114B9"/>
    <w:rsid w:val="00711AE7"/>
    <w:rsid w:val="007123C4"/>
    <w:rsid w:val="0071281A"/>
    <w:rsid w:val="0071383F"/>
    <w:rsid w:val="00713954"/>
    <w:rsid w:val="00713B49"/>
    <w:rsid w:val="0071574C"/>
    <w:rsid w:val="00715AB1"/>
    <w:rsid w:val="00715DA2"/>
    <w:rsid w:val="0071677C"/>
    <w:rsid w:val="007177A7"/>
    <w:rsid w:val="0071786F"/>
    <w:rsid w:val="00717916"/>
    <w:rsid w:val="00717CDF"/>
    <w:rsid w:val="0072073C"/>
    <w:rsid w:val="00721766"/>
    <w:rsid w:val="007220F7"/>
    <w:rsid w:val="00724352"/>
    <w:rsid w:val="00724749"/>
    <w:rsid w:val="00724A79"/>
    <w:rsid w:val="00724EBF"/>
    <w:rsid w:val="00725155"/>
    <w:rsid w:val="00725920"/>
    <w:rsid w:val="007259FE"/>
    <w:rsid w:val="00726847"/>
    <w:rsid w:val="00727AF4"/>
    <w:rsid w:val="007305BF"/>
    <w:rsid w:val="00730A15"/>
    <w:rsid w:val="0073133A"/>
    <w:rsid w:val="00732BA9"/>
    <w:rsid w:val="00734774"/>
    <w:rsid w:val="00734A34"/>
    <w:rsid w:val="00734DC4"/>
    <w:rsid w:val="007357C4"/>
    <w:rsid w:val="00735C47"/>
    <w:rsid w:val="00736C58"/>
    <w:rsid w:val="00740CFB"/>
    <w:rsid w:val="00741206"/>
    <w:rsid w:val="00741B15"/>
    <w:rsid w:val="007421C4"/>
    <w:rsid w:val="00743251"/>
    <w:rsid w:val="0074331F"/>
    <w:rsid w:val="00744CC4"/>
    <w:rsid w:val="007465A3"/>
    <w:rsid w:val="00746C87"/>
    <w:rsid w:val="00750477"/>
    <w:rsid w:val="00752E94"/>
    <w:rsid w:val="007533BF"/>
    <w:rsid w:val="00754B33"/>
    <w:rsid w:val="00756A0C"/>
    <w:rsid w:val="00757AB7"/>
    <w:rsid w:val="0076193D"/>
    <w:rsid w:val="007627D8"/>
    <w:rsid w:val="00762E9D"/>
    <w:rsid w:val="007637EB"/>
    <w:rsid w:val="00764345"/>
    <w:rsid w:val="00764552"/>
    <w:rsid w:val="007650A2"/>
    <w:rsid w:val="007657D5"/>
    <w:rsid w:val="00765952"/>
    <w:rsid w:val="0076620F"/>
    <w:rsid w:val="00766821"/>
    <w:rsid w:val="00767414"/>
    <w:rsid w:val="00767EFE"/>
    <w:rsid w:val="0077127B"/>
    <w:rsid w:val="00771FAE"/>
    <w:rsid w:val="00771FEE"/>
    <w:rsid w:val="00772826"/>
    <w:rsid w:val="00773E27"/>
    <w:rsid w:val="00774AE4"/>
    <w:rsid w:val="00774C37"/>
    <w:rsid w:val="00775B4C"/>
    <w:rsid w:val="0077662A"/>
    <w:rsid w:val="007778B9"/>
    <w:rsid w:val="00780775"/>
    <w:rsid w:val="00780C0E"/>
    <w:rsid w:val="00780D71"/>
    <w:rsid w:val="007813A1"/>
    <w:rsid w:val="00781658"/>
    <w:rsid w:val="00781A6F"/>
    <w:rsid w:val="00781B5F"/>
    <w:rsid w:val="00782F2A"/>
    <w:rsid w:val="00783A8F"/>
    <w:rsid w:val="00783FF2"/>
    <w:rsid w:val="0078421C"/>
    <w:rsid w:val="00784246"/>
    <w:rsid w:val="00784A9F"/>
    <w:rsid w:val="00785952"/>
    <w:rsid w:val="0078610C"/>
    <w:rsid w:val="0078621E"/>
    <w:rsid w:val="00786B92"/>
    <w:rsid w:val="007879D1"/>
    <w:rsid w:val="00791C92"/>
    <w:rsid w:val="007922F3"/>
    <w:rsid w:val="0079322D"/>
    <w:rsid w:val="007939D0"/>
    <w:rsid w:val="00794847"/>
    <w:rsid w:val="00794BD9"/>
    <w:rsid w:val="00795100"/>
    <w:rsid w:val="007967B4"/>
    <w:rsid w:val="007969F0"/>
    <w:rsid w:val="00797178"/>
    <w:rsid w:val="007A0B36"/>
    <w:rsid w:val="007A1EDF"/>
    <w:rsid w:val="007A2374"/>
    <w:rsid w:val="007A2545"/>
    <w:rsid w:val="007A280E"/>
    <w:rsid w:val="007A2BF6"/>
    <w:rsid w:val="007A4D5C"/>
    <w:rsid w:val="007A4FFA"/>
    <w:rsid w:val="007A5B2E"/>
    <w:rsid w:val="007A61FA"/>
    <w:rsid w:val="007A6B96"/>
    <w:rsid w:val="007A7362"/>
    <w:rsid w:val="007B1413"/>
    <w:rsid w:val="007B190F"/>
    <w:rsid w:val="007B1AAB"/>
    <w:rsid w:val="007B2722"/>
    <w:rsid w:val="007B2F81"/>
    <w:rsid w:val="007B41F9"/>
    <w:rsid w:val="007B5144"/>
    <w:rsid w:val="007B5F16"/>
    <w:rsid w:val="007B6439"/>
    <w:rsid w:val="007B6CD6"/>
    <w:rsid w:val="007B7A7A"/>
    <w:rsid w:val="007C0B86"/>
    <w:rsid w:val="007C0BC4"/>
    <w:rsid w:val="007C0CA4"/>
    <w:rsid w:val="007C0DD7"/>
    <w:rsid w:val="007C1180"/>
    <w:rsid w:val="007C13E1"/>
    <w:rsid w:val="007C18EC"/>
    <w:rsid w:val="007C19DD"/>
    <w:rsid w:val="007C1F59"/>
    <w:rsid w:val="007C28EC"/>
    <w:rsid w:val="007C36E4"/>
    <w:rsid w:val="007C3AC1"/>
    <w:rsid w:val="007C3D07"/>
    <w:rsid w:val="007C4669"/>
    <w:rsid w:val="007C4D8D"/>
    <w:rsid w:val="007C51DE"/>
    <w:rsid w:val="007C53C3"/>
    <w:rsid w:val="007C56C2"/>
    <w:rsid w:val="007C60DA"/>
    <w:rsid w:val="007C6D75"/>
    <w:rsid w:val="007D0636"/>
    <w:rsid w:val="007D0F16"/>
    <w:rsid w:val="007D1102"/>
    <w:rsid w:val="007D2FD1"/>
    <w:rsid w:val="007D3AAA"/>
    <w:rsid w:val="007D4498"/>
    <w:rsid w:val="007D47AE"/>
    <w:rsid w:val="007D498E"/>
    <w:rsid w:val="007D49CA"/>
    <w:rsid w:val="007D4F12"/>
    <w:rsid w:val="007D5EB1"/>
    <w:rsid w:val="007D780B"/>
    <w:rsid w:val="007D7895"/>
    <w:rsid w:val="007D7AA9"/>
    <w:rsid w:val="007D7E5C"/>
    <w:rsid w:val="007E01D7"/>
    <w:rsid w:val="007E0495"/>
    <w:rsid w:val="007E2076"/>
    <w:rsid w:val="007E2302"/>
    <w:rsid w:val="007E2E0A"/>
    <w:rsid w:val="007E4731"/>
    <w:rsid w:val="007E5154"/>
    <w:rsid w:val="007E64EA"/>
    <w:rsid w:val="007E652D"/>
    <w:rsid w:val="007E65FD"/>
    <w:rsid w:val="007E755C"/>
    <w:rsid w:val="007F0197"/>
    <w:rsid w:val="007F115A"/>
    <w:rsid w:val="007F1373"/>
    <w:rsid w:val="007F1A29"/>
    <w:rsid w:val="007F3E3F"/>
    <w:rsid w:val="00800AB0"/>
    <w:rsid w:val="0080299B"/>
    <w:rsid w:val="00802D03"/>
    <w:rsid w:val="008043E7"/>
    <w:rsid w:val="00804A3D"/>
    <w:rsid w:val="00805864"/>
    <w:rsid w:val="0080649C"/>
    <w:rsid w:val="00806FD8"/>
    <w:rsid w:val="008072D2"/>
    <w:rsid w:val="0080755A"/>
    <w:rsid w:val="0081031D"/>
    <w:rsid w:val="00810633"/>
    <w:rsid w:val="00810C1B"/>
    <w:rsid w:val="00810CD8"/>
    <w:rsid w:val="00811452"/>
    <w:rsid w:val="00811AFF"/>
    <w:rsid w:val="00811E6A"/>
    <w:rsid w:val="00811F6A"/>
    <w:rsid w:val="00812A5F"/>
    <w:rsid w:val="0081373B"/>
    <w:rsid w:val="00813DC8"/>
    <w:rsid w:val="00813F9C"/>
    <w:rsid w:val="00814B76"/>
    <w:rsid w:val="00815567"/>
    <w:rsid w:val="008165E4"/>
    <w:rsid w:val="00817778"/>
    <w:rsid w:val="00820B0C"/>
    <w:rsid w:val="00821C7E"/>
    <w:rsid w:val="008223B5"/>
    <w:rsid w:val="00822797"/>
    <w:rsid w:val="00822828"/>
    <w:rsid w:val="0082396C"/>
    <w:rsid w:val="0082408F"/>
    <w:rsid w:val="008248C4"/>
    <w:rsid w:val="00825C81"/>
    <w:rsid w:val="008267C7"/>
    <w:rsid w:val="0082697D"/>
    <w:rsid w:val="00826E12"/>
    <w:rsid w:val="008279D3"/>
    <w:rsid w:val="00827B22"/>
    <w:rsid w:val="00830F56"/>
    <w:rsid w:val="00831B96"/>
    <w:rsid w:val="00831F3B"/>
    <w:rsid w:val="008328FA"/>
    <w:rsid w:val="0083291D"/>
    <w:rsid w:val="008331A4"/>
    <w:rsid w:val="0083439D"/>
    <w:rsid w:val="0083502C"/>
    <w:rsid w:val="00835241"/>
    <w:rsid w:val="0083654A"/>
    <w:rsid w:val="008366D5"/>
    <w:rsid w:val="008405AF"/>
    <w:rsid w:val="00840B75"/>
    <w:rsid w:val="008425D1"/>
    <w:rsid w:val="00842B57"/>
    <w:rsid w:val="0084399E"/>
    <w:rsid w:val="00843A9D"/>
    <w:rsid w:val="00843C2B"/>
    <w:rsid w:val="00844795"/>
    <w:rsid w:val="00844C43"/>
    <w:rsid w:val="00844D0C"/>
    <w:rsid w:val="00845512"/>
    <w:rsid w:val="00845BE3"/>
    <w:rsid w:val="008478DD"/>
    <w:rsid w:val="00847D7F"/>
    <w:rsid w:val="00847E7A"/>
    <w:rsid w:val="008515EB"/>
    <w:rsid w:val="008528B7"/>
    <w:rsid w:val="00852C25"/>
    <w:rsid w:val="00853575"/>
    <w:rsid w:val="0085741A"/>
    <w:rsid w:val="00860093"/>
    <w:rsid w:val="0086022E"/>
    <w:rsid w:val="008609DF"/>
    <w:rsid w:val="008617D0"/>
    <w:rsid w:val="008625E6"/>
    <w:rsid w:val="00862E98"/>
    <w:rsid w:val="00863751"/>
    <w:rsid w:val="00863FBC"/>
    <w:rsid w:val="008641F0"/>
    <w:rsid w:val="008647E1"/>
    <w:rsid w:val="00864D80"/>
    <w:rsid w:val="00865AA6"/>
    <w:rsid w:val="008661DB"/>
    <w:rsid w:val="00866C2A"/>
    <w:rsid w:val="0087031E"/>
    <w:rsid w:val="0087068B"/>
    <w:rsid w:val="00870A64"/>
    <w:rsid w:val="008714D0"/>
    <w:rsid w:val="00871BA3"/>
    <w:rsid w:val="00871D93"/>
    <w:rsid w:val="00871DAE"/>
    <w:rsid w:val="0087213C"/>
    <w:rsid w:val="008725EC"/>
    <w:rsid w:val="00872786"/>
    <w:rsid w:val="008736F4"/>
    <w:rsid w:val="00873D9A"/>
    <w:rsid w:val="00873DBC"/>
    <w:rsid w:val="00874158"/>
    <w:rsid w:val="0087434F"/>
    <w:rsid w:val="008746EF"/>
    <w:rsid w:val="00875934"/>
    <w:rsid w:val="0087641B"/>
    <w:rsid w:val="00876F22"/>
    <w:rsid w:val="00876FFB"/>
    <w:rsid w:val="00877251"/>
    <w:rsid w:val="00877B41"/>
    <w:rsid w:val="00880F12"/>
    <w:rsid w:val="00882D90"/>
    <w:rsid w:val="008839AD"/>
    <w:rsid w:val="00883B25"/>
    <w:rsid w:val="00887234"/>
    <w:rsid w:val="00887621"/>
    <w:rsid w:val="00890F96"/>
    <w:rsid w:val="00892335"/>
    <w:rsid w:val="00892C10"/>
    <w:rsid w:val="00892F69"/>
    <w:rsid w:val="00893D96"/>
    <w:rsid w:val="0089526B"/>
    <w:rsid w:val="008952C0"/>
    <w:rsid w:val="008960BA"/>
    <w:rsid w:val="008961E6"/>
    <w:rsid w:val="00896473"/>
    <w:rsid w:val="0089683C"/>
    <w:rsid w:val="00897328"/>
    <w:rsid w:val="00897A94"/>
    <w:rsid w:val="00897D05"/>
    <w:rsid w:val="008A007E"/>
    <w:rsid w:val="008A2161"/>
    <w:rsid w:val="008A23C5"/>
    <w:rsid w:val="008A4428"/>
    <w:rsid w:val="008A4869"/>
    <w:rsid w:val="008A4F70"/>
    <w:rsid w:val="008A5008"/>
    <w:rsid w:val="008A5B52"/>
    <w:rsid w:val="008A66BB"/>
    <w:rsid w:val="008A6734"/>
    <w:rsid w:val="008A75A4"/>
    <w:rsid w:val="008B09DE"/>
    <w:rsid w:val="008B0DDD"/>
    <w:rsid w:val="008B1ADB"/>
    <w:rsid w:val="008B2A55"/>
    <w:rsid w:val="008B3069"/>
    <w:rsid w:val="008B388A"/>
    <w:rsid w:val="008B3B6A"/>
    <w:rsid w:val="008B4CCD"/>
    <w:rsid w:val="008B5BA3"/>
    <w:rsid w:val="008B6BB6"/>
    <w:rsid w:val="008B6D31"/>
    <w:rsid w:val="008B7494"/>
    <w:rsid w:val="008B75DC"/>
    <w:rsid w:val="008C0A87"/>
    <w:rsid w:val="008C13E1"/>
    <w:rsid w:val="008C1E40"/>
    <w:rsid w:val="008C44FA"/>
    <w:rsid w:val="008C6831"/>
    <w:rsid w:val="008C6AF4"/>
    <w:rsid w:val="008C6C4D"/>
    <w:rsid w:val="008C7262"/>
    <w:rsid w:val="008D0AD7"/>
    <w:rsid w:val="008D278F"/>
    <w:rsid w:val="008D3432"/>
    <w:rsid w:val="008D51FA"/>
    <w:rsid w:val="008D7B5B"/>
    <w:rsid w:val="008E0672"/>
    <w:rsid w:val="008E07E9"/>
    <w:rsid w:val="008E0DC0"/>
    <w:rsid w:val="008E11F9"/>
    <w:rsid w:val="008E193F"/>
    <w:rsid w:val="008E1B8B"/>
    <w:rsid w:val="008E1C9F"/>
    <w:rsid w:val="008E21F2"/>
    <w:rsid w:val="008E294D"/>
    <w:rsid w:val="008E2C61"/>
    <w:rsid w:val="008E437C"/>
    <w:rsid w:val="008E4661"/>
    <w:rsid w:val="008E4B19"/>
    <w:rsid w:val="008E4FC4"/>
    <w:rsid w:val="008E574A"/>
    <w:rsid w:val="008E5CD1"/>
    <w:rsid w:val="008E5E0A"/>
    <w:rsid w:val="008F039D"/>
    <w:rsid w:val="008F1582"/>
    <w:rsid w:val="008F1E0D"/>
    <w:rsid w:val="008F2E0A"/>
    <w:rsid w:val="008F3617"/>
    <w:rsid w:val="008F6C37"/>
    <w:rsid w:val="008F7AD9"/>
    <w:rsid w:val="0090104C"/>
    <w:rsid w:val="00901CAB"/>
    <w:rsid w:val="00902592"/>
    <w:rsid w:val="0090384E"/>
    <w:rsid w:val="009040F0"/>
    <w:rsid w:val="00904BE9"/>
    <w:rsid w:val="00905710"/>
    <w:rsid w:val="0090592B"/>
    <w:rsid w:val="009111F2"/>
    <w:rsid w:val="009128FE"/>
    <w:rsid w:val="009133A4"/>
    <w:rsid w:val="00914DE4"/>
    <w:rsid w:val="0091586C"/>
    <w:rsid w:val="009161D7"/>
    <w:rsid w:val="00916EA5"/>
    <w:rsid w:val="00920120"/>
    <w:rsid w:val="00920584"/>
    <w:rsid w:val="009208E2"/>
    <w:rsid w:val="00921A77"/>
    <w:rsid w:val="0092354B"/>
    <w:rsid w:val="00924272"/>
    <w:rsid w:val="00927471"/>
    <w:rsid w:val="0093061C"/>
    <w:rsid w:val="0093294A"/>
    <w:rsid w:val="00932AA7"/>
    <w:rsid w:val="00932AC2"/>
    <w:rsid w:val="00934F98"/>
    <w:rsid w:val="009351BD"/>
    <w:rsid w:val="00935453"/>
    <w:rsid w:val="00935AEE"/>
    <w:rsid w:val="00935CA1"/>
    <w:rsid w:val="00935D1A"/>
    <w:rsid w:val="0093737B"/>
    <w:rsid w:val="0093743B"/>
    <w:rsid w:val="009402A3"/>
    <w:rsid w:val="00941646"/>
    <w:rsid w:val="00941FED"/>
    <w:rsid w:val="0094255F"/>
    <w:rsid w:val="009428EB"/>
    <w:rsid w:val="00943763"/>
    <w:rsid w:val="00943E3D"/>
    <w:rsid w:val="009441B3"/>
    <w:rsid w:val="00944FFF"/>
    <w:rsid w:val="00946AB8"/>
    <w:rsid w:val="0094710A"/>
    <w:rsid w:val="00950901"/>
    <w:rsid w:val="00951221"/>
    <w:rsid w:val="00951827"/>
    <w:rsid w:val="00951C02"/>
    <w:rsid w:val="00951DE7"/>
    <w:rsid w:val="00952889"/>
    <w:rsid w:val="00952E7F"/>
    <w:rsid w:val="00953E64"/>
    <w:rsid w:val="0095517C"/>
    <w:rsid w:val="00955754"/>
    <w:rsid w:val="00955BFC"/>
    <w:rsid w:val="009563A1"/>
    <w:rsid w:val="00957F98"/>
    <w:rsid w:val="00960253"/>
    <w:rsid w:val="009602A4"/>
    <w:rsid w:val="00961919"/>
    <w:rsid w:val="00961CE0"/>
    <w:rsid w:val="00962403"/>
    <w:rsid w:val="00962A2C"/>
    <w:rsid w:val="00962E92"/>
    <w:rsid w:val="00963040"/>
    <w:rsid w:val="00964A95"/>
    <w:rsid w:val="00964CF6"/>
    <w:rsid w:val="0096543C"/>
    <w:rsid w:val="00965C8D"/>
    <w:rsid w:val="0096684A"/>
    <w:rsid w:val="00967028"/>
    <w:rsid w:val="0096734A"/>
    <w:rsid w:val="0096737B"/>
    <w:rsid w:val="0096751D"/>
    <w:rsid w:val="009677D6"/>
    <w:rsid w:val="00967E55"/>
    <w:rsid w:val="009703D4"/>
    <w:rsid w:val="00970C1A"/>
    <w:rsid w:val="00972250"/>
    <w:rsid w:val="00973FD5"/>
    <w:rsid w:val="00974064"/>
    <w:rsid w:val="0097465A"/>
    <w:rsid w:val="009748DC"/>
    <w:rsid w:val="009763F7"/>
    <w:rsid w:val="0098024F"/>
    <w:rsid w:val="009807AA"/>
    <w:rsid w:val="00981D96"/>
    <w:rsid w:val="00981DD8"/>
    <w:rsid w:val="00983CEA"/>
    <w:rsid w:val="009851A8"/>
    <w:rsid w:val="00985E2A"/>
    <w:rsid w:val="0098611D"/>
    <w:rsid w:val="00987183"/>
    <w:rsid w:val="009875D2"/>
    <w:rsid w:val="009908BE"/>
    <w:rsid w:val="009908D2"/>
    <w:rsid w:val="00991C9F"/>
    <w:rsid w:val="0099257B"/>
    <w:rsid w:val="009937A0"/>
    <w:rsid w:val="00994023"/>
    <w:rsid w:val="0099438A"/>
    <w:rsid w:val="0099544C"/>
    <w:rsid w:val="00996317"/>
    <w:rsid w:val="00996BA9"/>
    <w:rsid w:val="009975CF"/>
    <w:rsid w:val="009977D9"/>
    <w:rsid w:val="00997CA5"/>
    <w:rsid w:val="00997FFE"/>
    <w:rsid w:val="009A0383"/>
    <w:rsid w:val="009A2102"/>
    <w:rsid w:val="009A2B53"/>
    <w:rsid w:val="009A3445"/>
    <w:rsid w:val="009A429F"/>
    <w:rsid w:val="009A5750"/>
    <w:rsid w:val="009A5993"/>
    <w:rsid w:val="009A65FD"/>
    <w:rsid w:val="009A7801"/>
    <w:rsid w:val="009A7E9A"/>
    <w:rsid w:val="009B0347"/>
    <w:rsid w:val="009B23FF"/>
    <w:rsid w:val="009B2B28"/>
    <w:rsid w:val="009B429E"/>
    <w:rsid w:val="009B48A4"/>
    <w:rsid w:val="009B5100"/>
    <w:rsid w:val="009B5BAD"/>
    <w:rsid w:val="009B5E8F"/>
    <w:rsid w:val="009B62D6"/>
    <w:rsid w:val="009B6C6E"/>
    <w:rsid w:val="009B6CAA"/>
    <w:rsid w:val="009B6D3E"/>
    <w:rsid w:val="009B7298"/>
    <w:rsid w:val="009C23FD"/>
    <w:rsid w:val="009C352F"/>
    <w:rsid w:val="009C434C"/>
    <w:rsid w:val="009C6C91"/>
    <w:rsid w:val="009C7193"/>
    <w:rsid w:val="009C7BB3"/>
    <w:rsid w:val="009D09B2"/>
    <w:rsid w:val="009D0CCC"/>
    <w:rsid w:val="009D2714"/>
    <w:rsid w:val="009D40C6"/>
    <w:rsid w:val="009D5F3B"/>
    <w:rsid w:val="009D5F87"/>
    <w:rsid w:val="009E101F"/>
    <w:rsid w:val="009E1C8E"/>
    <w:rsid w:val="009E4113"/>
    <w:rsid w:val="009E4507"/>
    <w:rsid w:val="009E55F7"/>
    <w:rsid w:val="009E56ED"/>
    <w:rsid w:val="009E5906"/>
    <w:rsid w:val="009E67A2"/>
    <w:rsid w:val="009E6A0B"/>
    <w:rsid w:val="009E7929"/>
    <w:rsid w:val="009F19A5"/>
    <w:rsid w:val="009F2692"/>
    <w:rsid w:val="009F2F25"/>
    <w:rsid w:val="009F34A3"/>
    <w:rsid w:val="009F4C68"/>
    <w:rsid w:val="009F5673"/>
    <w:rsid w:val="009F6ABC"/>
    <w:rsid w:val="009F7809"/>
    <w:rsid w:val="00A0028F"/>
    <w:rsid w:val="00A00E1D"/>
    <w:rsid w:val="00A01FD6"/>
    <w:rsid w:val="00A037F2"/>
    <w:rsid w:val="00A0422D"/>
    <w:rsid w:val="00A047CF"/>
    <w:rsid w:val="00A04FFE"/>
    <w:rsid w:val="00A05005"/>
    <w:rsid w:val="00A0527B"/>
    <w:rsid w:val="00A055EA"/>
    <w:rsid w:val="00A06648"/>
    <w:rsid w:val="00A07912"/>
    <w:rsid w:val="00A07AE3"/>
    <w:rsid w:val="00A07EE9"/>
    <w:rsid w:val="00A07FF0"/>
    <w:rsid w:val="00A11537"/>
    <w:rsid w:val="00A11C0E"/>
    <w:rsid w:val="00A11DC6"/>
    <w:rsid w:val="00A14B7C"/>
    <w:rsid w:val="00A170C3"/>
    <w:rsid w:val="00A20340"/>
    <w:rsid w:val="00A20661"/>
    <w:rsid w:val="00A20966"/>
    <w:rsid w:val="00A2144A"/>
    <w:rsid w:val="00A2241D"/>
    <w:rsid w:val="00A22B3C"/>
    <w:rsid w:val="00A23283"/>
    <w:rsid w:val="00A26000"/>
    <w:rsid w:val="00A271F6"/>
    <w:rsid w:val="00A27BC7"/>
    <w:rsid w:val="00A30123"/>
    <w:rsid w:val="00A30960"/>
    <w:rsid w:val="00A30D8D"/>
    <w:rsid w:val="00A322BA"/>
    <w:rsid w:val="00A3252B"/>
    <w:rsid w:val="00A32570"/>
    <w:rsid w:val="00A3336B"/>
    <w:rsid w:val="00A33693"/>
    <w:rsid w:val="00A3388E"/>
    <w:rsid w:val="00A33D81"/>
    <w:rsid w:val="00A347C5"/>
    <w:rsid w:val="00A34CBE"/>
    <w:rsid w:val="00A35C1D"/>
    <w:rsid w:val="00A35E2D"/>
    <w:rsid w:val="00A36B5C"/>
    <w:rsid w:val="00A36F0F"/>
    <w:rsid w:val="00A37465"/>
    <w:rsid w:val="00A37D9B"/>
    <w:rsid w:val="00A41320"/>
    <w:rsid w:val="00A414F6"/>
    <w:rsid w:val="00A41B5E"/>
    <w:rsid w:val="00A43099"/>
    <w:rsid w:val="00A4471D"/>
    <w:rsid w:val="00A44D10"/>
    <w:rsid w:val="00A44E81"/>
    <w:rsid w:val="00A46E89"/>
    <w:rsid w:val="00A4752A"/>
    <w:rsid w:val="00A47E49"/>
    <w:rsid w:val="00A533BE"/>
    <w:rsid w:val="00A53BCE"/>
    <w:rsid w:val="00A53E00"/>
    <w:rsid w:val="00A54BE6"/>
    <w:rsid w:val="00A57223"/>
    <w:rsid w:val="00A60BA0"/>
    <w:rsid w:val="00A6125C"/>
    <w:rsid w:val="00A615B0"/>
    <w:rsid w:val="00A61BC5"/>
    <w:rsid w:val="00A61CED"/>
    <w:rsid w:val="00A63C5F"/>
    <w:rsid w:val="00A651F4"/>
    <w:rsid w:val="00A653A0"/>
    <w:rsid w:val="00A663D6"/>
    <w:rsid w:val="00A66511"/>
    <w:rsid w:val="00A7030A"/>
    <w:rsid w:val="00A70999"/>
    <w:rsid w:val="00A70A50"/>
    <w:rsid w:val="00A70AE2"/>
    <w:rsid w:val="00A7144F"/>
    <w:rsid w:val="00A71498"/>
    <w:rsid w:val="00A726DF"/>
    <w:rsid w:val="00A74017"/>
    <w:rsid w:val="00A74B50"/>
    <w:rsid w:val="00A775C2"/>
    <w:rsid w:val="00A809DA"/>
    <w:rsid w:val="00A81132"/>
    <w:rsid w:val="00A826EF"/>
    <w:rsid w:val="00A82CFA"/>
    <w:rsid w:val="00A84857"/>
    <w:rsid w:val="00A84BA4"/>
    <w:rsid w:val="00A85657"/>
    <w:rsid w:val="00A859D1"/>
    <w:rsid w:val="00A867B1"/>
    <w:rsid w:val="00A8720D"/>
    <w:rsid w:val="00A875CE"/>
    <w:rsid w:val="00A922FC"/>
    <w:rsid w:val="00A92903"/>
    <w:rsid w:val="00A93438"/>
    <w:rsid w:val="00A93DC1"/>
    <w:rsid w:val="00A940F9"/>
    <w:rsid w:val="00A95300"/>
    <w:rsid w:val="00A95987"/>
    <w:rsid w:val="00A95AFD"/>
    <w:rsid w:val="00A95EAE"/>
    <w:rsid w:val="00A95F29"/>
    <w:rsid w:val="00A965D7"/>
    <w:rsid w:val="00A966DE"/>
    <w:rsid w:val="00A96843"/>
    <w:rsid w:val="00A975A1"/>
    <w:rsid w:val="00A97EBF"/>
    <w:rsid w:val="00AA01CC"/>
    <w:rsid w:val="00AA080D"/>
    <w:rsid w:val="00AA0AF1"/>
    <w:rsid w:val="00AA11C0"/>
    <w:rsid w:val="00AA14A0"/>
    <w:rsid w:val="00AA19D3"/>
    <w:rsid w:val="00AA1AF2"/>
    <w:rsid w:val="00AA247E"/>
    <w:rsid w:val="00AA268C"/>
    <w:rsid w:val="00AA2F06"/>
    <w:rsid w:val="00AA30BB"/>
    <w:rsid w:val="00AA33CC"/>
    <w:rsid w:val="00AA4EE3"/>
    <w:rsid w:val="00AA531E"/>
    <w:rsid w:val="00AA5A50"/>
    <w:rsid w:val="00AA5EEF"/>
    <w:rsid w:val="00AA620B"/>
    <w:rsid w:val="00AA6780"/>
    <w:rsid w:val="00AA67EF"/>
    <w:rsid w:val="00AA73C9"/>
    <w:rsid w:val="00AA7B5D"/>
    <w:rsid w:val="00AB1093"/>
    <w:rsid w:val="00AB2F45"/>
    <w:rsid w:val="00AB365D"/>
    <w:rsid w:val="00AB5983"/>
    <w:rsid w:val="00AB5B42"/>
    <w:rsid w:val="00AB5FBF"/>
    <w:rsid w:val="00AB67CC"/>
    <w:rsid w:val="00AB7D8A"/>
    <w:rsid w:val="00AC0AFB"/>
    <w:rsid w:val="00AC0F27"/>
    <w:rsid w:val="00AC148E"/>
    <w:rsid w:val="00AC4295"/>
    <w:rsid w:val="00AC45F7"/>
    <w:rsid w:val="00AC49C4"/>
    <w:rsid w:val="00AC529B"/>
    <w:rsid w:val="00AC5C10"/>
    <w:rsid w:val="00AC754E"/>
    <w:rsid w:val="00AC7808"/>
    <w:rsid w:val="00AC7DA6"/>
    <w:rsid w:val="00AD095A"/>
    <w:rsid w:val="00AD3199"/>
    <w:rsid w:val="00AD4BF3"/>
    <w:rsid w:val="00AD52FF"/>
    <w:rsid w:val="00AD66AE"/>
    <w:rsid w:val="00AD7C65"/>
    <w:rsid w:val="00AD7F09"/>
    <w:rsid w:val="00AE08AC"/>
    <w:rsid w:val="00AE131F"/>
    <w:rsid w:val="00AE2687"/>
    <w:rsid w:val="00AE2851"/>
    <w:rsid w:val="00AE29C1"/>
    <w:rsid w:val="00AE5E9E"/>
    <w:rsid w:val="00AE7778"/>
    <w:rsid w:val="00AF075A"/>
    <w:rsid w:val="00AF0B05"/>
    <w:rsid w:val="00AF0DB0"/>
    <w:rsid w:val="00AF125F"/>
    <w:rsid w:val="00AF2E01"/>
    <w:rsid w:val="00AF3691"/>
    <w:rsid w:val="00AF3A40"/>
    <w:rsid w:val="00AF3F6B"/>
    <w:rsid w:val="00AF4B1D"/>
    <w:rsid w:val="00AF4F0E"/>
    <w:rsid w:val="00AF4F19"/>
    <w:rsid w:val="00AF5AAD"/>
    <w:rsid w:val="00AF6078"/>
    <w:rsid w:val="00AF755C"/>
    <w:rsid w:val="00B011E9"/>
    <w:rsid w:val="00B019C1"/>
    <w:rsid w:val="00B02126"/>
    <w:rsid w:val="00B0289F"/>
    <w:rsid w:val="00B02DC2"/>
    <w:rsid w:val="00B03193"/>
    <w:rsid w:val="00B0359E"/>
    <w:rsid w:val="00B04208"/>
    <w:rsid w:val="00B065C5"/>
    <w:rsid w:val="00B0690A"/>
    <w:rsid w:val="00B06F24"/>
    <w:rsid w:val="00B078F3"/>
    <w:rsid w:val="00B12720"/>
    <w:rsid w:val="00B1413C"/>
    <w:rsid w:val="00B14713"/>
    <w:rsid w:val="00B14B9D"/>
    <w:rsid w:val="00B157F4"/>
    <w:rsid w:val="00B16908"/>
    <w:rsid w:val="00B170CD"/>
    <w:rsid w:val="00B17761"/>
    <w:rsid w:val="00B17B9D"/>
    <w:rsid w:val="00B20D03"/>
    <w:rsid w:val="00B20D6C"/>
    <w:rsid w:val="00B21346"/>
    <w:rsid w:val="00B21400"/>
    <w:rsid w:val="00B22DA1"/>
    <w:rsid w:val="00B237C0"/>
    <w:rsid w:val="00B249C6"/>
    <w:rsid w:val="00B24F43"/>
    <w:rsid w:val="00B25666"/>
    <w:rsid w:val="00B26B4E"/>
    <w:rsid w:val="00B26CC9"/>
    <w:rsid w:val="00B30FDC"/>
    <w:rsid w:val="00B3111A"/>
    <w:rsid w:val="00B31890"/>
    <w:rsid w:val="00B321D7"/>
    <w:rsid w:val="00B325BC"/>
    <w:rsid w:val="00B34328"/>
    <w:rsid w:val="00B35B5C"/>
    <w:rsid w:val="00B377B8"/>
    <w:rsid w:val="00B410AB"/>
    <w:rsid w:val="00B415D4"/>
    <w:rsid w:val="00B436FF"/>
    <w:rsid w:val="00B43758"/>
    <w:rsid w:val="00B43D2E"/>
    <w:rsid w:val="00B43FD3"/>
    <w:rsid w:val="00B44498"/>
    <w:rsid w:val="00B447EF"/>
    <w:rsid w:val="00B450E5"/>
    <w:rsid w:val="00B46477"/>
    <w:rsid w:val="00B464F8"/>
    <w:rsid w:val="00B46789"/>
    <w:rsid w:val="00B46E7F"/>
    <w:rsid w:val="00B4751A"/>
    <w:rsid w:val="00B50439"/>
    <w:rsid w:val="00B50F93"/>
    <w:rsid w:val="00B5222A"/>
    <w:rsid w:val="00B54DCA"/>
    <w:rsid w:val="00B55690"/>
    <w:rsid w:val="00B55C77"/>
    <w:rsid w:val="00B5674D"/>
    <w:rsid w:val="00B57D8E"/>
    <w:rsid w:val="00B60981"/>
    <w:rsid w:val="00B6381A"/>
    <w:rsid w:val="00B655C3"/>
    <w:rsid w:val="00B6572B"/>
    <w:rsid w:val="00B65F3A"/>
    <w:rsid w:val="00B67821"/>
    <w:rsid w:val="00B67EEA"/>
    <w:rsid w:val="00B71400"/>
    <w:rsid w:val="00B7270E"/>
    <w:rsid w:val="00B73B95"/>
    <w:rsid w:val="00B741C1"/>
    <w:rsid w:val="00B75D95"/>
    <w:rsid w:val="00B769AA"/>
    <w:rsid w:val="00B77281"/>
    <w:rsid w:val="00B777DE"/>
    <w:rsid w:val="00B81D71"/>
    <w:rsid w:val="00B83065"/>
    <w:rsid w:val="00B83E29"/>
    <w:rsid w:val="00B86387"/>
    <w:rsid w:val="00B864B1"/>
    <w:rsid w:val="00B86E22"/>
    <w:rsid w:val="00B8791F"/>
    <w:rsid w:val="00B90B71"/>
    <w:rsid w:val="00B90C5F"/>
    <w:rsid w:val="00B92803"/>
    <w:rsid w:val="00B93018"/>
    <w:rsid w:val="00B9313C"/>
    <w:rsid w:val="00B94918"/>
    <w:rsid w:val="00B94D55"/>
    <w:rsid w:val="00B95FF8"/>
    <w:rsid w:val="00B96E5C"/>
    <w:rsid w:val="00B973F0"/>
    <w:rsid w:val="00B9751B"/>
    <w:rsid w:val="00BA0536"/>
    <w:rsid w:val="00BA127E"/>
    <w:rsid w:val="00BA12B8"/>
    <w:rsid w:val="00BA1E0A"/>
    <w:rsid w:val="00BA2153"/>
    <w:rsid w:val="00BA2385"/>
    <w:rsid w:val="00BA2BE7"/>
    <w:rsid w:val="00BA3DAB"/>
    <w:rsid w:val="00BA3F76"/>
    <w:rsid w:val="00BA4A6A"/>
    <w:rsid w:val="00BA6447"/>
    <w:rsid w:val="00BA7241"/>
    <w:rsid w:val="00BA750D"/>
    <w:rsid w:val="00BA756E"/>
    <w:rsid w:val="00BA77DA"/>
    <w:rsid w:val="00BB076B"/>
    <w:rsid w:val="00BB1371"/>
    <w:rsid w:val="00BB155D"/>
    <w:rsid w:val="00BB2AB1"/>
    <w:rsid w:val="00BB3AFB"/>
    <w:rsid w:val="00BB3E53"/>
    <w:rsid w:val="00BB7C56"/>
    <w:rsid w:val="00BC00D2"/>
    <w:rsid w:val="00BC0534"/>
    <w:rsid w:val="00BC05FB"/>
    <w:rsid w:val="00BC08C6"/>
    <w:rsid w:val="00BC0C7A"/>
    <w:rsid w:val="00BC0F3F"/>
    <w:rsid w:val="00BC1C9E"/>
    <w:rsid w:val="00BC1CCE"/>
    <w:rsid w:val="00BC1E2A"/>
    <w:rsid w:val="00BC3117"/>
    <w:rsid w:val="00BC35BB"/>
    <w:rsid w:val="00BC55FC"/>
    <w:rsid w:val="00BC5A52"/>
    <w:rsid w:val="00BC5EFD"/>
    <w:rsid w:val="00BC6FDA"/>
    <w:rsid w:val="00BC7948"/>
    <w:rsid w:val="00BC7CDE"/>
    <w:rsid w:val="00BD0E37"/>
    <w:rsid w:val="00BD276E"/>
    <w:rsid w:val="00BD3391"/>
    <w:rsid w:val="00BD3565"/>
    <w:rsid w:val="00BD38C7"/>
    <w:rsid w:val="00BD3C96"/>
    <w:rsid w:val="00BD3CFD"/>
    <w:rsid w:val="00BD3D6F"/>
    <w:rsid w:val="00BD590D"/>
    <w:rsid w:val="00BD5B49"/>
    <w:rsid w:val="00BD5B97"/>
    <w:rsid w:val="00BD657C"/>
    <w:rsid w:val="00BD662B"/>
    <w:rsid w:val="00BD76B9"/>
    <w:rsid w:val="00BD7F0C"/>
    <w:rsid w:val="00BE01FC"/>
    <w:rsid w:val="00BE0387"/>
    <w:rsid w:val="00BE042F"/>
    <w:rsid w:val="00BE140C"/>
    <w:rsid w:val="00BE1DBC"/>
    <w:rsid w:val="00BE1F2D"/>
    <w:rsid w:val="00BE2150"/>
    <w:rsid w:val="00BE2462"/>
    <w:rsid w:val="00BE397E"/>
    <w:rsid w:val="00BE3AC2"/>
    <w:rsid w:val="00BE3C7E"/>
    <w:rsid w:val="00BE4D08"/>
    <w:rsid w:val="00BE5851"/>
    <w:rsid w:val="00BE733B"/>
    <w:rsid w:val="00BE7D2E"/>
    <w:rsid w:val="00BF0B5D"/>
    <w:rsid w:val="00BF1351"/>
    <w:rsid w:val="00BF1CFA"/>
    <w:rsid w:val="00BF3C9C"/>
    <w:rsid w:val="00BF3F06"/>
    <w:rsid w:val="00BF4B62"/>
    <w:rsid w:val="00BF76D9"/>
    <w:rsid w:val="00BF7D2E"/>
    <w:rsid w:val="00C00345"/>
    <w:rsid w:val="00C01263"/>
    <w:rsid w:val="00C012FE"/>
    <w:rsid w:val="00C029F9"/>
    <w:rsid w:val="00C0393A"/>
    <w:rsid w:val="00C05643"/>
    <w:rsid w:val="00C0573F"/>
    <w:rsid w:val="00C05B4F"/>
    <w:rsid w:val="00C05CCB"/>
    <w:rsid w:val="00C05F35"/>
    <w:rsid w:val="00C06338"/>
    <w:rsid w:val="00C076F4"/>
    <w:rsid w:val="00C07A12"/>
    <w:rsid w:val="00C07B4C"/>
    <w:rsid w:val="00C07EBB"/>
    <w:rsid w:val="00C103DF"/>
    <w:rsid w:val="00C1244B"/>
    <w:rsid w:val="00C12E18"/>
    <w:rsid w:val="00C134D9"/>
    <w:rsid w:val="00C13959"/>
    <w:rsid w:val="00C176C3"/>
    <w:rsid w:val="00C17A1F"/>
    <w:rsid w:val="00C17EE2"/>
    <w:rsid w:val="00C20A55"/>
    <w:rsid w:val="00C21E2C"/>
    <w:rsid w:val="00C23013"/>
    <w:rsid w:val="00C23189"/>
    <w:rsid w:val="00C233B3"/>
    <w:rsid w:val="00C23BCF"/>
    <w:rsid w:val="00C24148"/>
    <w:rsid w:val="00C26EC8"/>
    <w:rsid w:val="00C2710B"/>
    <w:rsid w:val="00C3135E"/>
    <w:rsid w:val="00C32B8C"/>
    <w:rsid w:val="00C33421"/>
    <w:rsid w:val="00C3368F"/>
    <w:rsid w:val="00C34279"/>
    <w:rsid w:val="00C3433E"/>
    <w:rsid w:val="00C344D2"/>
    <w:rsid w:val="00C34994"/>
    <w:rsid w:val="00C352F4"/>
    <w:rsid w:val="00C35E75"/>
    <w:rsid w:val="00C36320"/>
    <w:rsid w:val="00C365B4"/>
    <w:rsid w:val="00C37266"/>
    <w:rsid w:val="00C3773D"/>
    <w:rsid w:val="00C37C76"/>
    <w:rsid w:val="00C401A8"/>
    <w:rsid w:val="00C40A44"/>
    <w:rsid w:val="00C41D88"/>
    <w:rsid w:val="00C41E12"/>
    <w:rsid w:val="00C4232E"/>
    <w:rsid w:val="00C42DE8"/>
    <w:rsid w:val="00C44E7E"/>
    <w:rsid w:val="00C4541C"/>
    <w:rsid w:val="00C45D60"/>
    <w:rsid w:val="00C51586"/>
    <w:rsid w:val="00C52640"/>
    <w:rsid w:val="00C52747"/>
    <w:rsid w:val="00C532BD"/>
    <w:rsid w:val="00C53A5E"/>
    <w:rsid w:val="00C53DED"/>
    <w:rsid w:val="00C54427"/>
    <w:rsid w:val="00C54D6B"/>
    <w:rsid w:val="00C55829"/>
    <w:rsid w:val="00C5597E"/>
    <w:rsid w:val="00C57159"/>
    <w:rsid w:val="00C610B1"/>
    <w:rsid w:val="00C61129"/>
    <w:rsid w:val="00C624A8"/>
    <w:rsid w:val="00C64223"/>
    <w:rsid w:val="00C647F7"/>
    <w:rsid w:val="00C64FDE"/>
    <w:rsid w:val="00C6584A"/>
    <w:rsid w:val="00C6672D"/>
    <w:rsid w:val="00C66902"/>
    <w:rsid w:val="00C67CF5"/>
    <w:rsid w:val="00C70F78"/>
    <w:rsid w:val="00C71B3A"/>
    <w:rsid w:val="00C72743"/>
    <w:rsid w:val="00C732A5"/>
    <w:rsid w:val="00C73B9E"/>
    <w:rsid w:val="00C7472D"/>
    <w:rsid w:val="00C7507E"/>
    <w:rsid w:val="00C75460"/>
    <w:rsid w:val="00C75B56"/>
    <w:rsid w:val="00C77B6E"/>
    <w:rsid w:val="00C81DC5"/>
    <w:rsid w:val="00C81F26"/>
    <w:rsid w:val="00C829B1"/>
    <w:rsid w:val="00C835E4"/>
    <w:rsid w:val="00C83DE3"/>
    <w:rsid w:val="00C84212"/>
    <w:rsid w:val="00C8494C"/>
    <w:rsid w:val="00C84BD3"/>
    <w:rsid w:val="00C84C19"/>
    <w:rsid w:val="00C851B7"/>
    <w:rsid w:val="00C85E84"/>
    <w:rsid w:val="00C86B1A"/>
    <w:rsid w:val="00C86F1B"/>
    <w:rsid w:val="00C87E41"/>
    <w:rsid w:val="00C9018D"/>
    <w:rsid w:val="00C91A91"/>
    <w:rsid w:val="00C92D16"/>
    <w:rsid w:val="00C93D60"/>
    <w:rsid w:val="00C94B71"/>
    <w:rsid w:val="00C9677E"/>
    <w:rsid w:val="00C973CA"/>
    <w:rsid w:val="00C97C18"/>
    <w:rsid w:val="00C97F23"/>
    <w:rsid w:val="00CA0D74"/>
    <w:rsid w:val="00CA1386"/>
    <w:rsid w:val="00CA159F"/>
    <w:rsid w:val="00CA1D77"/>
    <w:rsid w:val="00CA263B"/>
    <w:rsid w:val="00CA5DEA"/>
    <w:rsid w:val="00CA67CE"/>
    <w:rsid w:val="00CA6E8F"/>
    <w:rsid w:val="00CA7D42"/>
    <w:rsid w:val="00CB0582"/>
    <w:rsid w:val="00CB05E5"/>
    <w:rsid w:val="00CB0D0B"/>
    <w:rsid w:val="00CB156F"/>
    <w:rsid w:val="00CB1A46"/>
    <w:rsid w:val="00CB3465"/>
    <w:rsid w:val="00CB3740"/>
    <w:rsid w:val="00CB4212"/>
    <w:rsid w:val="00CB42F0"/>
    <w:rsid w:val="00CB51CA"/>
    <w:rsid w:val="00CB6CE5"/>
    <w:rsid w:val="00CB7202"/>
    <w:rsid w:val="00CC2C40"/>
    <w:rsid w:val="00CC2CD5"/>
    <w:rsid w:val="00CC399C"/>
    <w:rsid w:val="00CC4121"/>
    <w:rsid w:val="00CC4C08"/>
    <w:rsid w:val="00CC5EF3"/>
    <w:rsid w:val="00CC6508"/>
    <w:rsid w:val="00CC662A"/>
    <w:rsid w:val="00CC7273"/>
    <w:rsid w:val="00CC7DC6"/>
    <w:rsid w:val="00CC7EC5"/>
    <w:rsid w:val="00CD070B"/>
    <w:rsid w:val="00CD087A"/>
    <w:rsid w:val="00CD0CEB"/>
    <w:rsid w:val="00CD1CB1"/>
    <w:rsid w:val="00CD1E07"/>
    <w:rsid w:val="00CD35FD"/>
    <w:rsid w:val="00CD3A02"/>
    <w:rsid w:val="00CD3F03"/>
    <w:rsid w:val="00CD40A1"/>
    <w:rsid w:val="00CD550D"/>
    <w:rsid w:val="00CD5BDF"/>
    <w:rsid w:val="00CD5CE2"/>
    <w:rsid w:val="00CD6367"/>
    <w:rsid w:val="00CD6CA8"/>
    <w:rsid w:val="00CD6F54"/>
    <w:rsid w:val="00CE16E2"/>
    <w:rsid w:val="00CE26A8"/>
    <w:rsid w:val="00CE327B"/>
    <w:rsid w:val="00CE3545"/>
    <w:rsid w:val="00CE3E1E"/>
    <w:rsid w:val="00CE3FA8"/>
    <w:rsid w:val="00CE41FE"/>
    <w:rsid w:val="00CE5BE6"/>
    <w:rsid w:val="00CE5E27"/>
    <w:rsid w:val="00CE600D"/>
    <w:rsid w:val="00CE6A35"/>
    <w:rsid w:val="00CE6AC1"/>
    <w:rsid w:val="00CE7517"/>
    <w:rsid w:val="00CE7733"/>
    <w:rsid w:val="00CF0BB2"/>
    <w:rsid w:val="00CF108E"/>
    <w:rsid w:val="00CF2A24"/>
    <w:rsid w:val="00CF2B64"/>
    <w:rsid w:val="00CF36CF"/>
    <w:rsid w:val="00CF4059"/>
    <w:rsid w:val="00CF4459"/>
    <w:rsid w:val="00CF542D"/>
    <w:rsid w:val="00CF5689"/>
    <w:rsid w:val="00CF65D2"/>
    <w:rsid w:val="00CF65E6"/>
    <w:rsid w:val="00CF6AEA"/>
    <w:rsid w:val="00CF7A93"/>
    <w:rsid w:val="00D00DE9"/>
    <w:rsid w:val="00D01276"/>
    <w:rsid w:val="00D039CA"/>
    <w:rsid w:val="00D03B6F"/>
    <w:rsid w:val="00D03D74"/>
    <w:rsid w:val="00D04118"/>
    <w:rsid w:val="00D0532F"/>
    <w:rsid w:val="00D06D42"/>
    <w:rsid w:val="00D07EFF"/>
    <w:rsid w:val="00D10077"/>
    <w:rsid w:val="00D100C0"/>
    <w:rsid w:val="00D109B6"/>
    <w:rsid w:val="00D11466"/>
    <w:rsid w:val="00D11526"/>
    <w:rsid w:val="00D134C3"/>
    <w:rsid w:val="00D136C5"/>
    <w:rsid w:val="00D1385C"/>
    <w:rsid w:val="00D13A32"/>
    <w:rsid w:val="00D13E2A"/>
    <w:rsid w:val="00D1435A"/>
    <w:rsid w:val="00D14ED4"/>
    <w:rsid w:val="00D15B0B"/>
    <w:rsid w:val="00D16AC2"/>
    <w:rsid w:val="00D17F41"/>
    <w:rsid w:val="00D20BC6"/>
    <w:rsid w:val="00D224C0"/>
    <w:rsid w:val="00D235C6"/>
    <w:rsid w:val="00D23A4E"/>
    <w:rsid w:val="00D23B6E"/>
    <w:rsid w:val="00D24653"/>
    <w:rsid w:val="00D24964"/>
    <w:rsid w:val="00D25C49"/>
    <w:rsid w:val="00D27EB1"/>
    <w:rsid w:val="00D30194"/>
    <w:rsid w:val="00D30A5E"/>
    <w:rsid w:val="00D32DE1"/>
    <w:rsid w:val="00D33749"/>
    <w:rsid w:val="00D34C5E"/>
    <w:rsid w:val="00D34C77"/>
    <w:rsid w:val="00D35022"/>
    <w:rsid w:val="00D35407"/>
    <w:rsid w:val="00D3571C"/>
    <w:rsid w:val="00D3657B"/>
    <w:rsid w:val="00D3722D"/>
    <w:rsid w:val="00D37485"/>
    <w:rsid w:val="00D411BC"/>
    <w:rsid w:val="00D41A00"/>
    <w:rsid w:val="00D4357E"/>
    <w:rsid w:val="00D437CF"/>
    <w:rsid w:val="00D4431D"/>
    <w:rsid w:val="00D454C7"/>
    <w:rsid w:val="00D46753"/>
    <w:rsid w:val="00D46DA6"/>
    <w:rsid w:val="00D47014"/>
    <w:rsid w:val="00D50164"/>
    <w:rsid w:val="00D5127B"/>
    <w:rsid w:val="00D51683"/>
    <w:rsid w:val="00D51786"/>
    <w:rsid w:val="00D52182"/>
    <w:rsid w:val="00D53491"/>
    <w:rsid w:val="00D538BB"/>
    <w:rsid w:val="00D54A27"/>
    <w:rsid w:val="00D568E5"/>
    <w:rsid w:val="00D5721A"/>
    <w:rsid w:val="00D575FE"/>
    <w:rsid w:val="00D57AEF"/>
    <w:rsid w:val="00D57E4A"/>
    <w:rsid w:val="00D61382"/>
    <w:rsid w:val="00D613DD"/>
    <w:rsid w:val="00D62310"/>
    <w:rsid w:val="00D62C00"/>
    <w:rsid w:val="00D6330E"/>
    <w:rsid w:val="00D63E81"/>
    <w:rsid w:val="00D63FF7"/>
    <w:rsid w:val="00D64417"/>
    <w:rsid w:val="00D64D74"/>
    <w:rsid w:val="00D658EB"/>
    <w:rsid w:val="00D66115"/>
    <w:rsid w:val="00D66126"/>
    <w:rsid w:val="00D66649"/>
    <w:rsid w:val="00D66A3D"/>
    <w:rsid w:val="00D66A56"/>
    <w:rsid w:val="00D66E78"/>
    <w:rsid w:val="00D7052F"/>
    <w:rsid w:val="00D70DB5"/>
    <w:rsid w:val="00D70FA4"/>
    <w:rsid w:val="00D73113"/>
    <w:rsid w:val="00D73A98"/>
    <w:rsid w:val="00D74224"/>
    <w:rsid w:val="00D74611"/>
    <w:rsid w:val="00D7588F"/>
    <w:rsid w:val="00D75B1C"/>
    <w:rsid w:val="00D777C1"/>
    <w:rsid w:val="00D8155B"/>
    <w:rsid w:val="00D81A89"/>
    <w:rsid w:val="00D8246A"/>
    <w:rsid w:val="00D82613"/>
    <w:rsid w:val="00D83702"/>
    <w:rsid w:val="00D8391B"/>
    <w:rsid w:val="00D83CC5"/>
    <w:rsid w:val="00D84610"/>
    <w:rsid w:val="00D84D67"/>
    <w:rsid w:val="00D861BC"/>
    <w:rsid w:val="00D87064"/>
    <w:rsid w:val="00D877D4"/>
    <w:rsid w:val="00D87C8D"/>
    <w:rsid w:val="00D87E67"/>
    <w:rsid w:val="00D90AC5"/>
    <w:rsid w:val="00D91D85"/>
    <w:rsid w:val="00D91E6A"/>
    <w:rsid w:val="00D91EB5"/>
    <w:rsid w:val="00D92648"/>
    <w:rsid w:val="00D93864"/>
    <w:rsid w:val="00D93CA8"/>
    <w:rsid w:val="00D94406"/>
    <w:rsid w:val="00D949FA"/>
    <w:rsid w:val="00D959E0"/>
    <w:rsid w:val="00DA264B"/>
    <w:rsid w:val="00DA32D1"/>
    <w:rsid w:val="00DA34D3"/>
    <w:rsid w:val="00DA4156"/>
    <w:rsid w:val="00DA5B93"/>
    <w:rsid w:val="00DA5BE8"/>
    <w:rsid w:val="00DA5C4F"/>
    <w:rsid w:val="00DA6073"/>
    <w:rsid w:val="00DA676C"/>
    <w:rsid w:val="00DA677D"/>
    <w:rsid w:val="00DA6A82"/>
    <w:rsid w:val="00DB03CF"/>
    <w:rsid w:val="00DB3719"/>
    <w:rsid w:val="00DB4275"/>
    <w:rsid w:val="00DB5C65"/>
    <w:rsid w:val="00DB7F8F"/>
    <w:rsid w:val="00DC087F"/>
    <w:rsid w:val="00DC0A64"/>
    <w:rsid w:val="00DC0F0C"/>
    <w:rsid w:val="00DC1273"/>
    <w:rsid w:val="00DC1474"/>
    <w:rsid w:val="00DC18E8"/>
    <w:rsid w:val="00DC2657"/>
    <w:rsid w:val="00DC2B79"/>
    <w:rsid w:val="00DC4131"/>
    <w:rsid w:val="00DC4B86"/>
    <w:rsid w:val="00DC4D82"/>
    <w:rsid w:val="00DC5460"/>
    <w:rsid w:val="00DC582E"/>
    <w:rsid w:val="00DC6BB1"/>
    <w:rsid w:val="00DC7B37"/>
    <w:rsid w:val="00DD218D"/>
    <w:rsid w:val="00DD2AFB"/>
    <w:rsid w:val="00DD3539"/>
    <w:rsid w:val="00DD35CF"/>
    <w:rsid w:val="00DD7878"/>
    <w:rsid w:val="00DD7FF5"/>
    <w:rsid w:val="00DE08E4"/>
    <w:rsid w:val="00DE0B47"/>
    <w:rsid w:val="00DE0DAD"/>
    <w:rsid w:val="00DE0DC2"/>
    <w:rsid w:val="00DE11F0"/>
    <w:rsid w:val="00DE140B"/>
    <w:rsid w:val="00DE1557"/>
    <w:rsid w:val="00DE15EE"/>
    <w:rsid w:val="00DE1CFC"/>
    <w:rsid w:val="00DE1EA9"/>
    <w:rsid w:val="00DE2381"/>
    <w:rsid w:val="00DE2F97"/>
    <w:rsid w:val="00DE3329"/>
    <w:rsid w:val="00DE339C"/>
    <w:rsid w:val="00DE4635"/>
    <w:rsid w:val="00DE463D"/>
    <w:rsid w:val="00DE4798"/>
    <w:rsid w:val="00DE4E3B"/>
    <w:rsid w:val="00DE513A"/>
    <w:rsid w:val="00DE5A0A"/>
    <w:rsid w:val="00DE6863"/>
    <w:rsid w:val="00DE763B"/>
    <w:rsid w:val="00DE7CD8"/>
    <w:rsid w:val="00DF0C6B"/>
    <w:rsid w:val="00DF1913"/>
    <w:rsid w:val="00DF1969"/>
    <w:rsid w:val="00DF1D45"/>
    <w:rsid w:val="00DF1F4E"/>
    <w:rsid w:val="00DF6045"/>
    <w:rsid w:val="00DF6A9B"/>
    <w:rsid w:val="00E01C5E"/>
    <w:rsid w:val="00E02459"/>
    <w:rsid w:val="00E02A0F"/>
    <w:rsid w:val="00E03FFD"/>
    <w:rsid w:val="00E0593F"/>
    <w:rsid w:val="00E0612B"/>
    <w:rsid w:val="00E07941"/>
    <w:rsid w:val="00E106C6"/>
    <w:rsid w:val="00E109B0"/>
    <w:rsid w:val="00E10B8A"/>
    <w:rsid w:val="00E10D4F"/>
    <w:rsid w:val="00E118B7"/>
    <w:rsid w:val="00E13390"/>
    <w:rsid w:val="00E13564"/>
    <w:rsid w:val="00E136C2"/>
    <w:rsid w:val="00E137AC"/>
    <w:rsid w:val="00E13D61"/>
    <w:rsid w:val="00E150E0"/>
    <w:rsid w:val="00E202CD"/>
    <w:rsid w:val="00E20615"/>
    <w:rsid w:val="00E20F08"/>
    <w:rsid w:val="00E21526"/>
    <w:rsid w:val="00E21B6D"/>
    <w:rsid w:val="00E21FE0"/>
    <w:rsid w:val="00E22389"/>
    <w:rsid w:val="00E22485"/>
    <w:rsid w:val="00E2339D"/>
    <w:rsid w:val="00E240B7"/>
    <w:rsid w:val="00E24A97"/>
    <w:rsid w:val="00E2558D"/>
    <w:rsid w:val="00E25A5D"/>
    <w:rsid w:val="00E26161"/>
    <w:rsid w:val="00E26763"/>
    <w:rsid w:val="00E26B8E"/>
    <w:rsid w:val="00E278E0"/>
    <w:rsid w:val="00E300D9"/>
    <w:rsid w:val="00E3011B"/>
    <w:rsid w:val="00E30666"/>
    <w:rsid w:val="00E310C4"/>
    <w:rsid w:val="00E32311"/>
    <w:rsid w:val="00E33A14"/>
    <w:rsid w:val="00E33A6C"/>
    <w:rsid w:val="00E345CB"/>
    <w:rsid w:val="00E34D08"/>
    <w:rsid w:val="00E3509E"/>
    <w:rsid w:val="00E35495"/>
    <w:rsid w:val="00E35827"/>
    <w:rsid w:val="00E35CDD"/>
    <w:rsid w:val="00E3630E"/>
    <w:rsid w:val="00E414CE"/>
    <w:rsid w:val="00E44C72"/>
    <w:rsid w:val="00E466B2"/>
    <w:rsid w:val="00E504A8"/>
    <w:rsid w:val="00E504F1"/>
    <w:rsid w:val="00E51688"/>
    <w:rsid w:val="00E5179C"/>
    <w:rsid w:val="00E5191E"/>
    <w:rsid w:val="00E52443"/>
    <w:rsid w:val="00E527B6"/>
    <w:rsid w:val="00E52EFC"/>
    <w:rsid w:val="00E53204"/>
    <w:rsid w:val="00E53737"/>
    <w:rsid w:val="00E53F33"/>
    <w:rsid w:val="00E545FF"/>
    <w:rsid w:val="00E54751"/>
    <w:rsid w:val="00E555AD"/>
    <w:rsid w:val="00E555F2"/>
    <w:rsid w:val="00E5584F"/>
    <w:rsid w:val="00E558AF"/>
    <w:rsid w:val="00E564DF"/>
    <w:rsid w:val="00E57B6A"/>
    <w:rsid w:val="00E60CC7"/>
    <w:rsid w:val="00E61202"/>
    <w:rsid w:val="00E615CA"/>
    <w:rsid w:val="00E61ED8"/>
    <w:rsid w:val="00E64220"/>
    <w:rsid w:val="00E64534"/>
    <w:rsid w:val="00E64805"/>
    <w:rsid w:val="00E649EE"/>
    <w:rsid w:val="00E65AE7"/>
    <w:rsid w:val="00E65BF0"/>
    <w:rsid w:val="00E7037A"/>
    <w:rsid w:val="00E707B8"/>
    <w:rsid w:val="00E70823"/>
    <w:rsid w:val="00E7259A"/>
    <w:rsid w:val="00E727B9"/>
    <w:rsid w:val="00E72DF0"/>
    <w:rsid w:val="00E74953"/>
    <w:rsid w:val="00E75F1C"/>
    <w:rsid w:val="00E779B1"/>
    <w:rsid w:val="00E8017D"/>
    <w:rsid w:val="00E811AE"/>
    <w:rsid w:val="00E8256A"/>
    <w:rsid w:val="00E82BF8"/>
    <w:rsid w:val="00E83468"/>
    <w:rsid w:val="00E839AA"/>
    <w:rsid w:val="00E84272"/>
    <w:rsid w:val="00E844DE"/>
    <w:rsid w:val="00E8469D"/>
    <w:rsid w:val="00E847B1"/>
    <w:rsid w:val="00E85B41"/>
    <w:rsid w:val="00E86C7E"/>
    <w:rsid w:val="00E8726F"/>
    <w:rsid w:val="00E90A71"/>
    <w:rsid w:val="00E91487"/>
    <w:rsid w:val="00E93411"/>
    <w:rsid w:val="00E946C9"/>
    <w:rsid w:val="00E94C41"/>
    <w:rsid w:val="00E94DC3"/>
    <w:rsid w:val="00E95ABC"/>
    <w:rsid w:val="00E95F4A"/>
    <w:rsid w:val="00E9678D"/>
    <w:rsid w:val="00E96ABF"/>
    <w:rsid w:val="00E96BD9"/>
    <w:rsid w:val="00E97D6A"/>
    <w:rsid w:val="00E97EAE"/>
    <w:rsid w:val="00EA22A8"/>
    <w:rsid w:val="00EA3737"/>
    <w:rsid w:val="00EA38A4"/>
    <w:rsid w:val="00EA4482"/>
    <w:rsid w:val="00EA4E26"/>
    <w:rsid w:val="00EA52D2"/>
    <w:rsid w:val="00EA67C7"/>
    <w:rsid w:val="00EB1DBF"/>
    <w:rsid w:val="00EB2833"/>
    <w:rsid w:val="00EB34F6"/>
    <w:rsid w:val="00EB3538"/>
    <w:rsid w:val="00EB3E54"/>
    <w:rsid w:val="00EB4214"/>
    <w:rsid w:val="00EB4343"/>
    <w:rsid w:val="00EB4B81"/>
    <w:rsid w:val="00EB5D94"/>
    <w:rsid w:val="00EB6334"/>
    <w:rsid w:val="00EB6E0E"/>
    <w:rsid w:val="00EC01B9"/>
    <w:rsid w:val="00EC196F"/>
    <w:rsid w:val="00EC1B86"/>
    <w:rsid w:val="00EC2148"/>
    <w:rsid w:val="00EC4274"/>
    <w:rsid w:val="00EC5E40"/>
    <w:rsid w:val="00EC6FE6"/>
    <w:rsid w:val="00ED049D"/>
    <w:rsid w:val="00ED0F10"/>
    <w:rsid w:val="00ED369E"/>
    <w:rsid w:val="00ED3F68"/>
    <w:rsid w:val="00ED411C"/>
    <w:rsid w:val="00ED4226"/>
    <w:rsid w:val="00ED4365"/>
    <w:rsid w:val="00ED4B74"/>
    <w:rsid w:val="00ED5E49"/>
    <w:rsid w:val="00ED7CB0"/>
    <w:rsid w:val="00EE02C8"/>
    <w:rsid w:val="00EE171A"/>
    <w:rsid w:val="00EE241A"/>
    <w:rsid w:val="00EE2566"/>
    <w:rsid w:val="00EE2A7C"/>
    <w:rsid w:val="00EE2DC4"/>
    <w:rsid w:val="00EE384B"/>
    <w:rsid w:val="00EE4279"/>
    <w:rsid w:val="00EE4A0C"/>
    <w:rsid w:val="00EE50DB"/>
    <w:rsid w:val="00EE5931"/>
    <w:rsid w:val="00EE5939"/>
    <w:rsid w:val="00EE5D60"/>
    <w:rsid w:val="00EE6004"/>
    <w:rsid w:val="00EE6444"/>
    <w:rsid w:val="00EE6B6D"/>
    <w:rsid w:val="00EE7257"/>
    <w:rsid w:val="00EE7990"/>
    <w:rsid w:val="00EF0713"/>
    <w:rsid w:val="00EF0BB5"/>
    <w:rsid w:val="00EF0C59"/>
    <w:rsid w:val="00EF18CC"/>
    <w:rsid w:val="00EF3D7A"/>
    <w:rsid w:val="00EF3ED6"/>
    <w:rsid w:val="00EF3FBC"/>
    <w:rsid w:val="00EF42C4"/>
    <w:rsid w:val="00EF5235"/>
    <w:rsid w:val="00EF52AB"/>
    <w:rsid w:val="00EF52C6"/>
    <w:rsid w:val="00EF5C31"/>
    <w:rsid w:val="00EF5FDC"/>
    <w:rsid w:val="00EF6418"/>
    <w:rsid w:val="00EF6A3C"/>
    <w:rsid w:val="00EF6C45"/>
    <w:rsid w:val="00EF752A"/>
    <w:rsid w:val="00F01667"/>
    <w:rsid w:val="00F01988"/>
    <w:rsid w:val="00F01EB1"/>
    <w:rsid w:val="00F02283"/>
    <w:rsid w:val="00F03458"/>
    <w:rsid w:val="00F03B2E"/>
    <w:rsid w:val="00F04FC6"/>
    <w:rsid w:val="00F05298"/>
    <w:rsid w:val="00F05591"/>
    <w:rsid w:val="00F060AE"/>
    <w:rsid w:val="00F06770"/>
    <w:rsid w:val="00F07313"/>
    <w:rsid w:val="00F0760A"/>
    <w:rsid w:val="00F102E0"/>
    <w:rsid w:val="00F105C3"/>
    <w:rsid w:val="00F106E7"/>
    <w:rsid w:val="00F10EA2"/>
    <w:rsid w:val="00F11865"/>
    <w:rsid w:val="00F11F63"/>
    <w:rsid w:val="00F12BD4"/>
    <w:rsid w:val="00F1391E"/>
    <w:rsid w:val="00F13FF9"/>
    <w:rsid w:val="00F15876"/>
    <w:rsid w:val="00F15916"/>
    <w:rsid w:val="00F20957"/>
    <w:rsid w:val="00F20F76"/>
    <w:rsid w:val="00F21167"/>
    <w:rsid w:val="00F22DB3"/>
    <w:rsid w:val="00F23A80"/>
    <w:rsid w:val="00F23E6E"/>
    <w:rsid w:val="00F24429"/>
    <w:rsid w:val="00F24887"/>
    <w:rsid w:val="00F2537A"/>
    <w:rsid w:val="00F30116"/>
    <w:rsid w:val="00F301C4"/>
    <w:rsid w:val="00F33256"/>
    <w:rsid w:val="00F3425C"/>
    <w:rsid w:val="00F34C8F"/>
    <w:rsid w:val="00F35D13"/>
    <w:rsid w:val="00F37400"/>
    <w:rsid w:val="00F408C5"/>
    <w:rsid w:val="00F40BAA"/>
    <w:rsid w:val="00F42623"/>
    <w:rsid w:val="00F4277B"/>
    <w:rsid w:val="00F44ADE"/>
    <w:rsid w:val="00F45581"/>
    <w:rsid w:val="00F4682F"/>
    <w:rsid w:val="00F478F3"/>
    <w:rsid w:val="00F505F7"/>
    <w:rsid w:val="00F5090D"/>
    <w:rsid w:val="00F50C67"/>
    <w:rsid w:val="00F51699"/>
    <w:rsid w:val="00F51793"/>
    <w:rsid w:val="00F51E37"/>
    <w:rsid w:val="00F524E0"/>
    <w:rsid w:val="00F53251"/>
    <w:rsid w:val="00F53B06"/>
    <w:rsid w:val="00F541CA"/>
    <w:rsid w:val="00F54A35"/>
    <w:rsid w:val="00F54DC2"/>
    <w:rsid w:val="00F56434"/>
    <w:rsid w:val="00F5647A"/>
    <w:rsid w:val="00F5650B"/>
    <w:rsid w:val="00F56DB3"/>
    <w:rsid w:val="00F576E5"/>
    <w:rsid w:val="00F57EFD"/>
    <w:rsid w:val="00F62739"/>
    <w:rsid w:val="00F629AF"/>
    <w:rsid w:val="00F630BF"/>
    <w:rsid w:val="00F630D0"/>
    <w:rsid w:val="00F6391B"/>
    <w:rsid w:val="00F641FF"/>
    <w:rsid w:val="00F653C4"/>
    <w:rsid w:val="00F6576F"/>
    <w:rsid w:val="00F7066B"/>
    <w:rsid w:val="00F707FA"/>
    <w:rsid w:val="00F7151D"/>
    <w:rsid w:val="00F71EF0"/>
    <w:rsid w:val="00F72B90"/>
    <w:rsid w:val="00F73C88"/>
    <w:rsid w:val="00F741F4"/>
    <w:rsid w:val="00F74708"/>
    <w:rsid w:val="00F74930"/>
    <w:rsid w:val="00F749BA"/>
    <w:rsid w:val="00F74DB4"/>
    <w:rsid w:val="00F757D7"/>
    <w:rsid w:val="00F76EDE"/>
    <w:rsid w:val="00F76FAB"/>
    <w:rsid w:val="00F803FE"/>
    <w:rsid w:val="00F807B2"/>
    <w:rsid w:val="00F81364"/>
    <w:rsid w:val="00F824A6"/>
    <w:rsid w:val="00F828B8"/>
    <w:rsid w:val="00F83F87"/>
    <w:rsid w:val="00F85039"/>
    <w:rsid w:val="00F8508F"/>
    <w:rsid w:val="00F86799"/>
    <w:rsid w:val="00F87862"/>
    <w:rsid w:val="00F9044C"/>
    <w:rsid w:val="00F9104A"/>
    <w:rsid w:val="00F91FB8"/>
    <w:rsid w:val="00F920E9"/>
    <w:rsid w:val="00F93EB8"/>
    <w:rsid w:val="00F96A8B"/>
    <w:rsid w:val="00F96DCE"/>
    <w:rsid w:val="00FA164D"/>
    <w:rsid w:val="00FA2CC0"/>
    <w:rsid w:val="00FA2DDA"/>
    <w:rsid w:val="00FA2ED3"/>
    <w:rsid w:val="00FA304C"/>
    <w:rsid w:val="00FA4327"/>
    <w:rsid w:val="00FA6D3D"/>
    <w:rsid w:val="00FB08A7"/>
    <w:rsid w:val="00FB2A46"/>
    <w:rsid w:val="00FB2BAB"/>
    <w:rsid w:val="00FB3E95"/>
    <w:rsid w:val="00FB55A6"/>
    <w:rsid w:val="00FB6CA1"/>
    <w:rsid w:val="00FB6FBB"/>
    <w:rsid w:val="00FB7501"/>
    <w:rsid w:val="00FC159E"/>
    <w:rsid w:val="00FC2487"/>
    <w:rsid w:val="00FC44D4"/>
    <w:rsid w:val="00FC4502"/>
    <w:rsid w:val="00FC59EC"/>
    <w:rsid w:val="00FC5F45"/>
    <w:rsid w:val="00FC69C9"/>
    <w:rsid w:val="00FC7A42"/>
    <w:rsid w:val="00FC7AAD"/>
    <w:rsid w:val="00FC7B48"/>
    <w:rsid w:val="00FC7CEE"/>
    <w:rsid w:val="00FD0167"/>
    <w:rsid w:val="00FD0B61"/>
    <w:rsid w:val="00FD115B"/>
    <w:rsid w:val="00FD14A0"/>
    <w:rsid w:val="00FD28E7"/>
    <w:rsid w:val="00FD31FE"/>
    <w:rsid w:val="00FD3A0C"/>
    <w:rsid w:val="00FD3ACC"/>
    <w:rsid w:val="00FD3BCC"/>
    <w:rsid w:val="00FD472B"/>
    <w:rsid w:val="00FD499C"/>
    <w:rsid w:val="00FD5257"/>
    <w:rsid w:val="00FD5262"/>
    <w:rsid w:val="00FD5655"/>
    <w:rsid w:val="00FD5E89"/>
    <w:rsid w:val="00FD6F0F"/>
    <w:rsid w:val="00FD774E"/>
    <w:rsid w:val="00FE0590"/>
    <w:rsid w:val="00FE10AE"/>
    <w:rsid w:val="00FE11BE"/>
    <w:rsid w:val="00FE1D28"/>
    <w:rsid w:val="00FE31B2"/>
    <w:rsid w:val="00FE3345"/>
    <w:rsid w:val="00FE36F5"/>
    <w:rsid w:val="00FE3BC4"/>
    <w:rsid w:val="00FE3EBC"/>
    <w:rsid w:val="00FE4043"/>
    <w:rsid w:val="00FE4582"/>
    <w:rsid w:val="00FE4CE7"/>
    <w:rsid w:val="00FE5927"/>
    <w:rsid w:val="00FE5F8B"/>
    <w:rsid w:val="00FE7226"/>
    <w:rsid w:val="00FE729C"/>
    <w:rsid w:val="00FE7BF4"/>
    <w:rsid w:val="00FE7D17"/>
    <w:rsid w:val="00FF0D8A"/>
    <w:rsid w:val="00FF30D8"/>
    <w:rsid w:val="00FF31D4"/>
    <w:rsid w:val="00FF4567"/>
    <w:rsid w:val="00FF5F0B"/>
    <w:rsid w:val="00FF61AA"/>
    <w:rsid w:val="00FF6C03"/>
    <w:rsid w:val="00FF6E71"/>
    <w:rsid w:val="00FF7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D5B49"/>
    <w:rPr>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F2B67"/>
    <w:rPr>
      <w:rFonts w:ascii="Tahoma" w:hAnsi="Tahoma" w:cs="Tahoma"/>
      <w:sz w:val="16"/>
      <w:szCs w:val="16"/>
    </w:rPr>
  </w:style>
  <w:style w:type="paragraph" w:styleId="Antrats">
    <w:name w:val="header"/>
    <w:basedOn w:val="prastasis"/>
    <w:link w:val="AntratsDiagrama"/>
    <w:rsid w:val="00204033"/>
    <w:pPr>
      <w:tabs>
        <w:tab w:val="center" w:pos="4819"/>
        <w:tab w:val="right" w:pos="9638"/>
      </w:tabs>
    </w:pPr>
  </w:style>
  <w:style w:type="character" w:styleId="Puslapionumeris">
    <w:name w:val="page number"/>
    <w:basedOn w:val="Numatytasispastraiposriftas"/>
    <w:rsid w:val="00204033"/>
  </w:style>
  <w:style w:type="character" w:styleId="Komentaronuoroda">
    <w:name w:val="annotation reference"/>
    <w:uiPriority w:val="99"/>
    <w:unhideWhenUsed/>
    <w:rsid w:val="00AF3691"/>
    <w:rPr>
      <w:sz w:val="16"/>
      <w:szCs w:val="16"/>
    </w:rPr>
  </w:style>
  <w:style w:type="paragraph" w:styleId="Komentarotekstas">
    <w:name w:val="annotation text"/>
    <w:basedOn w:val="prastasis"/>
    <w:link w:val="KomentarotekstasDiagrama"/>
    <w:uiPriority w:val="99"/>
    <w:unhideWhenUsed/>
    <w:rsid w:val="00AF3691"/>
    <w:rPr>
      <w:sz w:val="20"/>
      <w:szCs w:val="20"/>
    </w:rPr>
  </w:style>
  <w:style w:type="character" w:customStyle="1" w:styleId="KomentarotekstasDiagrama">
    <w:name w:val="Komentaro tekstas Diagrama"/>
    <w:link w:val="Komentarotekstas"/>
    <w:uiPriority w:val="99"/>
    <w:rsid w:val="00AF3691"/>
    <w:rPr>
      <w:color w:val="000000"/>
    </w:rPr>
  </w:style>
  <w:style w:type="paragraph" w:styleId="Komentarotema">
    <w:name w:val="annotation subject"/>
    <w:basedOn w:val="Komentarotekstas"/>
    <w:next w:val="Komentarotekstas"/>
    <w:link w:val="KomentarotemaDiagrama"/>
    <w:uiPriority w:val="99"/>
    <w:semiHidden/>
    <w:unhideWhenUsed/>
    <w:rsid w:val="00AF3691"/>
    <w:rPr>
      <w:b/>
      <w:bCs/>
    </w:rPr>
  </w:style>
  <w:style w:type="character" w:customStyle="1" w:styleId="KomentarotemaDiagrama">
    <w:name w:val="Komentaro tema Diagrama"/>
    <w:link w:val="Komentarotema"/>
    <w:uiPriority w:val="99"/>
    <w:semiHidden/>
    <w:rsid w:val="00AF3691"/>
    <w:rPr>
      <w:b/>
      <w:bCs/>
      <w:color w:val="000000"/>
    </w:rPr>
  </w:style>
  <w:style w:type="paragraph" w:customStyle="1" w:styleId="Stilius1">
    <w:name w:val="Stilius1"/>
    <w:basedOn w:val="Antrats"/>
    <w:autoRedefine/>
    <w:qFormat/>
    <w:rsid w:val="006870AF"/>
    <w:pPr>
      <w:tabs>
        <w:tab w:val="left" w:pos="426"/>
      </w:tabs>
      <w:jc w:val="center"/>
    </w:pPr>
    <w:rPr>
      <w:b/>
      <w:caps/>
      <w:color w:val="auto"/>
    </w:rPr>
  </w:style>
  <w:style w:type="paragraph" w:customStyle="1" w:styleId="Stilius2">
    <w:name w:val="Stilius2"/>
    <w:basedOn w:val="Antrats"/>
    <w:autoRedefine/>
    <w:qFormat/>
    <w:rsid w:val="006870AF"/>
    <w:pPr>
      <w:ind w:left="567"/>
    </w:pPr>
    <w:rPr>
      <w:b/>
      <w:smallCaps/>
    </w:rPr>
  </w:style>
  <w:style w:type="paragraph" w:styleId="Pagrindiniotekstotrauka">
    <w:name w:val="Body Text Indent"/>
    <w:basedOn w:val="prastasis"/>
    <w:link w:val="PagrindiniotekstotraukaDiagrama"/>
    <w:rsid w:val="006A3DE8"/>
    <w:pPr>
      <w:spacing w:after="120"/>
      <w:ind w:left="283"/>
    </w:pPr>
  </w:style>
  <w:style w:type="character" w:customStyle="1" w:styleId="PagrindiniotekstotraukaDiagrama">
    <w:name w:val="Pagrindinio teksto įtrauka Diagrama"/>
    <w:basedOn w:val="Numatytasispastraiposriftas"/>
    <w:link w:val="Pagrindiniotekstotrauka"/>
    <w:rsid w:val="006A3DE8"/>
    <w:rPr>
      <w:color w:val="000000"/>
      <w:sz w:val="24"/>
      <w:szCs w:val="24"/>
    </w:rPr>
  </w:style>
  <w:style w:type="paragraph" w:styleId="Pavadinimas">
    <w:name w:val="Title"/>
    <w:basedOn w:val="prastasis"/>
    <w:link w:val="PavadinimasDiagrama"/>
    <w:qFormat/>
    <w:rsid w:val="006A3DE8"/>
    <w:pPr>
      <w:jc w:val="center"/>
    </w:pPr>
    <w:rPr>
      <w:b/>
      <w:szCs w:val="20"/>
    </w:rPr>
  </w:style>
  <w:style w:type="character" w:customStyle="1" w:styleId="PavadinimasDiagrama">
    <w:name w:val="Pavadinimas Diagrama"/>
    <w:basedOn w:val="Numatytasispastraiposriftas"/>
    <w:link w:val="Pavadinimas"/>
    <w:rsid w:val="006A3DE8"/>
    <w:rPr>
      <w:b/>
      <w:color w:val="000000"/>
      <w:sz w:val="24"/>
    </w:rPr>
  </w:style>
  <w:style w:type="paragraph" w:styleId="Puslapioinaostekstas">
    <w:name w:val="footnote text"/>
    <w:aliases w:val="Char1,Char,atask Puslapio išnašos tekstas,Footnote,Footnote Diagrama,Footnote Text Char Char,Footnote Char Char,Footnote Char,Footnote text,fn, Char, Char1,Footnote Text Char,• Isnasos,Fußnotentextf,stile 1,Footnote1,Footnote2,f"/>
    <w:basedOn w:val="prastasis"/>
    <w:link w:val="PuslapioinaostekstasDiagrama"/>
    <w:uiPriority w:val="99"/>
    <w:rsid w:val="006A3DE8"/>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6A3DE8"/>
    <w:rPr>
      <w:color w:val="000000"/>
    </w:rPr>
  </w:style>
  <w:style w:type="character" w:styleId="Puslapioinaosnuoroda">
    <w:name w:val="footnote reference"/>
    <w:aliases w:val="Išnaša,Footnote symbol,BVI fnr,• Isnasos nuoroda,Footnotes refss,Appel note de bas de p,Voetnootverwijzing,Times 10 Point,Exposant 3 Point,Footnote Reference Number,SUPERS,Footnote anchor,Footnote reference number"/>
    <w:uiPriority w:val="99"/>
    <w:qFormat/>
    <w:rsid w:val="006A3DE8"/>
    <w:rPr>
      <w:vertAlign w:val="superscript"/>
    </w:rPr>
  </w:style>
  <w:style w:type="paragraph" w:styleId="Antrat">
    <w:name w:val="caption"/>
    <w:basedOn w:val="prastasis"/>
    <w:next w:val="prastasis"/>
    <w:qFormat/>
    <w:rsid w:val="00040E00"/>
    <w:pPr>
      <w:spacing w:before="120" w:after="120"/>
    </w:pPr>
    <w:rPr>
      <w:b/>
      <w:bCs/>
      <w:sz w:val="20"/>
      <w:szCs w:val="20"/>
    </w:rPr>
  </w:style>
  <w:style w:type="paragraph" w:styleId="Sraopastraipa">
    <w:name w:val="List Paragraph"/>
    <w:basedOn w:val="prastasis"/>
    <w:uiPriority w:val="34"/>
    <w:qFormat/>
    <w:rsid w:val="009A2B53"/>
    <w:pPr>
      <w:ind w:left="720"/>
      <w:contextualSpacing/>
    </w:pPr>
  </w:style>
  <w:style w:type="paragraph" w:styleId="Pagrindiniotekstotrauka2">
    <w:name w:val="Body Text Indent 2"/>
    <w:basedOn w:val="prastasis"/>
    <w:link w:val="Pagrindiniotekstotrauka2Diagrama"/>
    <w:rsid w:val="002E5E0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E5E01"/>
    <w:rPr>
      <w:color w:val="000000"/>
      <w:sz w:val="24"/>
      <w:szCs w:val="24"/>
    </w:rPr>
  </w:style>
  <w:style w:type="character" w:customStyle="1" w:styleId="AntratsDiagrama">
    <w:name w:val="Antraštės Diagrama"/>
    <w:basedOn w:val="Numatytasispastraiposriftas"/>
    <w:link w:val="Antrats"/>
    <w:rsid w:val="002E5E01"/>
    <w:rPr>
      <w:color w:val="000000"/>
      <w:sz w:val="24"/>
      <w:szCs w:val="24"/>
    </w:rPr>
  </w:style>
  <w:style w:type="paragraph" w:customStyle="1" w:styleId="Antrat33">
    <w:name w:val="Antraštė33"/>
    <w:basedOn w:val="Pagrindiniotekstotrauka2"/>
    <w:qFormat/>
    <w:rsid w:val="000513F7"/>
    <w:pPr>
      <w:spacing w:after="0"/>
      <w:ind w:left="0" w:right="-268" w:firstLine="567"/>
    </w:pPr>
    <w:rPr>
      <w:b/>
      <w:smallCaps/>
    </w:rPr>
  </w:style>
  <w:style w:type="paragraph" w:styleId="Porat">
    <w:name w:val="footer"/>
    <w:basedOn w:val="prastasis"/>
    <w:link w:val="PoratDiagrama"/>
    <w:uiPriority w:val="99"/>
    <w:unhideWhenUsed/>
    <w:rsid w:val="005E010B"/>
    <w:pPr>
      <w:tabs>
        <w:tab w:val="center" w:pos="4819"/>
        <w:tab w:val="right" w:pos="9638"/>
      </w:tabs>
    </w:pPr>
  </w:style>
  <w:style w:type="character" w:customStyle="1" w:styleId="PoratDiagrama">
    <w:name w:val="Poraštė Diagrama"/>
    <w:basedOn w:val="Numatytasispastraiposriftas"/>
    <w:link w:val="Porat"/>
    <w:uiPriority w:val="99"/>
    <w:rsid w:val="005E010B"/>
    <w:rPr>
      <w:color w:val="000000"/>
      <w:sz w:val="24"/>
      <w:szCs w:val="24"/>
    </w:rPr>
  </w:style>
  <w:style w:type="paragraph" w:styleId="Pagrindinistekstas">
    <w:name w:val="Body Text"/>
    <w:basedOn w:val="prastasis"/>
    <w:link w:val="PagrindinistekstasDiagrama"/>
    <w:uiPriority w:val="99"/>
    <w:unhideWhenUsed/>
    <w:rsid w:val="002115D3"/>
    <w:pPr>
      <w:spacing w:after="120"/>
    </w:pPr>
  </w:style>
  <w:style w:type="character" w:customStyle="1" w:styleId="PagrindinistekstasDiagrama">
    <w:name w:val="Pagrindinis tekstas Diagrama"/>
    <w:basedOn w:val="Numatytasispastraiposriftas"/>
    <w:link w:val="Pagrindinistekstas"/>
    <w:uiPriority w:val="99"/>
    <w:rsid w:val="002115D3"/>
    <w:rPr>
      <w:color w:val="000000"/>
      <w:sz w:val="24"/>
      <w:szCs w:val="24"/>
    </w:rPr>
  </w:style>
  <w:style w:type="paragraph" w:styleId="HTMLiankstoformatuotas">
    <w:name w:val="HTML Preformatted"/>
    <w:basedOn w:val="prastasis"/>
    <w:link w:val="HTMLiankstoformatuotasDiagrama"/>
    <w:rsid w:val="0021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2115D3"/>
    <w:rPr>
      <w:rFonts w:ascii="Courier New" w:hAnsi="Courier New" w:cs="Courier New"/>
      <w:color w:val="000000"/>
    </w:rPr>
  </w:style>
  <w:style w:type="paragraph" w:styleId="prastasistinklapis">
    <w:name w:val="Normal (Web)"/>
    <w:basedOn w:val="prastasis"/>
    <w:uiPriority w:val="99"/>
    <w:semiHidden/>
    <w:unhideWhenUsed/>
    <w:rsid w:val="00741206"/>
    <w:pPr>
      <w:spacing w:before="180" w:after="180"/>
    </w:pPr>
    <w:rPr>
      <w:rFonts w:ascii="Open Sans" w:hAnsi="Open Sans"/>
      <w:color w:val="444444"/>
    </w:rPr>
  </w:style>
  <w:style w:type="paragraph" w:customStyle="1" w:styleId="DiagramaDiagramaDiagramaCharChar">
    <w:name w:val="Diagrama Diagrama Diagrama Char Char"/>
    <w:basedOn w:val="prastasis"/>
    <w:rsid w:val="007E2E0A"/>
    <w:pPr>
      <w:spacing w:after="160" w:line="240" w:lineRule="exact"/>
    </w:pPr>
    <w:rPr>
      <w:rFonts w:ascii="Tahoma" w:hAnsi="Tahoma"/>
      <w:color w:val="auto"/>
      <w:sz w:val="20"/>
      <w:szCs w:val="20"/>
      <w:lang w:val="en-US"/>
    </w:rPr>
  </w:style>
  <w:style w:type="paragraph" w:customStyle="1" w:styleId="DiagramaDiagramaDiagramaCharChar3">
    <w:name w:val="Diagrama Diagrama Diagrama Char Char3"/>
    <w:basedOn w:val="prastasis"/>
    <w:rsid w:val="00CC662A"/>
    <w:pPr>
      <w:spacing w:after="160" w:line="240" w:lineRule="exact"/>
    </w:pPr>
    <w:rPr>
      <w:rFonts w:ascii="Tahoma" w:hAnsi="Tahoma"/>
      <w:color w:val="auto"/>
      <w:sz w:val="20"/>
      <w:szCs w:val="20"/>
      <w:lang w:val="en-US"/>
    </w:rPr>
  </w:style>
  <w:style w:type="character" w:styleId="Emfaz">
    <w:name w:val="Emphasis"/>
    <w:basedOn w:val="Numatytasispastraiposriftas"/>
    <w:uiPriority w:val="20"/>
    <w:qFormat/>
    <w:rsid w:val="00A533BE"/>
    <w:rPr>
      <w:b/>
      <w:bCs/>
      <w:i w:val="0"/>
      <w:iCs w:val="0"/>
    </w:rPr>
  </w:style>
  <w:style w:type="character" w:customStyle="1" w:styleId="st1">
    <w:name w:val="st1"/>
    <w:basedOn w:val="Numatytasispastraiposriftas"/>
    <w:rsid w:val="00A533BE"/>
  </w:style>
  <w:style w:type="paragraph" w:customStyle="1" w:styleId="DiagramaDiagramaDiagramaCharChar2">
    <w:name w:val="Diagrama Diagrama Diagrama Char Char2"/>
    <w:basedOn w:val="prastasis"/>
    <w:rsid w:val="00223A9F"/>
    <w:pPr>
      <w:spacing w:after="160" w:line="240" w:lineRule="exact"/>
    </w:pPr>
    <w:rPr>
      <w:rFonts w:ascii="Tahoma" w:hAnsi="Tahoma"/>
      <w:color w:val="auto"/>
      <w:sz w:val="20"/>
      <w:szCs w:val="20"/>
      <w:lang w:val="en-US"/>
    </w:rPr>
  </w:style>
  <w:style w:type="paragraph" w:customStyle="1" w:styleId="DiagramaDiagramaDiagramaCharChar1">
    <w:name w:val="Diagrama Diagrama Diagrama Char Char1"/>
    <w:basedOn w:val="prastasis"/>
    <w:rsid w:val="00E95F4A"/>
    <w:pPr>
      <w:spacing w:after="160" w:line="240" w:lineRule="exact"/>
    </w:pPr>
    <w:rPr>
      <w:rFonts w:ascii="Tahoma" w:hAnsi="Tahoma"/>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D5B49"/>
    <w:rPr>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F2B67"/>
    <w:rPr>
      <w:rFonts w:ascii="Tahoma" w:hAnsi="Tahoma" w:cs="Tahoma"/>
      <w:sz w:val="16"/>
      <w:szCs w:val="16"/>
    </w:rPr>
  </w:style>
  <w:style w:type="paragraph" w:styleId="Antrats">
    <w:name w:val="header"/>
    <w:basedOn w:val="prastasis"/>
    <w:link w:val="AntratsDiagrama"/>
    <w:rsid w:val="00204033"/>
    <w:pPr>
      <w:tabs>
        <w:tab w:val="center" w:pos="4819"/>
        <w:tab w:val="right" w:pos="9638"/>
      </w:tabs>
    </w:pPr>
  </w:style>
  <w:style w:type="character" w:styleId="Puslapionumeris">
    <w:name w:val="page number"/>
    <w:basedOn w:val="Numatytasispastraiposriftas"/>
    <w:rsid w:val="00204033"/>
  </w:style>
  <w:style w:type="character" w:styleId="Komentaronuoroda">
    <w:name w:val="annotation reference"/>
    <w:uiPriority w:val="99"/>
    <w:unhideWhenUsed/>
    <w:rsid w:val="00AF3691"/>
    <w:rPr>
      <w:sz w:val="16"/>
      <w:szCs w:val="16"/>
    </w:rPr>
  </w:style>
  <w:style w:type="paragraph" w:styleId="Komentarotekstas">
    <w:name w:val="annotation text"/>
    <w:basedOn w:val="prastasis"/>
    <w:link w:val="KomentarotekstasDiagrama"/>
    <w:uiPriority w:val="99"/>
    <w:unhideWhenUsed/>
    <w:rsid w:val="00AF3691"/>
    <w:rPr>
      <w:sz w:val="20"/>
      <w:szCs w:val="20"/>
    </w:rPr>
  </w:style>
  <w:style w:type="character" w:customStyle="1" w:styleId="KomentarotekstasDiagrama">
    <w:name w:val="Komentaro tekstas Diagrama"/>
    <w:link w:val="Komentarotekstas"/>
    <w:uiPriority w:val="99"/>
    <w:rsid w:val="00AF3691"/>
    <w:rPr>
      <w:color w:val="000000"/>
    </w:rPr>
  </w:style>
  <w:style w:type="paragraph" w:styleId="Komentarotema">
    <w:name w:val="annotation subject"/>
    <w:basedOn w:val="Komentarotekstas"/>
    <w:next w:val="Komentarotekstas"/>
    <w:link w:val="KomentarotemaDiagrama"/>
    <w:uiPriority w:val="99"/>
    <w:semiHidden/>
    <w:unhideWhenUsed/>
    <w:rsid w:val="00AF3691"/>
    <w:rPr>
      <w:b/>
      <w:bCs/>
    </w:rPr>
  </w:style>
  <w:style w:type="character" w:customStyle="1" w:styleId="KomentarotemaDiagrama">
    <w:name w:val="Komentaro tema Diagrama"/>
    <w:link w:val="Komentarotema"/>
    <w:uiPriority w:val="99"/>
    <w:semiHidden/>
    <w:rsid w:val="00AF3691"/>
    <w:rPr>
      <w:b/>
      <w:bCs/>
      <w:color w:val="000000"/>
    </w:rPr>
  </w:style>
  <w:style w:type="paragraph" w:customStyle="1" w:styleId="Stilius1">
    <w:name w:val="Stilius1"/>
    <w:basedOn w:val="Antrats"/>
    <w:autoRedefine/>
    <w:qFormat/>
    <w:rsid w:val="006870AF"/>
    <w:pPr>
      <w:tabs>
        <w:tab w:val="left" w:pos="426"/>
      </w:tabs>
      <w:jc w:val="center"/>
    </w:pPr>
    <w:rPr>
      <w:b/>
      <w:caps/>
      <w:color w:val="auto"/>
    </w:rPr>
  </w:style>
  <w:style w:type="paragraph" w:customStyle="1" w:styleId="Stilius2">
    <w:name w:val="Stilius2"/>
    <w:basedOn w:val="Antrats"/>
    <w:autoRedefine/>
    <w:qFormat/>
    <w:rsid w:val="006870AF"/>
    <w:pPr>
      <w:ind w:left="567"/>
    </w:pPr>
    <w:rPr>
      <w:b/>
      <w:smallCaps/>
    </w:rPr>
  </w:style>
  <w:style w:type="paragraph" w:styleId="Pagrindiniotekstotrauka">
    <w:name w:val="Body Text Indent"/>
    <w:basedOn w:val="prastasis"/>
    <w:link w:val="PagrindiniotekstotraukaDiagrama"/>
    <w:rsid w:val="006A3DE8"/>
    <w:pPr>
      <w:spacing w:after="120"/>
      <w:ind w:left="283"/>
    </w:pPr>
  </w:style>
  <w:style w:type="character" w:customStyle="1" w:styleId="PagrindiniotekstotraukaDiagrama">
    <w:name w:val="Pagrindinio teksto įtrauka Diagrama"/>
    <w:basedOn w:val="Numatytasispastraiposriftas"/>
    <w:link w:val="Pagrindiniotekstotrauka"/>
    <w:rsid w:val="006A3DE8"/>
    <w:rPr>
      <w:color w:val="000000"/>
      <w:sz w:val="24"/>
      <w:szCs w:val="24"/>
    </w:rPr>
  </w:style>
  <w:style w:type="paragraph" w:styleId="Pavadinimas">
    <w:name w:val="Title"/>
    <w:basedOn w:val="prastasis"/>
    <w:link w:val="PavadinimasDiagrama"/>
    <w:qFormat/>
    <w:rsid w:val="006A3DE8"/>
    <w:pPr>
      <w:jc w:val="center"/>
    </w:pPr>
    <w:rPr>
      <w:b/>
      <w:szCs w:val="20"/>
    </w:rPr>
  </w:style>
  <w:style w:type="character" w:customStyle="1" w:styleId="PavadinimasDiagrama">
    <w:name w:val="Pavadinimas Diagrama"/>
    <w:basedOn w:val="Numatytasispastraiposriftas"/>
    <w:link w:val="Pavadinimas"/>
    <w:rsid w:val="006A3DE8"/>
    <w:rPr>
      <w:b/>
      <w:color w:val="000000"/>
      <w:sz w:val="24"/>
    </w:rPr>
  </w:style>
  <w:style w:type="paragraph" w:styleId="Puslapioinaostekstas">
    <w:name w:val="footnote text"/>
    <w:aliases w:val="Char1,Char,atask Puslapio išnašos tekstas,Footnote,Footnote Diagrama,Footnote Text Char Char,Footnote Char Char,Footnote Char,Footnote text,fn, Char, Char1,Footnote Text Char,• Isnasos,Fußnotentextf,stile 1,Footnote1,Footnote2,f"/>
    <w:basedOn w:val="prastasis"/>
    <w:link w:val="PuslapioinaostekstasDiagrama"/>
    <w:uiPriority w:val="99"/>
    <w:rsid w:val="006A3DE8"/>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6A3DE8"/>
    <w:rPr>
      <w:color w:val="000000"/>
    </w:rPr>
  </w:style>
  <w:style w:type="character" w:styleId="Puslapioinaosnuoroda">
    <w:name w:val="footnote reference"/>
    <w:aliases w:val="Išnaša,Footnote symbol,BVI fnr,• Isnasos nuoroda,Footnotes refss,Appel note de bas de p,Voetnootverwijzing,Times 10 Point,Exposant 3 Point,Footnote Reference Number,SUPERS,Footnote anchor,Footnote reference number"/>
    <w:uiPriority w:val="99"/>
    <w:qFormat/>
    <w:rsid w:val="006A3DE8"/>
    <w:rPr>
      <w:vertAlign w:val="superscript"/>
    </w:rPr>
  </w:style>
  <w:style w:type="paragraph" w:styleId="Antrat">
    <w:name w:val="caption"/>
    <w:basedOn w:val="prastasis"/>
    <w:next w:val="prastasis"/>
    <w:qFormat/>
    <w:rsid w:val="00040E00"/>
    <w:pPr>
      <w:spacing w:before="120" w:after="120"/>
    </w:pPr>
    <w:rPr>
      <w:b/>
      <w:bCs/>
      <w:sz w:val="20"/>
      <w:szCs w:val="20"/>
    </w:rPr>
  </w:style>
  <w:style w:type="paragraph" w:styleId="Sraopastraipa">
    <w:name w:val="List Paragraph"/>
    <w:basedOn w:val="prastasis"/>
    <w:uiPriority w:val="34"/>
    <w:qFormat/>
    <w:rsid w:val="009A2B53"/>
    <w:pPr>
      <w:ind w:left="720"/>
      <w:contextualSpacing/>
    </w:pPr>
  </w:style>
  <w:style w:type="paragraph" w:styleId="Pagrindiniotekstotrauka2">
    <w:name w:val="Body Text Indent 2"/>
    <w:basedOn w:val="prastasis"/>
    <w:link w:val="Pagrindiniotekstotrauka2Diagrama"/>
    <w:rsid w:val="002E5E0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E5E01"/>
    <w:rPr>
      <w:color w:val="000000"/>
      <w:sz w:val="24"/>
      <w:szCs w:val="24"/>
    </w:rPr>
  </w:style>
  <w:style w:type="character" w:customStyle="1" w:styleId="AntratsDiagrama">
    <w:name w:val="Antraštės Diagrama"/>
    <w:basedOn w:val="Numatytasispastraiposriftas"/>
    <w:link w:val="Antrats"/>
    <w:rsid w:val="002E5E01"/>
    <w:rPr>
      <w:color w:val="000000"/>
      <w:sz w:val="24"/>
      <w:szCs w:val="24"/>
    </w:rPr>
  </w:style>
  <w:style w:type="paragraph" w:customStyle="1" w:styleId="Antrat33">
    <w:name w:val="Antraštė33"/>
    <w:basedOn w:val="Pagrindiniotekstotrauka2"/>
    <w:qFormat/>
    <w:rsid w:val="000513F7"/>
    <w:pPr>
      <w:spacing w:after="0"/>
      <w:ind w:left="0" w:right="-268" w:firstLine="567"/>
    </w:pPr>
    <w:rPr>
      <w:b/>
      <w:smallCaps/>
    </w:rPr>
  </w:style>
  <w:style w:type="paragraph" w:styleId="Porat">
    <w:name w:val="footer"/>
    <w:basedOn w:val="prastasis"/>
    <w:link w:val="PoratDiagrama"/>
    <w:uiPriority w:val="99"/>
    <w:unhideWhenUsed/>
    <w:rsid w:val="005E010B"/>
    <w:pPr>
      <w:tabs>
        <w:tab w:val="center" w:pos="4819"/>
        <w:tab w:val="right" w:pos="9638"/>
      </w:tabs>
    </w:pPr>
  </w:style>
  <w:style w:type="character" w:customStyle="1" w:styleId="PoratDiagrama">
    <w:name w:val="Poraštė Diagrama"/>
    <w:basedOn w:val="Numatytasispastraiposriftas"/>
    <w:link w:val="Porat"/>
    <w:uiPriority w:val="99"/>
    <w:rsid w:val="005E010B"/>
    <w:rPr>
      <w:color w:val="000000"/>
      <w:sz w:val="24"/>
      <w:szCs w:val="24"/>
    </w:rPr>
  </w:style>
  <w:style w:type="paragraph" w:styleId="Pagrindinistekstas">
    <w:name w:val="Body Text"/>
    <w:basedOn w:val="prastasis"/>
    <w:link w:val="PagrindinistekstasDiagrama"/>
    <w:uiPriority w:val="99"/>
    <w:unhideWhenUsed/>
    <w:rsid w:val="002115D3"/>
    <w:pPr>
      <w:spacing w:after="120"/>
    </w:pPr>
  </w:style>
  <w:style w:type="character" w:customStyle="1" w:styleId="PagrindinistekstasDiagrama">
    <w:name w:val="Pagrindinis tekstas Diagrama"/>
    <w:basedOn w:val="Numatytasispastraiposriftas"/>
    <w:link w:val="Pagrindinistekstas"/>
    <w:uiPriority w:val="99"/>
    <w:rsid w:val="002115D3"/>
    <w:rPr>
      <w:color w:val="000000"/>
      <w:sz w:val="24"/>
      <w:szCs w:val="24"/>
    </w:rPr>
  </w:style>
  <w:style w:type="paragraph" w:styleId="HTMLiankstoformatuotas">
    <w:name w:val="HTML Preformatted"/>
    <w:basedOn w:val="prastasis"/>
    <w:link w:val="HTMLiankstoformatuotasDiagrama"/>
    <w:rsid w:val="00211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2115D3"/>
    <w:rPr>
      <w:rFonts w:ascii="Courier New" w:hAnsi="Courier New" w:cs="Courier New"/>
      <w:color w:val="000000"/>
    </w:rPr>
  </w:style>
  <w:style w:type="paragraph" w:styleId="prastasistinklapis">
    <w:name w:val="Normal (Web)"/>
    <w:basedOn w:val="prastasis"/>
    <w:uiPriority w:val="99"/>
    <w:semiHidden/>
    <w:unhideWhenUsed/>
    <w:rsid w:val="00741206"/>
    <w:pPr>
      <w:spacing w:before="180" w:after="180"/>
    </w:pPr>
    <w:rPr>
      <w:rFonts w:ascii="Open Sans" w:hAnsi="Open Sans"/>
      <w:color w:val="444444"/>
    </w:rPr>
  </w:style>
  <w:style w:type="paragraph" w:customStyle="1" w:styleId="DiagramaDiagramaDiagramaCharChar">
    <w:name w:val="Diagrama Diagrama Diagrama Char Char"/>
    <w:basedOn w:val="prastasis"/>
    <w:rsid w:val="007E2E0A"/>
    <w:pPr>
      <w:spacing w:after="160" w:line="240" w:lineRule="exact"/>
    </w:pPr>
    <w:rPr>
      <w:rFonts w:ascii="Tahoma" w:hAnsi="Tahoma"/>
      <w:color w:val="auto"/>
      <w:sz w:val="20"/>
      <w:szCs w:val="20"/>
      <w:lang w:val="en-US"/>
    </w:rPr>
  </w:style>
  <w:style w:type="paragraph" w:customStyle="1" w:styleId="DiagramaDiagramaDiagramaCharChar3">
    <w:name w:val="Diagrama Diagrama Diagrama Char Char3"/>
    <w:basedOn w:val="prastasis"/>
    <w:rsid w:val="00CC662A"/>
    <w:pPr>
      <w:spacing w:after="160" w:line="240" w:lineRule="exact"/>
    </w:pPr>
    <w:rPr>
      <w:rFonts w:ascii="Tahoma" w:hAnsi="Tahoma"/>
      <w:color w:val="auto"/>
      <w:sz w:val="20"/>
      <w:szCs w:val="20"/>
      <w:lang w:val="en-US"/>
    </w:rPr>
  </w:style>
  <w:style w:type="character" w:styleId="Emfaz">
    <w:name w:val="Emphasis"/>
    <w:basedOn w:val="Numatytasispastraiposriftas"/>
    <w:uiPriority w:val="20"/>
    <w:qFormat/>
    <w:rsid w:val="00A533BE"/>
    <w:rPr>
      <w:b/>
      <w:bCs/>
      <w:i w:val="0"/>
      <w:iCs w:val="0"/>
    </w:rPr>
  </w:style>
  <w:style w:type="character" w:customStyle="1" w:styleId="st1">
    <w:name w:val="st1"/>
    <w:basedOn w:val="Numatytasispastraiposriftas"/>
    <w:rsid w:val="00A533BE"/>
  </w:style>
  <w:style w:type="paragraph" w:customStyle="1" w:styleId="DiagramaDiagramaDiagramaCharChar2">
    <w:name w:val="Diagrama Diagrama Diagrama Char Char2"/>
    <w:basedOn w:val="prastasis"/>
    <w:rsid w:val="00223A9F"/>
    <w:pPr>
      <w:spacing w:after="160" w:line="240" w:lineRule="exact"/>
    </w:pPr>
    <w:rPr>
      <w:rFonts w:ascii="Tahoma" w:hAnsi="Tahoma"/>
      <w:color w:val="auto"/>
      <w:sz w:val="20"/>
      <w:szCs w:val="20"/>
      <w:lang w:val="en-US"/>
    </w:rPr>
  </w:style>
  <w:style w:type="paragraph" w:customStyle="1" w:styleId="DiagramaDiagramaDiagramaCharChar1">
    <w:name w:val="Diagrama Diagrama Diagrama Char Char1"/>
    <w:basedOn w:val="prastasis"/>
    <w:rsid w:val="00E95F4A"/>
    <w:pPr>
      <w:spacing w:after="160" w:line="240" w:lineRule="exact"/>
    </w:pPr>
    <w:rPr>
      <w:rFonts w:ascii="Tahoma" w:hAnsi="Tahoma"/>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63284">
      <w:bodyDiv w:val="1"/>
      <w:marLeft w:val="0"/>
      <w:marRight w:val="0"/>
      <w:marTop w:val="0"/>
      <w:marBottom w:val="0"/>
      <w:divBdr>
        <w:top w:val="none" w:sz="0" w:space="0" w:color="auto"/>
        <w:left w:val="none" w:sz="0" w:space="0" w:color="auto"/>
        <w:bottom w:val="none" w:sz="0" w:space="0" w:color="auto"/>
        <w:right w:val="none" w:sz="0" w:space="0" w:color="auto"/>
      </w:divBdr>
    </w:div>
    <w:div w:id="294019725">
      <w:bodyDiv w:val="1"/>
      <w:marLeft w:val="0"/>
      <w:marRight w:val="0"/>
      <w:marTop w:val="0"/>
      <w:marBottom w:val="0"/>
      <w:divBdr>
        <w:top w:val="none" w:sz="0" w:space="0" w:color="auto"/>
        <w:left w:val="none" w:sz="0" w:space="0" w:color="auto"/>
        <w:bottom w:val="none" w:sz="0" w:space="0" w:color="auto"/>
        <w:right w:val="none" w:sz="0" w:space="0" w:color="auto"/>
      </w:divBdr>
    </w:div>
    <w:div w:id="29421719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366878568">
      <w:bodyDiv w:val="1"/>
      <w:marLeft w:val="0"/>
      <w:marRight w:val="0"/>
      <w:marTop w:val="0"/>
      <w:marBottom w:val="0"/>
      <w:divBdr>
        <w:top w:val="none" w:sz="0" w:space="0" w:color="auto"/>
        <w:left w:val="none" w:sz="0" w:space="0" w:color="auto"/>
        <w:bottom w:val="none" w:sz="0" w:space="0" w:color="auto"/>
        <w:right w:val="none" w:sz="0" w:space="0" w:color="auto"/>
      </w:divBdr>
    </w:div>
    <w:div w:id="392511768">
      <w:bodyDiv w:val="1"/>
      <w:marLeft w:val="0"/>
      <w:marRight w:val="0"/>
      <w:marTop w:val="0"/>
      <w:marBottom w:val="0"/>
      <w:divBdr>
        <w:top w:val="none" w:sz="0" w:space="0" w:color="auto"/>
        <w:left w:val="none" w:sz="0" w:space="0" w:color="auto"/>
        <w:bottom w:val="none" w:sz="0" w:space="0" w:color="auto"/>
        <w:right w:val="none" w:sz="0" w:space="0" w:color="auto"/>
      </w:divBdr>
    </w:div>
    <w:div w:id="476187652">
      <w:bodyDiv w:val="1"/>
      <w:marLeft w:val="0"/>
      <w:marRight w:val="0"/>
      <w:marTop w:val="0"/>
      <w:marBottom w:val="0"/>
      <w:divBdr>
        <w:top w:val="none" w:sz="0" w:space="0" w:color="auto"/>
        <w:left w:val="none" w:sz="0" w:space="0" w:color="auto"/>
        <w:bottom w:val="none" w:sz="0" w:space="0" w:color="auto"/>
        <w:right w:val="none" w:sz="0" w:space="0" w:color="auto"/>
      </w:divBdr>
    </w:div>
    <w:div w:id="478425535">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17650367">
      <w:bodyDiv w:val="1"/>
      <w:marLeft w:val="0"/>
      <w:marRight w:val="0"/>
      <w:marTop w:val="0"/>
      <w:marBottom w:val="0"/>
      <w:divBdr>
        <w:top w:val="none" w:sz="0" w:space="0" w:color="auto"/>
        <w:left w:val="none" w:sz="0" w:space="0" w:color="auto"/>
        <w:bottom w:val="none" w:sz="0" w:space="0" w:color="auto"/>
        <w:right w:val="none" w:sz="0" w:space="0" w:color="auto"/>
      </w:divBdr>
    </w:div>
    <w:div w:id="896740585">
      <w:bodyDiv w:val="1"/>
      <w:marLeft w:val="0"/>
      <w:marRight w:val="0"/>
      <w:marTop w:val="0"/>
      <w:marBottom w:val="0"/>
      <w:divBdr>
        <w:top w:val="none" w:sz="0" w:space="0" w:color="auto"/>
        <w:left w:val="none" w:sz="0" w:space="0" w:color="auto"/>
        <w:bottom w:val="none" w:sz="0" w:space="0" w:color="auto"/>
        <w:right w:val="none" w:sz="0" w:space="0" w:color="auto"/>
      </w:divBdr>
    </w:div>
    <w:div w:id="953560067">
      <w:bodyDiv w:val="1"/>
      <w:marLeft w:val="0"/>
      <w:marRight w:val="0"/>
      <w:marTop w:val="0"/>
      <w:marBottom w:val="0"/>
      <w:divBdr>
        <w:top w:val="none" w:sz="0" w:space="0" w:color="auto"/>
        <w:left w:val="none" w:sz="0" w:space="0" w:color="auto"/>
        <w:bottom w:val="none" w:sz="0" w:space="0" w:color="auto"/>
        <w:right w:val="none" w:sz="0" w:space="0" w:color="auto"/>
      </w:divBdr>
    </w:div>
    <w:div w:id="1015034713">
      <w:bodyDiv w:val="1"/>
      <w:marLeft w:val="0"/>
      <w:marRight w:val="0"/>
      <w:marTop w:val="0"/>
      <w:marBottom w:val="0"/>
      <w:divBdr>
        <w:top w:val="none" w:sz="0" w:space="0" w:color="auto"/>
        <w:left w:val="none" w:sz="0" w:space="0" w:color="auto"/>
        <w:bottom w:val="none" w:sz="0" w:space="0" w:color="auto"/>
        <w:right w:val="none" w:sz="0" w:space="0" w:color="auto"/>
      </w:divBdr>
      <w:divsChild>
        <w:div w:id="2084059759">
          <w:marLeft w:val="0"/>
          <w:marRight w:val="0"/>
          <w:marTop w:val="0"/>
          <w:marBottom w:val="0"/>
          <w:divBdr>
            <w:top w:val="none" w:sz="0" w:space="0" w:color="auto"/>
            <w:left w:val="none" w:sz="0" w:space="0" w:color="auto"/>
            <w:bottom w:val="none" w:sz="0" w:space="0" w:color="auto"/>
            <w:right w:val="none" w:sz="0" w:space="0" w:color="auto"/>
          </w:divBdr>
          <w:divsChild>
            <w:div w:id="926383643">
              <w:marLeft w:val="0"/>
              <w:marRight w:val="0"/>
              <w:marTop w:val="0"/>
              <w:marBottom w:val="0"/>
              <w:divBdr>
                <w:top w:val="none" w:sz="0" w:space="0" w:color="auto"/>
                <w:left w:val="none" w:sz="0" w:space="0" w:color="auto"/>
                <w:bottom w:val="none" w:sz="0" w:space="0" w:color="auto"/>
                <w:right w:val="none" w:sz="0" w:space="0" w:color="auto"/>
              </w:divBdr>
              <w:divsChild>
                <w:div w:id="1386105282">
                  <w:marLeft w:val="0"/>
                  <w:marRight w:val="0"/>
                  <w:marTop w:val="0"/>
                  <w:marBottom w:val="0"/>
                  <w:divBdr>
                    <w:top w:val="none" w:sz="0" w:space="0" w:color="auto"/>
                    <w:left w:val="none" w:sz="0" w:space="0" w:color="auto"/>
                    <w:bottom w:val="none" w:sz="0" w:space="0" w:color="auto"/>
                    <w:right w:val="none" w:sz="0" w:space="0" w:color="auto"/>
                  </w:divBdr>
                  <w:divsChild>
                    <w:div w:id="175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137802396">
      <w:bodyDiv w:val="1"/>
      <w:marLeft w:val="0"/>
      <w:marRight w:val="0"/>
      <w:marTop w:val="0"/>
      <w:marBottom w:val="0"/>
      <w:divBdr>
        <w:top w:val="none" w:sz="0" w:space="0" w:color="auto"/>
        <w:left w:val="none" w:sz="0" w:space="0" w:color="auto"/>
        <w:bottom w:val="none" w:sz="0" w:space="0" w:color="auto"/>
        <w:right w:val="none" w:sz="0" w:space="0" w:color="auto"/>
      </w:divBdr>
    </w:div>
    <w:div w:id="1163551551">
      <w:bodyDiv w:val="1"/>
      <w:marLeft w:val="0"/>
      <w:marRight w:val="0"/>
      <w:marTop w:val="0"/>
      <w:marBottom w:val="0"/>
      <w:divBdr>
        <w:top w:val="none" w:sz="0" w:space="0" w:color="auto"/>
        <w:left w:val="none" w:sz="0" w:space="0" w:color="auto"/>
        <w:bottom w:val="none" w:sz="0" w:space="0" w:color="auto"/>
        <w:right w:val="none" w:sz="0" w:space="0" w:color="auto"/>
      </w:divBdr>
    </w:div>
    <w:div w:id="1195926848">
      <w:bodyDiv w:val="1"/>
      <w:marLeft w:val="0"/>
      <w:marRight w:val="0"/>
      <w:marTop w:val="0"/>
      <w:marBottom w:val="0"/>
      <w:divBdr>
        <w:top w:val="none" w:sz="0" w:space="0" w:color="auto"/>
        <w:left w:val="none" w:sz="0" w:space="0" w:color="auto"/>
        <w:bottom w:val="none" w:sz="0" w:space="0" w:color="auto"/>
        <w:right w:val="none" w:sz="0" w:space="0" w:color="auto"/>
      </w:divBdr>
    </w:div>
    <w:div w:id="1596861001">
      <w:bodyDiv w:val="1"/>
      <w:marLeft w:val="0"/>
      <w:marRight w:val="0"/>
      <w:marTop w:val="0"/>
      <w:marBottom w:val="0"/>
      <w:divBdr>
        <w:top w:val="none" w:sz="0" w:space="0" w:color="auto"/>
        <w:left w:val="none" w:sz="0" w:space="0" w:color="auto"/>
        <w:bottom w:val="none" w:sz="0" w:space="0" w:color="auto"/>
        <w:right w:val="none" w:sz="0" w:space="0" w:color="auto"/>
      </w:divBdr>
    </w:div>
    <w:div w:id="1682050736">
      <w:bodyDiv w:val="1"/>
      <w:marLeft w:val="0"/>
      <w:marRight w:val="0"/>
      <w:marTop w:val="0"/>
      <w:marBottom w:val="0"/>
      <w:divBdr>
        <w:top w:val="none" w:sz="0" w:space="0" w:color="auto"/>
        <w:left w:val="none" w:sz="0" w:space="0" w:color="auto"/>
        <w:bottom w:val="none" w:sz="0" w:space="0" w:color="auto"/>
        <w:right w:val="none" w:sz="0" w:space="0" w:color="auto"/>
      </w:divBdr>
    </w:div>
    <w:div w:id="1772236384">
      <w:bodyDiv w:val="1"/>
      <w:marLeft w:val="0"/>
      <w:marRight w:val="0"/>
      <w:marTop w:val="0"/>
      <w:marBottom w:val="0"/>
      <w:divBdr>
        <w:top w:val="none" w:sz="0" w:space="0" w:color="auto"/>
        <w:left w:val="none" w:sz="0" w:space="0" w:color="auto"/>
        <w:bottom w:val="none" w:sz="0" w:space="0" w:color="auto"/>
        <w:right w:val="none" w:sz="0" w:space="0" w:color="auto"/>
      </w:divBdr>
    </w:div>
    <w:div w:id="1827168074">
      <w:bodyDiv w:val="1"/>
      <w:marLeft w:val="0"/>
      <w:marRight w:val="0"/>
      <w:marTop w:val="0"/>
      <w:marBottom w:val="0"/>
      <w:divBdr>
        <w:top w:val="none" w:sz="0" w:space="0" w:color="auto"/>
        <w:left w:val="none" w:sz="0" w:space="0" w:color="auto"/>
        <w:bottom w:val="none" w:sz="0" w:space="0" w:color="auto"/>
        <w:right w:val="none" w:sz="0" w:space="0" w:color="auto"/>
      </w:divBdr>
    </w:div>
    <w:div w:id="1922831603">
      <w:bodyDiv w:val="1"/>
      <w:marLeft w:val="0"/>
      <w:marRight w:val="0"/>
      <w:marTop w:val="0"/>
      <w:marBottom w:val="0"/>
      <w:divBdr>
        <w:top w:val="none" w:sz="0" w:space="0" w:color="auto"/>
        <w:left w:val="none" w:sz="0" w:space="0" w:color="auto"/>
        <w:bottom w:val="none" w:sz="0" w:space="0" w:color="auto"/>
        <w:right w:val="none" w:sz="0" w:space="0" w:color="auto"/>
      </w:divBdr>
      <w:divsChild>
        <w:div w:id="1359506629">
          <w:marLeft w:val="0"/>
          <w:marRight w:val="0"/>
          <w:marTop w:val="0"/>
          <w:marBottom w:val="0"/>
          <w:divBdr>
            <w:top w:val="none" w:sz="0" w:space="0" w:color="auto"/>
            <w:left w:val="none" w:sz="0" w:space="0" w:color="auto"/>
            <w:bottom w:val="none" w:sz="0" w:space="0" w:color="auto"/>
            <w:right w:val="none" w:sz="0" w:space="0" w:color="auto"/>
          </w:divBdr>
          <w:divsChild>
            <w:div w:id="706679388">
              <w:marLeft w:val="0"/>
              <w:marRight w:val="0"/>
              <w:marTop w:val="0"/>
              <w:marBottom w:val="0"/>
              <w:divBdr>
                <w:top w:val="none" w:sz="0" w:space="0" w:color="auto"/>
                <w:left w:val="none" w:sz="0" w:space="0" w:color="auto"/>
                <w:bottom w:val="none" w:sz="0" w:space="0" w:color="auto"/>
                <w:right w:val="none" w:sz="0" w:space="0" w:color="auto"/>
              </w:divBdr>
              <w:divsChild>
                <w:div w:id="1199050837">
                  <w:marLeft w:val="0"/>
                  <w:marRight w:val="0"/>
                  <w:marTop w:val="0"/>
                  <w:marBottom w:val="0"/>
                  <w:divBdr>
                    <w:top w:val="none" w:sz="0" w:space="0" w:color="auto"/>
                    <w:left w:val="none" w:sz="0" w:space="0" w:color="auto"/>
                    <w:bottom w:val="none" w:sz="0" w:space="0" w:color="auto"/>
                    <w:right w:val="none" w:sz="0" w:space="0" w:color="auto"/>
                  </w:divBdr>
                  <w:divsChild>
                    <w:div w:id="14859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4925">
      <w:bodyDiv w:val="1"/>
      <w:marLeft w:val="0"/>
      <w:marRight w:val="0"/>
      <w:marTop w:val="0"/>
      <w:marBottom w:val="0"/>
      <w:divBdr>
        <w:top w:val="none" w:sz="0" w:space="0" w:color="auto"/>
        <w:left w:val="none" w:sz="0" w:space="0" w:color="auto"/>
        <w:bottom w:val="none" w:sz="0" w:space="0" w:color="auto"/>
        <w:right w:val="none" w:sz="0" w:space="0" w:color="auto"/>
      </w:divBdr>
    </w:div>
    <w:div w:id="2077899368">
      <w:bodyDiv w:val="1"/>
      <w:marLeft w:val="0"/>
      <w:marRight w:val="0"/>
      <w:marTop w:val="0"/>
      <w:marBottom w:val="0"/>
      <w:divBdr>
        <w:top w:val="none" w:sz="0" w:space="0" w:color="auto"/>
        <w:left w:val="none" w:sz="0" w:space="0" w:color="auto"/>
        <w:bottom w:val="none" w:sz="0" w:space="0" w:color="auto"/>
        <w:right w:val="none" w:sz="0" w:space="0" w:color="auto"/>
      </w:divBdr>
    </w:div>
    <w:div w:id="2105876732">
      <w:bodyDiv w:val="1"/>
      <w:marLeft w:val="0"/>
      <w:marRight w:val="0"/>
      <w:marTop w:val="0"/>
      <w:marBottom w:val="0"/>
      <w:divBdr>
        <w:top w:val="none" w:sz="0" w:space="0" w:color="auto"/>
        <w:left w:val="none" w:sz="0" w:space="0" w:color="auto"/>
        <w:bottom w:val="none" w:sz="0" w:space="0" w:color="auto"/>
        <w:right w:val="none" w:sz="0" w:space="0" w:color="auto"/>
      </w:divBdr>
    </w:div>
    <w:div w:id="211478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03_VId\03_02\VB%20VYKDYMAS%20metiniai%20rinkiniai%20(2004-2020)\2020%20m.%20VB%20vykdymo%20ataskait&#371;%20rinkinys\Darbiniai%20dokumentai\AR%20rengimui\Lentel&#279;s%20pajam&#371;%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home\03_VId\03_02\VB%20VYKDYMAS%20metiniai%20rinkiniai%20(2004-2020)\2020%20m.%20VB%20vykdymo%20ataskait&#371;%20rinkinys\Darbiniai%20dokumentai\AR%20rengimui\Lentel&#279;s%20pajam&#371;%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000549.fm.lt\home\03_VId\03_02\VB%20VYKDYMAS%20metiniai%20rinkiniai%20(2004-2020)\2020%20m.%20VB%20vykdymo%20ataskait&#371;%20rinkinys\Darbiniai%20dokumentai\AR%20rengimui\Lentel&#279;s%20pajam&#371;%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000549.fm.lt\home\03_VId\03_04\BV%20ataskaitos%20pateiktos\2020%20m.%20Biud&#382;eto%20vykdymas\3%20priedas%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46569900827228639"/>
          <c:y val="7.6030942725715936E-2"/>
          <c:w val="0.48231248570609331"/>
          <c:h val="0.74091538557680292"/>
        </c:manualLayout>
      </c:layout>
      <c:barChart>
        <c:barDir val="bar"/>
        <c:grouping val="clustered"/>
        <c:varyColors val="0"/>
        <c:ser>
          <c:idx val="0"/>
          <c:order val="0"/>
          <c:tx>
            <c:strRef>
              <c:f>grafikai!$B$3</c:f>
              <c:strCache>
                <c:ptCount val="1"/>
                <c:pt idx="0">
                  <c:v>2020 metai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grafikai!$A$4:$A$7</c:f>
              <c:strCache>
                <c:ptCount val="4"/>
                <c:pt idx="0">
                  <c:v>ES ir kitos tarptautinės finansinės paramos lėšos</c:v>
                </c:pt>
                <c:pt idx="1">
                  <c:v>Sandorių dėl materialiojo ir nematerialiojo turto realizavimo, finansinio turto sumažėjimo ir finansinių įsipareigojimų prisiėmimo pajamos</c:v>
                </c:pt>
                <c:pt idx="2">
                  <c:v>Kitos pajamos</c:v>
                </c:pt>
                <c:pt idx="3">
                  <c:v>Mokesčiai</c:v>
                </c:pt>
              </c:strCache>
            </c:strRef>
          </c:cat>
          <c:val>
            <c:numRef>
              <c:f>grafikai!$B$4:$B$7</c:f>
              <c:numCache>
                <c:formatCode>#,##0.0</c:formatCode>
                <c:ptCount val="4"/>
                <c:pt idx="0">
                  <c:v>2332</c:v>
                </c:pt>
                <c:pt idx="1">
                  <c:v>131.19999999999999</c:v>
                </c:pt>
                <c:pt idx="2">
                  <c:v>509.9</c:v>
                </c:pt>
                <c:pt idx="3">
                  <c:v>8023.2</c:v>
                </c:pt>
              </c:numCache>
            </c:numRef>
          </c:val>
          <c:extLst xmlns:c16r2="http://schemas.microsoft.com/office/drawing/2015/06/chart">
            <c:ext xmlns:c16="http://schemas.microsoft.com/office/drawing/2014/chart" uri="{C3380CC4-5D6E-409C-BE32-E72D297353CC}">
              <c16:uniqueId val="{00000000-CDDF-4D23-8CBC-6F8F1DC15110}"/>
            </c:ext>
          </c:extLst>
        </c:ser>
        <c:ser>
          <c:idx val="1"/>
          <c:order val="1"/>
          <c:tx>
            <c:strRef>
              <c:f>grafikai!$C$3</c:f>
              <c:strCache>
                <c:ptCount val="1"/>
                <c:pt idx="0">
                  <c:v>2019 metai</c:v>
                </c:pt>
              </c:strCache>
            </c:strRef>
          </c:tx>
          <c:invertIfNegative val="0"/>
          <c:dPt>
            <c:idx val="3"/>
            <c:invertIfNegative val="0"/>
            <c:bubble3D val="0"/>
            <c:spPr>
              <a:effectLst>
                <a:glow>
                  <a:schemeClr val="accent1">
                    <a:alpha val="99000"/>
                  </a:schemeClr>
                </a:glow>
                <a:innerShdw blurRad="63500" dist="50800" dir="16200000">
                  <a:prstClr val="black">
                    <a:alpha val="50000"/>
                  </a:prstClr>
                </a:innerShdw>
              </a:effectLst>
            </c:spPr>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grafikai!$A$4:$A$7</c:f>
              <c:strCache>
                <c:ptCount val="4"/>
                <c:pt idx="0">
                  <c:v>ES ir kitos tarptautinės finansinės paramos lėšos</c:v>
                </c:pt>
                <c:pt idx="1">
                  <c:v>Sandorių dėl materialiojo ir nematerialiojo turto realizavimo, finansinio turto sumažėjimo ir finansinių įsipareigojimų prisiėmimo pajamos</c:v>
                </c:pt>
                <c:pt idx="2">
                  <c:v>Kitos pajamos</c:v>
                </c:pt>
                <c:pt idx="3">
                  <c:v>Mokesčiai</c:v>
                </c:pt>
              </c:strCache>
            </c:strRef>
          </c:cat>
          <c:val>
            <c:numRef>
              <c:f>grafikai!$C$4:$C$7</c:f>
              <c:numCache>
                <c:formatCode>#,##0.0</c:formatCode>
                <c:ptCount val="4"/>
                <c:pt idx="0">
                  <c:v>1511.6</c:v>
                </c:pt>
                <c:pt idx="1">
                  <c:v>144.6</c:v>
                </c:pt>
                <c:pt idx="2">
                  <c:v>521.29999999999995</c:v>
                </c:pt>
                <c:pt idx="3">
                  <c:v>8051.2</c:v>
                </c:pt>
              </c:numCache>
            </c:numRef>
          </c:val>
          <c:extLst xmlns:c16r2="http://schemas.microsoft.com/office/drawing/2015/06/chart">
            <c:ext xmlns:c16="http://schemas.microsoft.com/office/drawing/2014/chart" uri="{C3380CC4-5D6E-409C-BE32-E72D297353CC}">
              <c16:uniqueId val="{00000001-CDDF-4D23-8CBC-6F8F1DC15110}"/>
            </c:ext>
          </c:extLst>
        </c:ser>
        <c:dLbls>
          <c:showLegendKey val="0"/>
          <c:showVal val="1"/>
          <c:showCatName val="0"/>
          <c:showSerName val="0"/>
          <c:showPercent val="0"/>
          <c:showBubbleSize val="0"/>
        </c:dLbls>
        <c:gapWidth val="75"/>
        <c:axId val="193826304"/>
        <c:axId val="194937408"/>
      </c:barChart>
      <c:catAx>
        <c:axId val="193826304"/>
        <c:scaling>
          <c:orientation val="minMax"/>
        </c:scaling>
        <c:delete val="0"/>
        <c:axPos val="l"/>
        <c:minorGridlines>
          <c:spPr>
            <a:ln>
              <a:noFill/>
            </a:ln>
          </c:spPr>
        </c:minorGridlines>
        <c:numFmt formatCode="#\ ?/?" sourceLinked="0"/>
        <c:majorTickMark val="none"/>
        <c:minorTickMark val="none"/>
        <c:tickLblPos val="nextTo"/>
        <c:txPr>
          <a:bodyPr/>
          <a:lstStyle/>
          <a:p>
            <a:pPr>
              <a:defRPr b="1"/>
            </a:pPr>
            <a:endParaRPr lang="lt-LT"/>
          </a:p>
        </c:txPr>
        <c:crossAx val="194937408"/>
        <c:crosses val="autoZero"/>
        <c:auto val="1"/>
        <c:lblAlgn val="ctr"/>
        <c:lblOffset val="100"/>
        <c:noMultiLvlLbl val="0"/>
      </c:catAx>
      <c:valAx>
        <c:axId val="194937408"/>
        <c:scaling>
          <c:orientation val="minMax"/>
        </c:scaling>
        <c:delete val="0"/>
        <c:axPos val="b"/>
        <c:majorGridlines/>
        <c:numFmt formatCode="#,##0" sourceLinked="0"/>
        <c:majorTickMark val="none"/>
        <c:minorTickMark val="none"/>
        <c:tickLblPos val="nextTo"/>
        <c:crossAx val="193826304"/>
        <c:crosses val="autoZero"/>
        <c:crossBetween val="between"/>
      </c:valAx>
      <c:spPr>
        <a:noFill/>
      </c:spPr>
    </c:plotArea>
    <c:legend>
      <c:legendPos val="b"/>
      <c:layout/>
      <c:overlay val="0"/>
      <c:txPr>
        <a:bodyPr/>
        <a:lstStyle/>
        <a:p>
          <a:pPr>
            <a:defRPr b="1"/>
          </a:pPr>
          <a:endParaRPr lang="lt-LT"/>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13580471280118"/>
          <c:y val="4.6524699815911716E-2"/>
          <c:w val="0.46708695251347082"/>
          <c:h val="0.91541703414427744"/>
        </c:manualLayout>
      </c:layout>
      <c:barChart>
        <c:barDir val="col"/>
        <c:grouping val="stacked"/>
        <c:varyColors val="0"/>
        <c:ser>
          <c:idx val="0"/>
          <c:order val="0"/>
          <c:tx>
            <c:strRef>
              <c:f>Sheet1!$A$78</c:f>
              <c:strCache>
                <c:ptCount val="1"/>
                <c:pt idx="0">
                  <c:v>Aplinkos apsauga</c:v>
                </c:pt>
              </c:strCache>
            </c:strRef>
          </c:tx>
          <c:invertIfNegative val="0"/>
          <c:dLbls>
            <c:delete val="1"/>
          </c:dLbls>
          <c:cat>
            <c:strRef>
              <c:f>Sheet1!$B$77:$C$77</c:f>
              <c:strCache>
                <c:ptCount val="2"/>
                <c:pt idx="0">
                  <c:v>Planas su leistinais patikslinimais</c:v>
                </c:pt>
                <c:pt idx="1">
                  <c:v>Vykdymas</c:v>
                </c:pt>
              </c:strCache>
            </c:strRef>
          </c:cat>
          <c:val>
            <c:numRef>
              <c:f>Sheet1!$B$78:$C$78</c:f>
              <c:numCache>
                <c:formatCode>#,##0.0_ ;\-#,##0.0\ </c:formatCode>
                <c:ptCount val="2"/>
                <c:pt idx="0">
                  <c:v>-25.668762999999998</c:v>
                </c:pt>
                <c:pt idx="1">
                  <c:v>-22.359064930000009</c:v>
                </c:pt>
              </c:numCache>
            </c:numRef>
          </c:val>
        </c:ser>
        <c:ser>
          <c:idx val="1"/>
          <c:order val="1"/>
          <c:tx>
            <c:strRef>
              <c:f>Sheet1!$A$79</c:f>
              <c:strCache>
                <c:ptCount val="1"/>
                <c:pt idx="0">
                  <c:v>Bendros valstybės paslaugos</c:v>
                </c:pt>
              </c:strCache>
            </c:strRef>
          </c:tx>
          <c:invertIfNegative val="0"/>
          <c:dLbls>
            <c:delete val="1"/>
          </c:dLbls>
          <c:cat>
            <c:strRef>
              <c:f>Sheet1!$B$77:$C$77</c:f>
              <c:strCache>
                <c:ptCount val="2"/>
                <c:pt idx="0">
                  <c:v>Planas su leistinais patikslinimais</c:v>
                </c:pt>
                <c:pt idx="1">
                  <c:v>Vykdymas</c:v>
                </c:pt>
              </c:strCache>
            </c:strRef>
          </c:cat>
          <c:val>
            <c:numRef>
              <c:f>Sheet1!$B$79:$C$79</c:f>
              <c:numCache>
                <c:formatCode>#,##0.0_ ;\-#,##0.0\ </c:formatCode>
                <c:ptCount val="2"/>
                <c:pt idx="0">
                  <c:v>1.0634497E-2</c:v>
                </c:pt>
                <c:pt idx="1">
                  <c:v>39.899782509999987</c:v>
                </c:pt>
              </c:numCache>
            </c:numRef>
          </c:val>
        </c:ser>
        <c:ser>
          <c:idx val="2"/>
          <c:order val="2"/>
          <c:tx>
            <c:strRef>
              <c:f>Sheet1!$A$80</c:f>
              <c:strCache>
                <c:ptCount val="1"/>
                <c:pt idx="0">
                  <c:v>Būstas ir komunalinis ūkis</c:v>
                </c:pt>
              </c:strCache>
            </c:strRef>
          </c:tx>
          <c:invertIfNegative val="0"/>
          <c:dLbls>
            <c:delete val="1"/>
          </c:dLbls>
          <c:cat>
            <c:strRef>
              <c:f>Sheet1!$B$77:$C$77</c:f>
              <c:strCache>
                <c:ptCount val="2"/>
                <c:pt idx="0">
                  <c:v>Planas su leistinais patikslinimais</c:v>
                </c:pt>
                <c:pt idx="1">
                  <c:v>Vykdymas</c:v>
                </c:pt>
              </c:strCache>
            </c:strRef>
          </c:cat>
          <c:val>
            <c:numRef>
              <c:f>Sheet1!$B$80:$C$80</c:f>
              <c:numCache>
                <c:formatCode>#,##0.0_ ;\-#,##0.0\ </c:formatCode>
                <c:ptCount val="2"/>
                <c:pt idx="0">
                  <c:v>3.7886500000000001</c:v>
                </c:pt>
                <c:pt idx="1">
                  <c:v>47.824562110000002</c:v>
                </c:pt>
              </c:numCache>
            </c:numRef>
          </c:val>
        </c:ser>
        <c:ser>
          <c:idx val="3"/>
          <c:order val="3"/>
          <c:tx>
            <c:strRef>
              <c:f>Sheet1!$A$81</c:f>
              <c:strCache>
                <c:ptCount val="1"/>
                <c:pt idx="0">
                  <c:v>Gynyba</c:v>
                </c:pt>
              </c:strCache>
            </c:strRef>
          </c:tx>
          <c:invertIfNegative val="0"/>
          <c:dLbls>
            <c:delete val="1"/>
          </c:dLbls>
          <c:cat>
            <c:strRef>
              <c:f>Sheet1!$B$77:$C$77</c:f>
              <c:strCache>
                <c:ptCount val="2"/>
                <c:pt idx="0">
                  <c:v>Planas su leistinais patikslinimais</c:v>
                </c:pt>
                <c:pt idx="1">
                  <c:v>Vykdymas</c:v>
                </c:pt>
              </c:strCache>
            </c:strRef>
          </c:cat>
          <c:val>
            <c:numRef>
              <c:f>Sheet1!$B$81:$C$81</c:f>
              <c:numCache>
                <c:formatCode>#,##0.0_ ;\-#,##0.0\ </c:formatCode>
                <c:ptCount val="2"/>
                <c:pt idx="0">
                  <c:v>65.918136000000004</c:v>
                </c:pt>
                <c:pt idx="1">
                  <c:v>65.536225139999857</c:v>
                </c:pt>
              </c:numCache>
            </c:numRef>
          </c:val>
        </c:ser>
        <c:ser>
          <c:idx val="4"/>
          <c:order val="4"/>
          <c:tx>
            <c:strRef>
              <c:f>Sheet1!$A$82</c:f>
              <c:strCache>
                <c:ptCount val="1"/>
                <c:pt idx="0">
                  <c:v>Viešoji tvarka ir visuomenės apsauga</c:v>
                </c:pt>
              </c:strCache>
            </c:strRef>
          </c:tx>
          <c:invertIfNegative val="0"/>
          <c:dLbls>
            <c:txPr>
              <a:bodyPr/>
              <a:lstStyle/>
              <a:p>
                <a:pPr>
                  <a:defRPr sz="800" b="1"/>
                </a:pPr>
                <a:endParaRPr lang="lt-LT"/>
              </a:p>
            </c:txPr>
            <c:dLblPos val="ctr"/>
            <c:showLegendKey val="0"/>
            <c:showVal val="1"/>
            <c:showCatName val="0"/>
            <c:showSerName val="0"/>
            <c:showPercent val="0"/>
            <c:showBubbleSize val="0"/>
            <c:showLeaderLines val="0"/>
          </c:dLbls>
          <c:cat>
            <c:strRef>
              <c:f>Sheet1!$B$77:$C$77</c:f>
              <c:strCache>
                <c:ptCount val="2"/>
                <c:pt idx="0">
                  <c:v>Planas su leistinais patikslinimais</c:v>
                </c:pt>
                <c:pt idx="1">
                  <c:v>Vykdymas</c:v>
                </c:pt>
              </c:strCache>
            </c:strRef>
          </c:cat>
          <c:val>
            <c:numRef>
              <c:f>Sheet1!$B$82:$C$82</c:f>
              <c:numCache>
                <c:formatCode>#,##0.0_ ;\-#,##0.0\ </c:formatCode>
                <c:ptCount val="2"/>
                <c:pt idx="0">
                  <c:v>123.52634399999999</c:v>
                </c:pt>
                <c:pt idx="1">
                  <c:v>85.806298769999984</c:v>
                </c:pt>
              </c:numCache>
            </c:numRef>
          </c:val>
        </c:ser>
        <c:ser>
          <c:idx val="5"/>
          <c:order val="5"/>
          <c:tx>
            <c:strRef>
              <c:f>Sheet1!$A$83</c:f>
              <c:strCache>
                <c:ptCount val="1"/>
                <c:pt idx="0">
                  <c:v>Poilsis, kultūra ir religija</c:v>
                </c:pt>
              </c:strCache>
            </c:strRef>
          </c:tx>
          <c:invertIfNegative val="0"/>
          <c:dLbls>
            <c:txPr>
              <a:bodyPr/>
              <a:lstStyle/>
              <a:p>
                <a:pPr>
                  <a:defRPr sz="800" b="1"/>
                </a:pPr>
                <a:endParaRPr lang="lt-LT"/>
              </a:p>
            </c:txPr>
            <c:dLblPos val="ctr"/>
            <c:showLegendKey val="0"/>
            <c:showVal val="1"/>
            <c:showCatName val="0"/>
            <c:showSerName val="0"/>
            <c:showPercent val="0"/>
            <c:showBubbleSize val="0"/>
            <c:showLeaderLines val="0"/>
          </c:dLbls>
          <c:cat>
            <c:strRef>
              <c:f>Sheet1!$B$77:$C$77</c:f>
              <c:strCache>
                <c:ptCount val="2"/>
                <c:pt idx="0">
                  <c:v>Planas su leistinais patikslinimais</c:v>
                </c:pt>
                <c:pt idx="1">
                  <c:v>Vykdymas</c:v>
                </c:pt>
              </c:strCache>
            </c:strRef>
          </c:cat>
          <c:val>
            <c:numRef>
              <c:f>Sheet1!$B$83:$C$83</c:f>
              <c:numCache>
                <c:formatCode>#,##0.0_ ;\-#,##0.0\ </c:formatCode>
                <c:ptCount val="2"/>
                <c:pt idx="0">
                  <c:v>141.87465700000001</c:v>
                </c:pt>
                <c:pt idx="1">
                  <c:v>131.39187425999998</c:v>
                </c:pt>
              </c:numCache>
            </c:numRef>
          </c:val>
        </c:ser>
        <c:ser>
          <c:idx val="6"/>
          <c:order val="6"/>
          <c:tx>
            <c:strRef>
              <c:f>Sheet1!$A$84</c:f>
              <c:strCache>
                <c:ptCount val="1"/>
                <c:pt idx="0">
                  <c:v>Švietimas</c:v>
                </c:pt>
              </c:strCache>
            </c:strRef>
          </c:tx>
          <c:invertIfNegative val="0"/>
          <c:dLbls>
            <c:txPr>
              <a:bodyPr/>
              <a:lstStyle/>
              <a:p>
                <a:pPr>
                  <a:defRPr sz="800" b="1"/>
                </a:pPr>
                <a:endParaRPr lang="lt-LT"/>
              </a:p>
            </c:txPr>
            <c:dLblPos val="ctr"/>
            <c:showLegendKey val="0"/>
            <c:showVal val="1"/>
            <c:showCatName val="0"/>
            <c:showSerName val="0"/>
            <c:showPercent val="0"/>
            <c:showBubbleSize val="0"/>
            <c:showLeaderLines val="0"/>
          </c:dLbls>
          <c:cat>
            <c:strRef>
              <c:f>Sheet1!$B$77:$C$77</c:f>
              <c:strCache>
                <c:ptCount val="2"/>
                <c:pt idx="0">
                  <c:v>Planas su leistinais patikslinimais</c:v>
                </c:pt>
                <c:pt idx="1">
                  <c:v>Vykdymas</c:v>
                </c:pt>
              </c:strCache>
            </c:strRef>
          </c:cat>
          <c:val>
            <c:numRef>
              <c:f>Sheet1!$B$84:$C$84</c:f>
              <c:numCache>
                <c:formatCode>#,##0.0_ ;\-#,##0.0\ </c:formatCode>
                <c:ptCount val="2"/>
                <c:pt idx="0">
                  <c:v>233.76585</c:v>
                </c:pt>
                <c:pt idx="1">
                  <c:v>268.70173275999997</c:v>
                </c:pt>
              </c:numCache>
            </c:numRef>
          </c:val>
        </c:ser>
        <c:ser>
          <c:idx val="7"/>
          <c:order val="7"/>
          <c:tx>
            <c:strRef>
              <c:f>Sheet1!$A$85</c:f>
              <c:strCache>
                <c:ptCount val="1"/>
                <c:pt idx="0">
                  <c:v>Sveikatos apsauga</c:v>
                </c:pt>
              </c:strCache>
            </c:strRef>
          </c:tx>
          <c:invertIfNegative val="0"/>
          <c:dLbls>
            <c:txPr>
              <a:bodyPr/>
              <a:lstStyle/>
              <a:p>
                <a:pPr>
                  <a:defRPr sz="800" b="1"/>
                </a:pPr>
                <a:endParaRPr lang="lt-LT"/>
              </a:p>
            </c:txPr>
            <c:dLblPos val="ctr"/>
            <c:showLegendKey val="0"/>
            <c:showVal val="1"/>
            <c:showCatName val="0"/>
            <c:showSerName val="0"/>
            <c:showPercent val="0"/>
            <c:showBubbleSize val="0"/>
            <c:showLeaderLines val="0"/>
          </c:dLbls>
          <c:cat>
            <c:strRef>
              <c:f>Sheet1!$B$77:$C$77</c:f>
              <c:strCache>
                <c:ptCount val="2"/>
                <c:pt idx="0">
                  <c:v>Planas su leistinais patikslinimais</c:v>
                </c:pt>
                <c:pt idx="1">
                  <c:v>Vykdymas</c:v>
                </c:pt>
              </c:strCache>
            </c:strRef>
          </c:cat>
          <c:val>
            <c:numRef>
              <c:f>Sheet1!$B$85:$C$85</c:f>
              <c:numCache>
                <c:formatCode>#,##0.0_ ;\-#,##0.0\ </c:formatCode>
                <c:ptCount val="2"/>
                <c:pt idx="0">
                  <c:v>303.37975900000004</c:v>
                </c:pt>
                <c:pt idx="1">
                  <c:v>280.27897219999988</c:v>
                </c:pt>
              </c:numCache>
            </c:numRef>
          </c:val>
        </c:ser>
        <c:ser>
          <c:idx val="8"/>
          <c:order val="8"/>
          <c:tx>
            <c:strRef>
              <c:f>Sheet1!$A$86</c:f>
              <c:strCache>
                <c:ptCount val="1"/>
                <c:pt idx="0">
                  <c:v>Ekonomika</c:v>
                </c:pt>
              </c:strCache>
            </c:strRef>
          </c:tx>
          <c:invertIfNegative val="0"/>
          <c:dLbls>
            <c:txPr>
              <a:bodyPr/>
              <a:lstStyle/>
              <a:p>
                <a:pPr>
                  <a:defRPr sz="800" b="1"/>
                </a:pPr>
                <a:endParaRPr lang="lt-LT"/>
              </a:p>
            </c:txPr>
            <c:dLblPos val="ctr"/>
            <c:showLegendKey val="0"/>
            <c:showVal val="1"/>
            <c:showCatName val="0"/>
            <c:showSerName val="0"/>
            <c:showPercent val="0"/>
            <c:showBubbleSize val="0"/>
            <c:showLeaderLines val="0"/>
          </c:dLbls>
          <c:cat>
            <c:strRef>
              <c:f>Sheet1!$B$77:$C$77</c:f>
              <c:strCache>
                <c:ptCount val="2"/>
                <c:pt idx="0">
                  <c:v>Planas su leistinais patikslinimais</c:v>
                </c:pt>
                <c:pt idx="1">
                  <c:v>Vykdymas</c:v>
                </c:pt>
              </c:strCache>
            </c:strRef>
          </c:cat>
          <c:val>
            <c:numRef>
              <c:f>Sheet1!$B$86:$C$86</c:f>
              <c:numCache>
                <c:formatCode>#,##0.0_ ;\-#,##0.0\ </c:formatCode>
                <c:ptCount val="2"/>
                <c:pt idx="0">
                  <c:v>1555.615325</c:v>
                </c:pt>
                <c:pt idx="1">
                  <c:v>1511.18071272</c:v>
                </c:pt>
              </c:numCache>
            </c:numRef>
          </c:val>
        </c:ser>
        <c:ser>
          <c:idx val="9"/>
          <c:order val="9"/>
          <c:tx>
            <c:strRef>
              <c:f>Sheet1!$A$87</c:f>
              <c:strCache>
                <c:ptCount val="1"/>
                <c:pt idx="0">
                  <c:v>Socialinė apsauga</c:v>
                </c:pt>
              </c:strCache>
            </c:strRef>
          </c:tx>
          <c:invertIfNegative val="0"/>
          <c:dLbls>
            <c:txPr>
              <a:bodyPr/>
              <a:lstStyle/>
              <a:p>
                <a:pPr>
                  <a:defRPr sz="800" b="1"/>
                </a:pPr>
                <a:endParaRPr lang="lt-LT"/>
              </a:p>
            </c:txPr>
            <c:dLblPos val="ctr"/>
            <c:showLegendKey val="0"/>
            <c:showVal val="1"/>
            <c:showCatName val="0"/>
            <c:showSerName val="0"/>
            <c:showPercent val="0"/>
            <c:showBubbleSize val="0"/>
            <c:showLeaderLines val="0"/>
          </c:dLbls>
          <c:cat>
            <c:strRef>
              <c:f>Sheet1!$B$77:$C$77</c:f>
              <c:strCache>
                <c:ptCount val="2"/>
                <c:pt idx="0">
                  <c:v>Planas su leistinais patikslinimais</c:v>
                </c:pt>
                <c:pt idx="1">
                  <c:v>Vykdymas</c:v>
                </c:pt>
              </c:strCache>
            </c:strRef>
          </c:cat>
          <c:val>
            <c:numRef>
              <c:f>Sheet1!$B$87:$C$87</c:f>
              <c:numCache>
                <c:formatCode>#,##0.0_ ;\-#,##0.0\ </c:formatCode>
                <c:ptCount val="2"/>
                <c:pt idx="0">
                  <c:v>1886.8173840000002</c:v>
                </c:pt>
                <c:pt idx="1">
                  <c:v>1833.3438653699998</c:v>
                </c:pt>
              </c:numCache>
            </c:numRef>
          </c:val>
        </c:ser>
        <c:dLbls>
          <c:dLblPos val="ctr"/>
          <c:showLegendKey val="0"/>
          <c:showVal val="1"/>
          <c:showCatName val="0"/>
          <c:showSerName val="0"/>
          <c:showPercent val="0"/>
          <c:showBubbleSize val="0"/>
        </c:dLbls>
        <c:gapWidth val="150"/>
        <c:overlap val="100"/>
        <c:axId val="216510976"/>
        <c:axId val="194941440"/>
      </c:barChart>
      <c:catAx>
        <c:axId val="216510976"/>
        <c:scaling>
          <c:orientation val="minMax"/>
        </c:scaling>
        <c:delete val="0"/>
        <c:axPos val="b"/>
        <c:majorTickMark val="out"/>
        <c:minorTickMark val="none"/>
        <c:tickLblPos val="nextTo"/>
        <c:txPr>
          <a:bodyPr/>
          <a:lstStyle/>
          <a:p>
            <a:pPr>
              <a:defRPr b="1"/>
            </a:pPr>
            <a:endParaRPr lang="lt-LT"/>
          </a:p>
        </c:txPr>
        <c:crossAx val="194941440"/>
        <c:crosses val="autoZero"/>
        <c:auto val="1"/>
        <c:lblAlgn val="ctr"/>
        <c:lblOffset val="100"/>
        <c:noMultiLvlLbl val="0"/>
      </c:catAx>
      <c:valAx>
        <c:axId val="194941440"/>
        <c:scaling>
          <c:orientation val="minMax"/>
          <c:max val="4500"/>
        </c:scaling>
        <c:delete val="0"/>
        <c:axPos val="l"/>
        <c:majorGridlines/>
        <c:title>
          <c:tx>
            <c:rich>
              <a:bodyPr rot="-5400000" vert="horz"/>
              <a:lstStyle/>
              <a:p>
                <a:pPr>
                  <a:defRPr/>
                </a:pPr>
                <a:r>
                  <a:rPr lang="en-US"/>
                  <a:t>mln</a:t>
                </a:r>
                <a:r>
                  <a:rPr lang="lt-LT"/>
                  <a:t>. eurų</a:t>
                </a:r>
                <a:r>
                  <a:rPr lang="en-US"/>
                  <a:t> </a:t>
                </a:r>
              </a:p>
            </c:rich>
          </c:tx>
          <c:overlay val="0"/>
        </c:title>
        <c:numFmt formatCode="#,##0_ ;\-#,##0\ " sourceLinked="0"/>
        <c:majorTickMark val="out"/>
        <c:minorTickMark val="none"/>
        <c:tickLblPos val="nextTo"/>
        <c:crossAx val="216510976"/>
        <c:crosses val="autoZero"/>
        <c:crossBetween val="between"/>
      </c:valAx>
    </c:plotArea>
    <c:legend>
      <c:legendPos val="r"/>
      <c:layout>
        <c:manualLayout>
          <c:xMode val="edge"/>
          <c:yMode val="edge"/>
          <c:x val="0.57835189748188665"/>
          <c:y val="5.7567806269767895E-2"/>
          <c:w val="0.4041785607957829"/>
          <c:h val="0.88486390691471195"/>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'išlaidos pagal funkcijas'!$B$1</c:f>
              <c:strCache>
                <c:ptCount val="1"/>
                <c:pt idx="0">
                  <c:v>2020 metai</c:v>
                </c:pt>
              </c:strCache>
            </c:strRef>
          </c:tx>
          <c:invertIfNegative val="0"/>
          <c:dLbls>
            <c:txPr>
              <a:bodyPr/>
              <a:lstStyle/>
              <a:p>
                <a:pPr>
                  <a:defRPr sz="10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'išlaidos pagal funkcijas'!$A$2:$A$11</c:f>
              <c:strCache>
                <c:ptCount val="10"/>
                <c:pt idx="0">
                  <c:v>Socialinė apsauga</c:v>
                </c:pt>
                <c:pt idx="1">
                  <c:v>Švietimas</c:v>
                </c:pt>
                <c:pt idx="2">
                  <c:v>Poilsis, kultūra ir religija</c:v>
                </c:pt>
                <c:pt idx="3">
                  <c:v>Sveikatos apsauga</c:v>
                </c:pt>
                <c:pt idx="4">
                  <c:v>Būstas ir komunalinis ūkis</c:v>
                </c:pt>
                <c:pt idx="5">
                  <c:v>Aplinkos apsauga</c:v>
                </c:pt>
                <c:pt idx="6">
                  <c:v>Ekonomika</c:v>
                </c:pt>
                <c:pt idx="7">
                  <c:v>Viešoji tvarka ir visuomenės apsauga</c:v>
                </c:pt>
                <c:pt idx="8">
                  <c:v>Gynyba</c:v>
                </c:pt>
                <c:pt idx="9">
                  <c:v>Bendrosios valstybės paslaugos</c:v>
                </c:pt>
              </c:strCache>
            </c:strRef>
          </c:cat>
          <c:val>
            <c:numRef>
              <c:f>'išlaidos pagal funkcijas'!$B$2:$B$11</c:f>
              <c:numCache>
                <c:formatCode>#,##0.0</c:formatCode>
                <c:ptCount val="10"/>
                <c:pt idx="0">
                  <c:v>4982.2</c:v>
                </c:pt>
                <c:pt idx="1">
                  <c:v>1708.7</c:v>
                </c:pt>
                <c:pt idx="2">
                  <c:v>445.4</c:v>
                </c:pt>
                <c:pt idx="3">
                  <c:v>1068</c:v>
                </c:pt>
                <c:pt idx="4">
                  <c:v>73.3</c:v>
                </c:pt>
                <c:pt idx="5">
                  <c:v>198</c:v>
                </c:pt>
                <c:pt idx="6">
                  <c:v>3645.8</c:v>
                </c:pt>
                <c:pt idx="7">
                  <c:v>837</c:v>
                </c:pt>
                <c:pt idx="8">
                  <c:v>1129.2</c:v>
                </c:pt>
                <c:pt idx="9">
                  <c:v>1474.4</c:v>
                </c:pt>
              </c:numCache>
            </c:numRef>
          </c:val>
        </c:ser>
        <c:ser>
          <c:idx val="1"/>
          <c:order val="1"/>
          <c:tx>
            <c:strRef>
              <c:f>'išlaidos pagal funkcijas'!$C$1</c:f>
              <c:strCache>
                <c:ptCount val="1"/>
                <c:pt idx="0">
                  <c:v>2019 metai</c:v>
                </c:pt>
              </c:strCache>
            </c:strRef>
          </c:tx>
          <c:invertIfNegative val="0"/>
          <c:dLbls>
            <c:txPr>
              <a:bodyPr/>
              <a:lstStyle/>
              <a:p>
                <a:pPr>
                  <a:defRPr sz="10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dLbls>
          <c:cat>
            <c:strRef>
              <c:f>'išlaidos pagal funkcijas'!$A$2:$A$11</c:f>
              <c:strCache>
                <c:ptCount val="10"/>
                <c:pt idx="0">
                  <c:v>Socialinė apsauga</c:v>
                </c:pt>
                <c:pt idx="1">
                  <c:v>Švietimas</c:v>
                </c:pt>
                <c:pt idx="2">
                  <c:v>Poilsis, kultūra ir religija</c:v>
                </c:pt>
                <c:pt idx="3">
                  <c:v>Sveikatos apsauga</c:v>
                </c:pt>
                <c:pt idx="4">
                  <c:v>Būstas ir komunalinis ūkis</c:v>
                </c:pt>
                <c:pt idx="5">
                  <c:v>Aplinkos apsauga</c:v>
                </c:pt>
                <c:pt idx="6">
                  <c:v>Ekonomika</c:v>
                </c:pt>
                <c:pt idx="7">
                  <c:v>Viešoji tvarka ir visuomenės apsauga</c:v>
                </c:pt>
                <c:pt idx="8">
                  <c:v>Gynyba</c:v>
                </c:pt>
                <c:pt idx="9">
                  <c:v>Bendrosios valstybės paslaugos</c:v>
                </c:pt>
              </c:strCache>
            </c:strRef>
          </c:cat>
          <c:val>
            <c:numRef>
              <c:f>'išlaidos pagal funkcijas'!$C$2:$C$11</c:f>
              <c:numCache>
                <c:formatCode>#,##0.0</c:formatCode>
                <c:ptCount val="10"/>
                <c:pt idx="0">
                  <c:v>3148.9</c:v>
                </c:pt>
                <c:pt idx="1">
                  <c:v>1440</c:v>
                </c:pt>
                <c:pt idx="2">
                  <c:v>314</c:v>
                </c:pt>
                <c:pt idx="3">
                  <c:v>787.7</c:v>
                </c:pt>
                <c:pt idx="4">
                  <c:v>25.4</c:v>
                </c:pt>
                <c:pt idx="5">
                  <c:v>220.4</c:v>
                </c:pt>
                <c:pt idx="6">
                  <c:v>2134.6</c:v>
                </c:pt>
                <c:pt idx="7">
                  <c:v>751.2</c:v>
                </c:pt>
                <c:pt idx="8">
                  <c:v>1063.7</c:v>
                </c:pt>
                <c:pt idx="9">
                  <c:v>1434.5</c:v>
                </c:pt>
              </c:numCache>
            </c:numRef>
          </c:val>
        </c:ser>
        <c:dLbls>
          <c:showLegendKey val="0"/>
          <c:showVal val="0"/>
          <c:showCatName val="0"/>
          <c:showSerName val="0"/>
          <c:showPercent val="0"/>
          <c:showBubbleSize val="0"/>
        </c:dLbls>
        <c:gapWidth val="150"/>
        <c:shape val="box"/>
        <c:axId val="216510464"/>
        <c:axId val="194942592"/>
        <c:axId val="0"/>
      </c:bar3DChart>
      <c:catAx>
        <c:axId val="216510464"/>
        <c:scaling>
          <c:orientation val="minMax"/>
        </c:scaling>
        <c:delete val="0"/>
        <c:axPos val="l"/>
        <c:majorTickMark val="out"/>
        <c:minorTickMark val="none"/>
        <c:tickLblPos val="nextTo"/>
        <c:txPr>
          <a:bodyPr/>
          <a:lstStyle/>
          <a:p>
            <a:pPr>
              <a:defRPr sz="1050">
                <a:latin typeface="Times New Roman" pitchFamily="18" charset="0"/>
                <a:cs typeface="Times New Roman" pitchFamily="18" charset="0"/>
              </a:defRPr>
            </a:pPr>
            <a:endParaRPr lang="lt-LT"/>
          </a:p>
        </c:txPr>
        <c:crossAx val="194942592"/>
        <c:crosses val="autoZero"/>
        <c:auto val="1"/>
        <c:lblAlgn val="ctr"/>
        <c:lblOffset val="100"/>
        <c:noMultiLvlLbl val="0"/>
      </c:catAx>
      <c:valAx>
        <c:axId val="194942592"/>
        <c:scaling>
          <c:orientation val="minMax"/>
        </c:scaling>
        <c:delete val="0"/>
        <c:axPos val="b"/>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16510464"/>
        <c:crosses val="autoZero"/>
        <c:crossBetween val="between"/>
      </c:valAx>
    </c:plotArea>
    <c:legend>
      <c:legendPos val="r"/>
      <c:layout>
        <c:manualLayout>
          <c:xMode val="edge"/>
          <c:yMode val="edge"/>
          <c:x val="0.82681917914834779"/>
          <c:y val="0.37324592174430593"/>
          <c:w val="0.13111983241842404"/>
          <c:h val="9.3563144862951461E-2"/>
        </c:manualLayout>
      </c:layout>
      <c:overlay val="0"/>
      <c:txPr>
        <a:bodyPr/>
        <a:lstStyle/>
        <a:p>
          <a:pPr>
            <a:defRPr b="1">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40"/>
      <c:rotY val="0"/>
      <c:rAngAx val="0"/>
      <c:perspective val="30"/>
    </c:view3D>
    <c:floor>
      <c:thickness val="0"/>
    </c:floor>
    <c:sideWall>
      <c:thickness val="0"/>
    </c:sideWall>
    <c:backWall>
      <c:thickness val="0"/>
    </c:backWall>
    <c:plotArea>
      <c:layout/>
      <c:pie3DChart>
        <c:varyColors val="1"/>
        <c:ser>
          <c:idx val="0"/>
          <c:order val="0"/>
          <c:dLbls>
            <c:dLbl>
              <c:idx val="0"/>
              <c:tx>
                <c:rich>
                  <a:bodyPr/>
                  <a:lstStyle/>
                  <a:p>
                    <a:r>
                      <a:rPr lang="en-US" sz="1050" b="1">
                        <a:latin typeface="Times New Roman" pitchFamily="18" charset="0"/>
                        <a:cs typeface="Times New Roman" pitchFamily="18" charset="0"/>
                      </a:rPr>
                      <a:t> 32%</a:t>
                    </a:r>
                    <a:endParaRPr lang="en-US"/>
                  </a:p>
                </c:rich>
              </c:tx>
              <c:showLegendKey val="1"/>
              <c:showVal val="1"/>
              <c:showCatName val="0"/>
              <c:showSerName val="0"/>
              <c:showPercent val="1"/>
              <c:showBubbleSize val="0"/>
            </c:dLbl>
            <c:dLbl>
              <c:idx val="1"/>
              <c:tx>
                <c:rich>
                  <a:bodyPr/>
                  <a:lstStyle/>
                  <a:p>
                    <a:r>
                      <a:rPr lang="en-US" sz="1050" b="1">
                        <a:latin typeface="Times New Roman" pitchFamily="18" charset="0"/>
                        <a:cs typeface="Times New Roman" pitchFamily="18" charset="0"/>
                      </a:rPr>
                      <a:t>11%</a:t>
                    </a:r>
                    <a:endParaRPr lang="en-US"/>
                  </a:p>
                </c:rich>
              </c:tx>
              <c:showLegendKey val="1"/>
              <c:showVal val="1"/>
              <c:showCatName val="0"/>
              <c:showSerName val="0"/>
              <c:showPercent val="0"/>
              <c:showBubbleSize val="0"/>
            </c:dLbl>
            <c:dLbl>
              <c:idx val="2"/>
              <c:tx>
                <c:rich>
                  <a:bodyPr/>
                  <a:lstStyle/>
                  <a:p>
                    <a:r>
                      <a:rPr lang="en-US" sz="1050" b="1">
                        <a:latin typeface="Times New Roman" pitchFamily="18" charset="0"/>
                        <a:cs typeface="Times New Roman" pitchFamily="18" charset="0"/>
                      </a:rPr>
                      <a:t>2,9%</a:t>
                    </a:r>
                    <a:endParaRPr lang="en-US"/>
                  </a:p>
                </c:rich>
              </c:tx>
              <c:showLegendKey val="1"/>
              <c:showVal val="1"/>
              <c:showCatName val="0"/>
              <c:showSerName val="0"/>
              <c:showPercent val="0"/>
              <c:showBubbleSize val="0"/>
            </c:dLbl>
            <c:dLbl>
              <c:idx val="3"/>
              <c:tx>
                <c:rich>
                  <a:bodyPr/>
                  <a:lstStyle/>
                  <a:p>
                    <a:r>
                      <a:rPr lang="en-US" sz="1050" b="1">
                        <a:latin typeface="Times New Roman" pitchFamily="18" charset="0"/>
                        <a:cs typeface="Times New Roman" pitchFamily="18" charset="0"/>
                      </a:rPr>
                      <a:t>6,9%</a:t>
                    </a:r>
                    <a:endParaRPr lang="en-US"/>
                  </a:p>
                </c:rich>
              </c:tx>
              <c:showLegendKey val="1"/>
              <c:showVal val="1"/>
              <c:showCatName val="0"/>
              <c:showSerName val="0"/>
              <c:showPercent val="0"/>
              <c:showBubbleSize val="0"/>
            </c:dLbl>
            <c:dLbl>
              <c:idx val="4"/>
              <c:layout>
                <c:manualLayout>
                  <c:x val="7.4904086544078138E-2"/>
                  <c:y val="3.9384356955380576E-2"/>
                </c:manualLayout>
              </c:layout>
              <c:tx>
                <c:rich>
                  <a:bodyPr/>
                  <a:lstStyle/>
                  <a:p>
                    <a:r>
                      <a:rPr lang="en-US" sz="1050" b="1">
                        <a:latin typeface="Times New Roman" pitchFamily="18" charset="0"/>
                        <a:cs typeface="Times New Roman" pitchFamily="18" charset="0"/>
                      </a:rPr>
                      <a:t>0,5%</a:t>
                    </a:r>
                    <a:endParaRPr lang="en-US"/>
                  </a:p>
                </c:rich>
              </c:tx>
              <c:showLegendKey val="1"/>
              <c:showVal val="1"/>
              <c:showCatName val="0"/>
              <c:showSerName val="0"/>
              <c:showPercent val="0"/>
              <c:showBubbleSize val="0"/>
            </c:dLbl>
            <c:dLbl>
              <c:idx val="5"/>
              <c:layout>
                <c:manualLayout>
                  <c:x val="-5.3525082361737426E-2"/>
                  <c:y val="5.3448118985126858E-3"/>
                </c:manualLayout>
              </c:layout>
              <c:tx>
                <c:rich>
                  <a:bodyPr/>
                  <a:lstStyle/>
                  <a:p>
                    <a:r>
                      <a:rPr lang="en-US" sz="1050" b="1">
                        <a:latin typeface="Times New Roman" pitchFamily="18" charset="0"/>
                        <a:cs typeface="Times New Roman" pitchFamily="18" charset="0"/>
                      </a:rPr>
                      <a:t>1,3%</a:t>
                    </a:r>
                    <a:endParaRPr lang="en-US"/>
                  </a:p>
                </c:rich>
              </c:tx>
              <c:showLegendKey val="1"/>
              <c:showVal val="1"/>
              <c:showCatName val="0"/>
              <c:showSerName val="0"/>
              <c:showPercent val="0"/>
              <c:showBubbleSize val="0"/>
            </c:dLbl>
            <c:dLbl>
              <c:idx val="6"/>
              <c:tx>
                <c:rich>
                  <a:bodyPr/>
                  <a:lstStyle/>
                  <a:p>
                    <a:r>
                      <a:rPr lang="en-US" sz="1050" b="1">
                        <a:latin typeface="Times New Roman" pitchFamily="18" charset="0"/>
                        <a:cs typeface="Times New Roman" pitchFamily="18" charset="0"/>
                      </a:rPr>
                      <a:t>23,4%</a:t>
                    </a:r>
                    <a:endParaRPr lang="en-US"/>
                  </a:p>
                </c:rich>
              </c:tx>
              <c:showLegendKey val="1"/>
              <c:showVal val="1"/>
              <c:showCatName val="0"/>
              <c:showSerName val="0"/>
              <c:showPercent val="0"/>
              <c:showBubbleSize val="0"/>
            </c:dLbl>
            <c:dLbl>
              <c:idx val="7"/>
              <c:tx>
                <c:rich>
                  <a:bodyPr/>
                  <a:lstStyle/>
                  <a:p>
                    <a:r>
                      <a:rPr lang="en-US" sz="1050" b="1">
                        <a:latin typeface="Times New Roman" pitchFamily="18" charset="0"/>
                        <a:cs typeface="Times New Roman" pitchFamily="18" charset="0"/>
                      </a:rPr>
                      <a:t>5,4%</a:t>
                    </a:r>
                    <a:endParaRPr lang="en-US"/>
                  </a:p>
                </c:rich>
              </c:tx>
              <c:showLegendKey val="1"/>
              <c:showVal val="1"/>
              <c:showCatName val="0"/>
              <c:showSerName val="0"/>
              <c:showPercent val="0"/>
              <c:showBubbleSize val="0"/>
            </c:dLbl>
            <c:dLbl>
              <c:idx val="8"/>
              <c:tx>
                <c:rich>
                  <a:bodyPr/>
                  <a:lstStyle/>
                  <a:p>
                    <a:r>
                      <a:rPr lang="en-US" sz="1050" b="1">
                        <a:latin typeface="Times New Roman" pitchFamily="18" charset="0"/>
                        <a:cs typeface="Times New Roman" pitchFamily="18" charset="0"/>
                      </a:rPr>
                      <a:t>7,2%</a:t>
                    </a:r>
                    <a:endParaRPr lang="en-US"/>
                  </a:p>
                </c:rich>
              </c:tx>
              <c:showLegendKey val="1"/>
              <c:showVal val="1"/>
              <c:showCatName val="0"/>
              <c:showSerName val="0"/>
              <c:showPercent val="0"/>
              <c:showBubbleSize val="0"/>
            </c:dLbl>
            <c:dLbl>
              <c:idx val="9"/>
              <c:tx>
                <c:rich>
                  <a:bodyPr/>
                  <a:lstStyle/>
                  <a:p>
                    <a:r>
                      <a:rPr lang="en-US" sz="1050" b="1">
                        <a:latin typeface="Times New Roman" pitchFamily="18" charset="0"/>
                        <a:cs typeface="Times New Roman" pitchFamily="18" charset="0"/>
                      </a:rPr>
                      <a:t>9,4%</a:t>
                    </a:r>
                    <a:endParaRPr lang="en-US"/>
                  </a:p>
                </c:rich>
              </c:tx>
              <c:showLegendKey val="1"/>
              <c:showVal val="1"/>
              <c:showCatName val="0"/>
              <c:showSerName val="0"/>
              <c:showPercent val="0"/>
              <c:showBubbleSize val="0"/>
            </c:dLbl>
            <c:spPr>
              <a:noFill/>
              <a:ln>
                <a:noFill/>
              </a:ln>
              <a:effectLst/>
            </c:spPr>
            <c:txPr>
              <a:bodyPr/>
              <a:lstStyle/>
              <a:p>
                <a:pPr>
                  <a:defRPr sz="1050" b="1">
                    <a:latin typeface="Times New Roman" pitchFamily="18" charset="0"/>
                    <a:cs typeface="Times New Roman" pitchFamily="18" charset="0"/>
                  </a:defRPr>
                </a:pPr>
                <a:endParaRPr lang="lt-LT"/>
              </a:p>
            </c:txPr>
            <c:showLegendKey val="1"/>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'išlaidos pagal funkcijas'!$E$2:$E$11</c:f>
              <c:strCache>
                <c:ptCount val="10"/>
                <c:pt idx="0">
                  <c:v>Socialinė apsauga</c:v>
                </c:pt>
                <c:pt idx="1">
                  <c:v>Švietimas</c:v>
                </c:pt>
                <c:pt idx="2">
                  <c:v>Poilsis, kultūra ir religija</c:v>
                </c:pt>
                <c:pt idx="3">
                  <c:v>Sveikatos apsauga</c:v>
                </c:pt>
                <c:pt idx="4">
                  <c:v>Būstas ir komunalinis ūkis</c:v>
                </c:pt>
                <c:pt idx="5">
                  <c:v>Aplinkos apsauga</c:v>
                </c:pt>
                <c:pt idx="6">
                  <c:v>Ekonomika</c:v>
                </c:pt>
                <c:pt idx="7">
                  <c:v>Viešoji tvarka ir visuomenės apsauga</c:v>
                </c:pt>
                <c:pt idx="8">
                  <c:v>Gynyba</c:v>
                </c:pt>
                <c:pt idx="9">
                  <c:v>Bendrosios valstybės paslaugos</c:v>
                </c:pt>
              </c:strCache>
            </c:strRef>
          </c:cat>
          <c:val>
            <c:numRef>
              <c:f>'išlaidos pagal funkcijas'!$F$2:$F$11</c:f>
              <c:numCache>
                <c:formatCode>General</c:formatCode>
                <c:ptCount val="10"/>
                <c:pt idx="0">
                  <c:v>32</c:v>
                </c:pt>
                <c:pt idx="1">
                  <c:v>11</c:v>
                </c:pt>
                <c:pt idx="2">
                  <c:v>2.9</c:v>
                </c:pt>
                <c:pt idx="3">
                  <c:v>6.9</c:v>
                </c:pt>
                <c:pt idx="4">
                  <c:v>0.5</c:v>
                </c:pt>
                <c:pt idx="5">
                  <c:v>1.3</c:v>
                </c:pt>
                <c:pt idx="6">
                  <c:v>23.4</c:v>
                </c:pt>
                <c:pt idx="7">
                  <c:v>5.4</c:v>
                </c:pt>
                <c:pt idx="8">
                  <c:v>7.2</c:v>
                </c:pt>
                <c:pt idx="9">
                  <c:v>9.4</c:v>
                </c:pt>
              </c:numCache>
            </c:numRef>
          </c:val>
          <c:extLst xmlns:c16r2="http://schemas.microsoft.com/office/drawing/2015/06/chart">
            <c:ext xmlns:c16="http://schemas.microsoft.com/office/drawing/2014/chart" uri="{C3380CC4-5D6E-409C-BE32-E72D297353CC}">
              <c16:uniqueId val="{0000000A-BE7E-4DBC-969A-B595C7B29CE9}"/>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1743327336308484"/>
          <c:y val="7.3970113735783008E-2"/>
          <c:w val="0.37069729043513477"/>
          <c:h val="0.82361504811898512"/>
        </c:manualLayout>
      </c:layout>
      <c:overlay val="0"/>
      <c:txPr>
        <a:bodyPr/>
        <a:lstStyle/>
        <a:p>
          <a:pPr>
            <a:defRPr sz="1050" b="0">
              <a:latin typeface="Times New Roman" pitchFamily="18" charset="0"/>
              <a:cs typeface="Times New Roman" pitchFamily="18" charset="0"/>
            </a:defRPr>
          </a:pPr>
          <a:endParaRPr lang="lt-LT"/>
        </a:p>
      </c:txPr>
    </c:legend>
    <c:plotVisOnly val="1"/>
    <c:dispBlanksAs val="gap"/>
    <c:showDLblsOverMax val="0"/>
  </c:chart>
  <c:spPr>
    <a:effectLst>
      <a:softEdge rad="127000"/>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7.8988931722589386E-3"/>
          <c:y val="9.7721226875626052E-2"/>
          <c:w val="0.52879926646401121"/>
          <c:h val="0.79549325402121362"/>
        </c:manualLayout>
      </c:layout>
      <c:pie3DChart>
        <c:varyColors val="1"/>
        <c:ser>
          <c:idx val="0"/>
          <c:order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dPt>
            <c:idx val="13"/>
            <c:bubble3D val="0"/>
          </c:dPt>
          <c:dLbls>
            <c:numFmt formatCode="0%" sourceLinked="0"/>
            <c:txPr>
              <a:bodyPr/>
              <a:lstStyle/>
              <a:p>
                <a:pPr>
                  <a:defRPr sz="900" b="1">
                    <a:latin typeface="Times New Roman" pitchFamily="18" charset="0"/>
                    <a:cs typeface="Times New Roman" pitchFamily="18" charset="0"/>
                  </a:defRPr>
                </a:pPr>
                <a:endParaRPr lang="lt-LT"/>
              </a:p>
            </c:txPr>
            <c:dLblPos val="inEnd"/>
            <c:showLegendKey val="0"/>
            <c:showVal val="0"/>
            <c:showCatName val="0"/>
            <c:showSerName val="0"/>
            <c:showPercent val="1"/>
            <c:showBubbleSize val="0"/>
            <c:showLeaderLines val="1"/>
          </c:dLbls>
          <c:cat>
            <c:strRef>
              <c:f>Lapas1!$B$2:$B$14</c:f>
              <c:strCache>
                <c:ptCount val="13"/>
                <c:pt idx="0">
                  <c:v>Užsitęsusios viešųjų pirkimų ir susijusios teisinės ir administracinės procedūros</c:v>
                </c:pt>
                <c:pt idx="1">
                  <c:v>Užsitęsę vykdomi darbai, jų dokumentacijos tvarkymas</c:v>
                </c:pt>
                <c:pt idx="2">
                  <c:v>Kitos šalies vėlavimas vykdyti įsipareigojimus</c:v>
                </c:pt>
                <c:pt idx="3">
                  <c:v>Užsitęsę, atidėti ar neįvykę darbai, pirkimai, veiklos dėl pandemijos</c:v>
                </c:pt>
                <c:pt idx="4">
                  <c:v>Dėl mažesnio nei planuota gavėjų skaičiaus mažesnis socialinės paramos poreikis</c:v>
                </c:pt>
                <c:pt idx="5">
                  <c:v>Užsitęsusios projektų/ paraiškų vertinimo procedūros</c:v>
                </c:pt>
                <c:pt idx="6">
                  <c:v>Netikslus planavimas</c:v>
                </c:pt>
                <c:pt idx="7">
                  <c:v>Mažesnis, nei planuota, pirkimų poreikis</c:v>
                </c:pt>
                <c:pt idx="8">
                  <c:v>Užsitęsęs teisės aktų parengimas</c:v>
                </c:pt>
                <c:pt idx="9">
                  <c:v>Mažesnis nei planuota subsidijų užimtumo didinimui poreikis</c:v>
                </c:pt>
                <c:pt idx="10">
                  <c:v>Mažesnė, nei planuota pirkimų kaina</c:v>
                </c:pt>
                <c:pt idx="11">
                  <c:v>Personalo kaita ir laikinas nedarbingumas</c:v>
                </c:pt>
                <c:pt idx="12">
                  <c:v>Kita</c:v>
                </c:pt>
              </c:strCache>
            </c:strRef>
          </c:cat>
          <c:val>
            <c:numRef>
              <c:f>Lapas1!$C$2:$C$14</c:f>
              <c:numCache>
                <c:formatCode>#,##0.00</c:formatCode>
                <c:ptCount val="13"/>
                <c:pt idx="0">
                  <c:v>147978.43999999992</c:v>
                </c:pt>
                <c:pt idx="1">
                  <c:v>123842.32</c:v>
                </c:pt>
                <c:pt idx="2">
                  <c:v>92113.200000000012</c:v>
                </c:pt>
                <c:pt idx="3">
                  <c:v>77836.729999999981</c:v>
                </c:pt>
                <c:pt idx="4">
                  <c:v>34906.400000000001</c:v>
                </c:pt>
                <c:pt idx="5">
                  <c:v>27349.3</c:v>
                </c:pt>
                <c:pt idx="6">
                  <c:v>24759.9</c:v>
                </c:pt>
                <c:pt idx="7">
                  <c:v>22585.070000000007</c:v>
                </c:pt>
                <c:pt idx="8">
                  <c:v>21633.7</c:v>
                </c:pt>
                <c:pt idx="9">
                  <c:v>21184.9</c:v>
                </c:pt>
                <c:pt idx="10">
                  <c:v>17713.069999999996</c:v>
                </c:pt>
                <c:pt idx="11">
                  <c:v>7731.6100000000051</c:v>
                </c:pt>
                <c:pt idx="12">
                  <c:v>213132.78171999994</c:v>
                </c:pt>
              </c:numCache>
            </c:numRef>
          </c:val>
          <c:extLst xmlns:c16r2="http://schemas.microsoft.com/office/drawing/2015/06/chart">
            <c:ext xmlns:c16="http://schemas.microsoft.com/office/drawing/2014/chart" uri="{C3380CC4-5D6E-409C-BE32-E72D297353CC}">
              <c16:uniqueId val="{00000000-6C74-4C14-AECE-CA44BBB993C7}"/>
            </c:ext>
          </c:extLst>
        </c:ser>
        <c:dLbls>
          <c:showLegendKey val="0"/>
          <c:showVal val="0"/>
          <c:showCatName val="0"/>
          <c:showSerName val="0"/>
          <c:showPercent val="0"/>
          <c:showBubbleSize val="0"/>
          <c:showLeaderLines val="1"/>
        </c:dLbls>
      </c:pie3DChart>
    </c:plotArea>
    <c:legend>
      <c:legendPos val="r"/>
      <c:layout>
        <c:manualLayout>
          <c:xMode val="edge"/>
          <c:yMode val="edge"/>
          <c:x val="0.54351395327920449"/>
          <c:y val="2.1220159151193633E-2"/>
          <c:w val="0.44671502075936298"/>
          <c:h val="0.97877984084880632"/>
        </c:manualLayout>
      </c:layout>
      <c:overlay val="0"/>
      <c:txPr>
        <a:bodyPr rot="0" vert="horz"/>
        <a:lstStyle/>
        <a:p>
          <a:pPr>
            <a:defRPr sz="1050">
              <a:latin typeface="Times New Roman" pitchFamily="18" charset="0"/>
              <a:cs typeface="Times New Roman"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gos for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1DCE-A2D5-428D-AF4C-6134BBD0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32</Pages>
  <Words>11916</Words>
  <Characters>78926</Characters>
  <Application>Microsoft Office Word</Application>
  <DocSecurity>0</DocSecurity>
  <Lines>657</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FM</Company>
  <LinksUpToDate>false</LinksUpToDate>
  <CharactersWithSpaces>90661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Danguolė Mačiulevičienė</cp:lastModifiedBy>
  <cp:revision>112</cp:revision>
  <cp:lastPrinted>2020-06-22T11:25:00Z</cp:lastPrinted>
  <dcterms:created xsi:type="dcterms:W3CDTF">2021-03-03T16:49:00Z</dcterms:created>
  <dcterms:modified xsi:type="dcterms:W3CDTF">2021-03-10T10:11:00Z</dcterms:modified>
</cp:coreProperties>
</file>