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6EF47" w14:textId="77777777" w:rsidR="00675A68" w:rsidRPr="001B35F3" w:rsidRDefault="00675A68" w:rsidP="00CA09A6">
      <w:pPr>
        <w:spacing w:before="160"/>
        <w:ind w:left="-851" w:firstLine="851"/>
        <w:jc w:val="center"/>
        <w:rPr>
          <w:b/>
          <w:caps/>
        </w:rPr>
      </w:pPr>
      <w:bookmarkStart w:id="0" w:name="_GoBack"/>
      <w:bookmarkEnd w:id="0"/>
      <w:r w:rsidRPr="001B35F3">
        <w:rPr>
          <w:b/>
          <w:caps/>
        </w:rPr>
        <w:t xml:space="preserve">LIETUVOS RESPUBLIKOS </w:t>
      </w:r>
      <w:r w:rsidR="006E312A" w:rsidRPr="001B35F3">
        <w:rPr>
          <w:b/>
          <w:caps/>
        </w:rPr>
        <w:t xml:space="preserve">energetikos </w:t>
      </w:r>
      <w:r w:rsidRPr="001B35F3">
        <w:rPr>
          <w:b/>
          <w:caps/>
        </w:rPr>
        <w:t>MINISTERIJA</w:t>
      </w:r>
    </w:p>
    <w:p w14:paraId="15F65B93" w14:textId="77777777" w:rsidR="00675A68" w:rsidRPr="001B35F3" w:rsidRDefault="00675A68" w:rsidP="00282963">
      <w:pPr>
        <w:ind w:left="-851"/>
        <w:jc w:val="center"/>
        <w:rPr>
          <w:b/>
          <w:caps/>
          <w:sz w:val="10"/>
        </w:rPr>
      </w:pPr>
    </w:p>
    <w:p w14:paraId="2723D5A5" w14:textId="77777777" w:rsidR="00DD1896" w:rsidRPr="001B35F3" w:rsidRDefault="00E42350" w:rsidP="006E312A">
      <w:pPr>
        <w:spacing w:before="40"/>
        <w:ind w:left="-851"/>
        <w:jc w:val="center"/>
        <w:rPr>
          <w:sz w:val="17"/>
        </w:rPr>
      </w:pPr>
      <w:r w:rsidRPr="001B35F3">
        <w:rPr>
          <w:sz w:val="17"/>
        </w:rPr>
        <w:t>B</w:t>
      </w:r>
      <w:r w:rsidR="006E312A" w:rsidRPr="001B35F3">
        <w:rPr>
          <w:sz w:val="17"/>
        </w:rPr>
        <w:t>iudžetinė įstaiga, Ge</w:t>
      </w:r>
      <w:r w:rsidR="003C2EFD" w:rsidRPr="001B35F3">
        <w:rPr>
          <w:sz w:val="17"/>
        </w:rPr>
        <w:t xml:space="preserve">dimino pr. 38, </w:t>
      </w:r>
      <w:r w:rsidR="00DD1896" w:rsidRPr="001B35F3">
        <w:rPr>
          <w:sz w:val="17"/>
        </w:rPr>
        <w:t>01104 Vilnius</w:t>
      </w:r>
      <w:r w:rsidR="006E312A" w:rsidRPr="001B35F3">
        <w:rPr>
          <w:sz w:val="17"/>
        </w:rPr>
        <w:t xml:space="preserve"> </w:t>
      </w:r>
    </w:p>
    <w:p w14:paraId="24C7DA1C" w14:textId="65A3DC4F" w:rsidR="006E312A" w:rsidRPr="001B35F3" w:rsidRDefault="006E312A" w:rsidP="006E312A">
      <w:pPr>
        <w:spacing w:before="40"/>
        <w:ind w:left="-851"/>
        <w:jc w:val="center"/>
        <w:rPr>
          <w:sz w:val="17"/>
        </w:rPr>
      </w:pPr>
      <w:r w:rsidRPr="001B35F3">
        <w:rPr>
          <w:sz w:val="17"/>
        </w:rPr>
        <w:t xml:space="preserve">tel. </w:t>
      </w:r>
      <w:r w:rsidR="00AA21B6" w:rsidRPr="001B35F3">
        <w:rPr>
          <w:sz w:val="17"/>
        </w:rPr>
        <w:t xml:space="preserve">(8 </w:t>
      </w:r>
      <w:r w:rsidR="00377BF8" w:rsidRPr="001B35F3">
        <w:rPr>
          <w:sz w:val="17"/>
        </w:rPr>
        <w:t>5</w:t>
      </w:r>
      <w:r w:rsidR="00AA21B6" w:rsidRPr="001B35F3">
        <w:rPr>
          <w:sz w:val="17"/>
        </w:rPr>
        <w:t xml:space="preserve">) </w:t>
      </w:r>
      <w:r w:rsidR="00377BF8" w:rsidRPr="001B35F3">
        <w:rPr>
          <w:sz w:val="17"/>
        </w:rPr>
        <w:t>20344</w:t>
      </w:r>
      <w:r w:rsidR="008604B5" w:rsidRPr="001B35F3">
        <w:rPr>
          <w:sz w:val="17"/>
        </w:rPr>
        <w:t>07</w:t>
      </w:r>
      <w:r w:rsidR="00AA21B6" w:rsidRPr="001B35F3">
        <w:rPr>
          <w:sz w:val="17"/>
        </w:rPr>
        <w:t>,</w:t>
      </w:r>
      <w:r w:rsidR="00DD1896" w:rsidRPr="001B35F3">
        <w:rPr>
          <w:sz w:val="17"/>
        </w:rPr>
        <w:t xml:space="preserve"> </w:t>
      </w:r>
      <w:r w:rsidR="00AA21B6" w:rsidRPr="001B35F3">
        <w:rPr>
          <w:sz w:val="17"/>
        </w:rPr>
        <w:t xml:space="preserve">faks.(8 </w:t>
      </w:r>
      <w:r w:rsidR="008604B5" w:rsidRPr="001B35F3">
        <w:rPr>
          <w:sz w:val="17"/>
        </w:rPr>
        <w:t>5</w:t>
      </w:r>
      <w:r w:rsidR="00AA21B6" w:rsidRPr="001B35F3">
        <w:rPr>
          <w:sz w:val="17"/>
        </w:rPr>
        <w:t xml:space="preserve">) </w:t>
      </w:r>
      <w:r w:rsidR="008604B5" w:rsidRPr="001B35F3">
        <w:rPr>
          <w:sz w:val="17"/>
        </w:rPr>
        <w:t>2034692</w:t>
      </w:r>
      <w:r w:rsidR="00677D13" w:rsidRPr="001B35F3">
        <w:rPr>
          <w:sz w:val="17"/>
        </w:rPr>
        <w:t xml:space="preserve">, el. p. </w:t>
      </w:r>
      <w:hyperlink r:id="rId8" w:history="1">
        <w:r w:rsidR="003148A2" w:rsidRPr="001B35F3">
          <w:rPr>
            <w:rStyle w:val="Hipersaitas"/>
            <w:sz w:val="17"/>
          </w:rPr>
          <w:t>info@enmin.lt</w:t>
        </w:r>
      </w:hyperlink>
      <w:r w:rsidR="003148A2" w:rsidRPr="001B35F3">
        <w:rPr>
          <w:sz w:val="17"/>
        </w:rPr>
        <w:t xml:space="preserve"> </w:t>
      </w:r>
      <w:r w:rsidR="00021778" w:rsidRPr="001B35F3">
        <w:rPr>
          <w:sz w:val="17"/>
        </w:rPr>
        <w:t xml:space="preserve">, </w:t>
      </w:r>
      <w:hyperlink r:id="rId9" w:history="1">
        <w:r w:rsidR="00DD1896" w:rsidRPr="001B35F3">
          <w:rPr>
            <w:rStyle w:val="Hipersaitas"/>
            <w:sz w:val="17"/>
          </w:rPr>
          <w:t>http://www.enmin.lrv.lt</w:t>
        </w:r>
      </w:hyperlink>
      <w:r w:rsidR="00021778" w:rsidRPr="001B35F3">
        <w:rPr>
          <w:sz w:val="17"/>
        </w:rPr>
        <w:t xml:space="preserve"> </w:t>
      </w:r>
    </w:p>
    <w:p w14:paraId="22071C5F" w14:textId="5135352C" w:rsidR="006E312A" w:rsidRPr="001B35F3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 w:rsidRPr="001B35F3">
        <w:rPr>
          <w:sz w:val="17"/>
        </w:rPr>
        <w:t>Duomenys kaupiami ir saugomi Juridinių asmenų registre, kodas 302308327</w:t>
      </w:r>
    </w:p>
    <w:p w14:paraId="0145B6B9" w14:textId="43A7E7BB" w:rsidR="00C924C3" w:rsidRPr="001B35F3" w:rsidRDefault="00C924C3" w:rsidP="006E312A">
      <w:pPr>
        <w:widowControl w:val="0"/>
        <w:spacing w:after="40"/>
        <w:ind w:left="-851"/>
        <w:jc w:val="center"/>
        <w:rPr>
          <w:sz w:val="17"/>
        </w:rPr>
      </w:pPr>
      <w:r w:rsidRPr="001B35F3">
        <w:rPr>
          <w:noProof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1B71BD5D" wp14:editId="757A56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78855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D88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0;width:478.6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tbl>
      <w:tblPr>
        <w:tblpPr w:leftFromText="180" w:rightFromText="180" w:vertAnchor="text" w:horzAnchor="margin" w:tblpY="151"/>
        <w:tblW w:w="9638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108"/>
        <w:gridCol w:w="385"/>
        <w:gridCol w:w="1815"/>
        <w:gridCol w:w="2387"/>
      </w:tblGrid>
      <w:tr w:rsidR="005E2C50" w:rsidRPr="001B35F3" w14:paraId="1DC3DCD5" w14:textId="77777777" w:rsidTr="00C176A1">
        <w:trPr>
          <w:cantSplit/>
          <w:trHeight w:val="932"/>
        </w:trPr>
        <w:tc>
          <w:tcPr>
            <w:tcW w:w="5088" w:type="dxa"/>
            <w:vMerge w:val="restart"/>
          </w:tcPr>
          <w:p w14:paraId="27B5848E" w14:textId="1A5398E4" w:rsidR="00E25776" w:rsidRPr="001B35F3" w:rsidRDefault="000D10DF" w:rsidP="00116771">
            <w:pPr>
              <w:jc w:val="left"/>
              <w:rPr>
                <w:szCs w:val="24"/>
              </w:rPr>
            </w:pPr>
            <w:r w:rsidRPr="001B35F3">
              <w:rPr>
                <w:szCs w:val="24"/>
              </w:rPr>
              <w:t xml:space="preserve">Lietuvos Respublikos </w:t>
            </w:r>
            <w:r w:rsidR="006E56D5">
              <w:rPr>
                <w:szCs w:val="24"/>
              </w:rPr>
              <w:t>vidaus</w:t>
            </w:r>
            <w:r w:rsidR="005E2C50" w:rsidRPr="001B35F3">
              <w:rPr>
                <w:szCs w:val="24"/>
              </w:rPr>
              <w:t xml:space="preserve"> reikalų </w:t>
            </w:r>
            <w:r w:rsidRPr="001B35F3">
              <w:rPr>
                <w:szCs w:val="24"/>
              </w:rPr>
              <w:t>minis</w:t>
            </w:r>
            <w:r w:rsidR="005B4F94" w:rsidRPr="001B35F3">
              <w:rPr>
                <w:szCs w:val="24"/>
              </w:rPr>
              <w:t>t</w:t>
            </w:r>
            <w:r w:rsidR="00A84902">
              <w:rPr>
                <w:szCs w:val="24"/>
              </w:rPr>
              <w:t>erijai</w:t>
            </w:r>
            <w:r w:rsidR="00A70E44" w:rsidRPr="001B35F3">
              <w:rPr>
                <w:szCs w:val="24"/>
              </w:rPr>
              <w:t xml:space="preserve"> </w:t>
            </w:r>
          </w:p>
          <w:p w14:paraId="4427E3AC" w14:textId="6BEA544C" w:rsidR="001B35F3" w:rsidRPr="001B35F3" w:rsidRDefault="001B35F3" w:rsidP="00116771">
            <w:pPr>
              <w:jc w:val="left"/>
              <w:rPr>
                <w:szCs w:val="24"/>
              </w:rPr>
            </w:pPr>
          </w:p>
        </w:tc>
        <w:tc>
          <w:tcPr>
            <w:tcW w:w="441" w:type="dxa"/>
          </w:tcPr>
          <w:p w14:paraId="495616B9" w14:textId="77777777" w:rsidR="003D226C" w:rsidRPr="001B35F3" w:rsidRDefault="003D226C" w:rsidP="003D226C">
            <w:pPr>
              <w:jc w:val="left"/>
              <w:rPr>
                <w:szCs w:val="24"/>
              </w:rPr>
            </w:pPr>
          </w:p>
          <w:p w14:paraId="06B29DDD" w14:textId="77777777" w:rsidR="003D226C" w:rsidRPr="001B35F3" w:rsidRDefault="003D226C" w:rsidP="003D226C">
            <w:pPr>
              <w:jc w:val="left"/>
              <w:rPr>
                <w:szCs w:val="24"/>
              </w:rPr>
            </w:pPr>
          </w:p>
        </w:tc>
        <w:tc>
          <w:tcPr>
            <w:tcW w:w="1652" w:type="dxa"/>
          </w:tcPr>
          <w:p w14:paraId="257E8E2D" w14:textId="3B5D9AF7" w:rsidR="003D226C" w:rsidRPr="001B35F3" w:rsidRDefault="00DD094B" w:rsidP="003D226C">
            <w:pPr>
              <w:jc w:val="left"/>
              <w:rPr>
                <w:szCs w:val="24"/>
              </w:rPr>
            </w:pPr>
            <w:r w:rsidRPr="001B35F3">
              <w:rPr>
                <w:szCs w:val="24"/>
              </w:rPr>
              <w:t>20</w:t>
            </w:r>
            <w:r w:rsidR="001B35F3" w:rsidRPr="001B35F3">
              <w:rPr>
                <w:szCs w:val="24"/>
              </w:rPr>
              <w:t>20</w:t>
            </w:r>
            <w:r w:rsidRPr="001B35F3">
              <w:rPr>
                <w:szCs w:val="24"/>
              </w:rPr>
              <w:t>-</w:t>
            </w:r>
            <w:r w:rsidR="005E2C50" w:rsidRPr="001B35F3">
              <w:rPr>
                <w:szCs w:val="24"/>
              </w:rPr>
              <w:t>0</w:t>
            </w:r>
            <w:r w:rsidR="006E56D5">
              <w:rPr>
                <w:szCs w:val="24"/>
              </w:rPr>
              <w:t>9</w:t>
            </w:r>
            <w:r w:rsidR="00B743B6">
              <w:rPr>
                <w:szCs w:val="24"/>
              </w:rPr>
              <w:t>-</w:t>
            </w:r>
          </w:p>
          <w:p w14:paraId="49D90382" w14:textId="1D9F7D99" w:rsidR="00BE248A" w:rsidRPr="001B35F3" w:rsidRDefault="00BE248A" w:rsidP="003D226C">
            <w:pPr>
              <w:jc w:val="left"/>
              <w:rPr>
                <w:szCs w:val="24"/>
              </w:rPr>
            </w:pPr>
          </w:p>
        </w:tc>
        <w:tc>
          <w:tcPr>
            <w:tcW w:w="2457" w:type="dxa"/>
          </w:tcPr>
          <w:p w14:paraId="25686998" w14:textId="37339E01" w:rsidR="003D226C" w:rsidRPr="001B35F3" w:rsidRDefault="001C3182" w:rsidP="003D226C">
            <w:pPr>
              <w:jc w:val="left"/>
              <w:rPr>
                <w:szCs w:val="24"/>
              </w:rPr>
            </w:pPr>
            <w:r w:rsidRPr="001B35F3">
              <w:rPr>
                <w:szCs w:val="24"/>
              </w:rPr>
              <w:t>Nr.</w:t>
            </w:r>
            <w:r w:rsidR="00250C20" w:rsidRPr="001B35F3">
              <w:rPr>
                <w:szCs w:val="24"/>
              </w:rPr>
              <w:t xml:space="preserve"> (</w:t>
            </w:r>
            <w:r w:rsidR="006E56D5">
              <w:rPr>
                <w:szCs w:val="24"/>
              </w:rPr>
              <w:t>5</w:t>
            </w:r>
            <w:r w:rsidR="00250C20" w:rsidRPr="001B35F3">
              <w:rPr>
                <w:szCs w:val="24"/>
              </w:rPr>
              <w:t>.</w:t>
            </w:r>
            <w:r w:rsidR="006E56D5">
              <w:rPr>
                <w:szCs w:val="24"/>
              </w:rPr>
              <w:t>3</w:t>
            </w:r>
            <w:r w:rsidR="00250C20" w:rsidRPr="001B35F3">
              <w:rPr>
                <w:szCs w:val="24"/>
              </w:rPr>
              <w:t>-</w:t>
            </w:r>
            <w:r w:rsidR="001B35F3" w:rsidRPr="001B35F3">
              <w:rPr>
                <w:szCs w:val="24"/>
              </w:rPr>
              <w:t>0</w:t>
            </w:r>
            <w:r w:rsidR="006E56D5">
              <w:rPr>
                <w:szCs w:val="24"/>
              </w:rPr>
              <w:t>4</w:t>
            </w:r>
            <w:r w:rsidR="00A84902">
              <w:rPr>
                <w:szCs w:val="24"/>
              </w:rPr>
              <w:t xml:space="preserve"> E</w:t>
            </w:r>
            <w:r w:rsidR="00250C20" w:rsidRPr="001B35F3">
              <w:rPr>
                <w:szCs w:val="24"/>
              </w:rPr>
              <w:t>)</w:t>
            </w:r>
            <w:r w:rsidR="005E2C50" w:rsidRPr="001B35F3">
              <w:rPr>
                <w:szCs w:val="24"/>
              </w:rPr>
              <w:t>3-</w:t>
            </w:r>
          </w:p>
          <w:p w14:paraId="75F39C66" w14:textId="77777777" w:rsidR="003D226C" w:rsidRPr="001B35F3" w:rsidRDefault="003D226C" w:rsidP="001B35F3">
            <w:pPr>
              <w:ind w:right="-567"/>
              <w:jc w:val="left"/>
              <w:rPr>
                <w:szCs w:val="24"/>
              </w:rPr>
            </w:pPr>
          </w:p>
        </w:tc>
      </w:tr>
      <w:tr w:rsidR="005E2C50" w:rsidRPr="001B35F3" w14:paraId="1D261F21" w14:textId="77777777" w:rsidTr="00C176A1">
        <w:trPr>
          <w:cantSplit/>
        </w:trPr>
        <w:tc>
          <w:tcPr>
            <w:tcW w:w="5088" w:type="dxa"/>
            <w:vMerge/>
          </w:tcPr>
          <w:p w14:paraId="7DFBA0E1" w14:textId="77777777" w:rsidR="003D226C" w:rsidRPr="001B35F3" w:rsidRDefault="003D226C" w:rsidP="003D226C">
            <w:pPr>
              <w:jc w:val="left"/>
              <w:rPr>
                <w:szCs w:val="24"/>
              </w:rPr>
            </w:pPr>
          </w:p>
        </w:tc>
        <w:tc>
          <w:tcPr>
            <w:tcW w:w="441" w:type="dxa"/>
          </w:tcPr>
          <w:p w14:paraId="3957DF36" w14:textId="77777777" w:rsidR="003D226C" w:rsidRPr="001B35F3" w:rsidRDefault="003D226C" w:rsidP="003D226C">
            <w:pPr>
              <w:jc w:val="left"/>
              <w:rPr>
                <w:szCs w:val="24"/>
              </w:rPr>
            </w:pPr>
          </w:p>
        </w:tc>
        <w:tc>
          <w:tcPr>
            <w:tcW w:w="1652" w:type="dxa"/>
          </w:tcPr>
          <w:p w14:paraId="7B1ADDAD" w14:textId="77777777" w:rsidR="003D226C" w:rsidRPr="001B35F3" w:rsidRDefault="003D226C" w:rsidP="003D226C">
            <w:pPr>
              <w:jc w:val="left"/>
              <w:rPr>
                <w:szCs w:val="24"/>
              </w:rPr>
            </w:pPr>
          </w:p>
        </w:tc>
        <w:tc>
          <w:tcPr>
            <w:tcW w:w="2457" w:type="dxa"/>
          </w:tcPr>
          <w:p w14:paraId="50B7257D" w14:textId="77777777" w:rsidR="003D226C" w:rsidRPr="001B35F3" w:rsidRDefault="003D226C" w:rsidP="003D226C">
            <w:pPr>
              <w:jc w:val="left"/>
              <w:rPr>
                <w:szCs w:val="24"/>
              </w:rPr>
            </w:pPr>
          </w:p>
        </w:tc>
      </w:tr>
      <w:tr w:rsidR="003D226C" w:rsidRPr="001B35F3" w14:paraId="3250B321" w14:textId="77777777" w:rsidTr="00CB65EE">
        <w:trPr>
          <w:cantSplit/>
        </w:trPr>
        <w:tc>
          <w:tcPr>
            <w:tcW w:w="9638" w:type="dxa"/>
            <w:gridSpan w:val="4"/>
          </w:tcPr>
          <w:tbl>
            <w:tblPr>
              <w:tblW w:w="0" w:type="auto"/>
              <w:tblCellMar>
                <w:left w:w="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667"/>
            </w:tblGrid>
            <w:tr w:rsidR="003D226C" w:rsidRPr="001B35F3" w14:paraId="2A458332" w14:textId="77777777" w:rsidTr="00DF4069">
              <w:trPr>
                <w:cantSplit/>
              </w:trPr>
              <w:tc>
                <w:tcPr>
                  <w:tcW w:w="9259" w:type="dxa"/>
                </w:tcPr>
                <w:p w14:paraId="53676A04" w14:textId="77777777" w:rsidR="00E13318" w:rsidRPr="001B35F3" w:rsidRDefault="00E13318">
                  <w:pPr>
                    <w:framePr w:hSpace="180" w:wrap="around" w:vAnchor="text" w:hAnchor="margin" w:y="151"/>
                  </w:pPr>
                </w:p>
                <w:tbl>
                  <w:tblPr>
                    <w:tblW w:w="9639" w:type="dxa"/>
                    <w:tblCellMar>
                      <w:left w:w="0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3D226C" w:rsidRPr="001B35F3" w14:paraId="0A855E2C" w14:textId="77777777" w:rsidTr="00116771">
                    <w:trPr>
                      <w:cantSplit/>
                      <w:trHeight w:val="757"/>
                    </w:trPr>
                    <w:tc>
                      <w:tcPr>
                        <w:tcW w:w="9639" w:type="dxa"/>
                      </w:tcPr>
                      <w:p w14:paraId="4935D9D8" w14:textId="610E25B7" w:rsidR="001B35F3" w:rsidRPr="001B35F3" w:rsidRDefault="006E56D5" w:rsidP="00E13318">
                        <w:pPr>
                          <w:framePr w:hSpace="180" w:wrap="around" w:vAnchor="text" w:hAnchor="margin" w:y="151"/>
                          <w:rPr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aps/>
                            <w:szCs w:val="24"/>
                          </w:rPr>
                          <w:t xml:space="preserve">MOTYVUOTAS PASIŪLYMAS pakeisti </w:t>
                        </w:r>
                        <w:r w:rsidR="001B35F3" w:rsidRPr="001B35F3">
                          <w:rPr>
                            <w:b/>
                            <w:bCs/>
                            <w:caps/>
                            <w:szCs w:val="24"/>
                          </w:rPr>
                          <w:t xml:space="preserve">LIETUVOS RESPUBLIKOS </w:t>
                        </w:r>
                        <w:r>
                          <w:rPr>
                            <w:b/>
                            <w:bCs/>
                            <w:caps/>
                            <w:szCs w:val="24"/>
                          </w:rPr>
                          <w:t>VYRIAUSYBĖS NUTARIMĄ</w:t>
                        </w:r>
                      </w:p>
                      <w:p w14:paraId="385E08D3" w14:textId="2FDFCD38" w:rsidR="00ED3746" w:rsidRPr="001B35F3" w:rsidRDefault="00ED3746" w:rsidP="00E13318">
                        <w:pPr>
                          <w:framePr w:hSpace="180" w:wrap="around" w:vAnchor="text" w:hAnchor="margin" w:y="151"/>
                          <w:rPr>
                            <w:b/>
                            <w:bCs/>
                            <w:szCs w:val="24"/>
                          </w:rPr>
                        </w:pPr>
                      </w:p>
                    </w:tc>
                  </w:tr>
                </w:tbl>
                <w:p w14:paraId="397A7775" w14:textId="77777777" w:rsidR="003D226C" w:rsidRPr="001B35F3" w:rsidRDefault="003D226C" w:rsidP="003D226C">
                  <w:pPr>
                    <w:framePr w:hSpace="180" w:wrap="around" w:vAnchor="text" w:hAnchor="margin" w:y="151"/>
                    <w:ind w:firstLine="709"/>
                    <w:rPr>
                      <w:b/>
                      <w:bCs/>
                      <w:szCs w:val="24"/>
                    </w:rPr>
                  </w:pPr>
                </w:p>
              </w:tc>
            </w:tr>
          </w:tbl>
          <w:p w14:paraId="47C6D7C6" w14:textId="77777777" w:rsidR="003D226C" w:rsidRPr="001B35F3" w:rsidRDefault="003D226C" w:rsidP="003D226C">
            <w:pPr>
              <w:rPr>
                <w:b/>
                <w:bCs/>
                <w:szCs w:val="24"/>
              </w:rPr>
            </w:pPr>
          </w:p>
        </w:tc>
      </w:tr>
    </w:tbl>
    <w:p w14:paraId="6A5E70F0" w14:textId="500A547D" w:rsidR="005E2C50" w:rsidRDefault="005E2C50" w:rsidP="001D07ED">
      <w:pPr>
        <w:spacing w:line="276" w:lineRule="auto"/>
        <w:ind w:firstLine="720"/>
        <w:rPr>
          <w:szCs w:val="24"/>
        </w:rPr>
      </w:pPr>
    </w:p>
    <w:p w14:paraId="37580D56" w14:textId="77777777" w:rsidR="00712137" w:rsidRPr="001B35F3" w:rsidRDefault="00712137" w:rsidP="001D07ED">
      <w:pPr>
        <w:spacing w:line="276" w:lineRule="auto"/>
        <w:ind w:firstLine="720"/>
        <w:rPr>
          <w:szCs w:val="24"/>
        </w:rPr>
      </w:pPr>
    </w:p>
    <w:p w14:paraId="7CAA0B93" w14:textId="182EF739" w:rsidR="00F16B8D" w:rsidRDefault="00A84902" w:rsidP="00712137">
      <w:pPr>
        <w:spacing w:line="276" w:lineRule="auto"/>
        <w:ind w:firstLine="720"/>
        <w:rPr>
          <w:szCs w:val="24"/>
        </w:rPr>
      </w:pPr>
      <w:r>
        <w:rPr>
          <w:szCs w:val="24"/>
        </w:rPr>
        <w:t>Lietuvos Respublikos energetikos ministerija (toliau – Energetikos ministerija), v</w:t>
      </w:r>
      <w:r w:rsidR="001B35F3" w:rsidRPr="001B35F3">
        <w:rPr>
          <w:szCs w:val="24"/>
        </w:rPr>
        <w:t>adovaudam</w:t>
      </w:r>
      <w:r>
        <w:rPr>
          <w:szCs w:val="24"/>
        </w:rPr>
        <w:t>asi</w:t>
      </w:r>
      <w:r w:rsidR="001B35F3" w:rsidRPr="001B35F3">
        <w:rPr>
          <w:szCs w:val="24"/>
        </w:rPr>
        <w:t xml:space="preserve"> </w:t>
      </w:r>
      <w:r w:rsidR="001B35F3">
        <w:rPr>
          <w:szCs w:val="24"/>
        </w:rPr>
        <w:t>Lietuvos Respublikos Vyriausybės</w:t>
      </w:r>
      <w:r w:rsidR="00F16B8D">
        <w:rPr>
          <w:szCs w:val="24"/>
        </w:rPr>
        <w:t xml:space="preserve"> nutarimo</w:t>
      </w:r>
      <w:r w:rsidR="00F16B8D">
        <w:rPr>
          <w:rStyle w:val="Puslapioinaosnuoroda"/>
          <w:szCs w:val="24"/>
        </w:rPr>
        <w:footnoteReference w:id="1"/>
      </w:r>
      <w:r w:rsidR="001B35F3">
        <w:rPr>
          <w:szCs w:val="24"/>
        </w:rPr>
        <w:t xml:space="preserve"> </w:t>
      </w:r>
      <w:r w:rsidR="00F16B8D">
        <w:rPr>
          <w:szCs w:val="24"/>
        </w:rPr>
        <w:t>2.2</w:t>
      </w:r>
      <w:r w:rsidR="00D24886">
        <w:rPr>
          <w:szCs w:val="24"/>
        </w:rPr>
        <w:t xml:space="preserve"> </w:t>
      </w:r>
      <w:r w:rsidR="00F16B8D">
        <w:rPr>
          <w:szCs w:val="24"/>
        </w:rPr>
        <w:t>pa</w:t>
      </w:r>
      <w:r w:rsidR="00D24886">
        <w:rPr>
          <w:szCs w:val="24"/>
        </w:rPr>
        <w:t>punk</w:t>
      </w:r>
      <w:r w:rsidR="00F16B8D">
        <w:rPr>
          <w:szCs w:val="24"/>
        </w:rPr>
        <w:t>či</w:t>
      </w:r>
      <w:r w:rsidR="00D24886">
        <w:rPr>
          <w:szCs w:val="24"/>
        </w:rPr>
        <w:t xml:space="preserve">u, </w:t>
      </w:r>
      <w:r w:rsidR="00F16B8D">
        <w:rPr>
          <w:szCs w:val="24"/>
        </w:rPr>
        <w:t>teikia</w:t>
      </w:r>
      <w:r w:rsidR="00117A6F">
        <w:rPr>
          <w:szCs w:val="24"/>
        </w:rPr>
        <w:t xml:space="preserve"> Ju</w:t>
      </w:r>
      <w:r w:rsidR="00F16B8D">
        <w:rPr>
          <w:szCs w:val="24"/>
        </w:rPr>
        <w:t>m</w:t>
      </w:r>
      <w:r w:rsidR="00117A6F">
        <w:rPr>
          <w:szCs w:val="24"/>
        </w:rPr>
        <w:t xml:space="preserve">s </w:t>
      </w:r>
      <w:r w:rsidR="00F16B8D">
        <w:rPr>
          <w:szCs w:val="24"/>
        </w:rPr>
        <w:t xml:space="preserve">motyvuotą pasiūlymą dėl </w:t>
      </w:r>
      <w:r w:rsidR="00E1304B">
        <w:rPr>
          <w:szCs w:val="24"/>
        </w:rPr>
        <w:t xml:space="preserve">Lietuvos Respublikos Vyriausybės nutarimu patvirtinto </w:t>
      </w:r>
      <w:r w:rsidR="00F16B8D">
        <w:rPr>
          <w:szCs w:val="24"/>
        </w:rPr>
        <w:t>Sąrašo</w:t>
      </w:r>
      <w:r w:rsidR="00F16B8D">
        <w:rPr>
          <w:rStyle w:val="Puslapioinaosnuoroda"/>
          <w:szCs w:val="24"/>
        </w:rPr>
        <w:footnoteReference w:id="2"/>
      </w:r>
      <w:r w:rsidR="00F16B8D">
        <w:rPr>
          <w:szCs w:val="24"/>
        </w:rPr>
        <w:t xml:space="preserve"> keitimo. </w:t>
      </w:r>
    </w:p>
    <w:p w14:paraId="42E12A99" w14:textId="77777777" w:rsidR="00B87A8A" w:rsidRDefault="00A93073" w:rsidP="00831E0C">
      <w:pPr>
        <w:spacing w:line="276" w:lineRule="auto"/>
        <w:ind w:firstLine="720"/>
      </w:pPr>
      <w:r>
        <w:rPr>
          <w:szCs w:val="24"/>
        </w:rPr>
        <w:t xml:space="preserve">Energetikos ministerija šiuo metu turi </w:t>
      </w:r>
      <w:r w:rsidRPr="00EC2F19">
        <w:rPr>
          <w:szCs w:val="24"/>
        </w:rPr>
        <w:t>dvi Energetikos ministerijos specialiųjų atašė pareigyb</w:t>
      </w:r>
      <w:r>
        <w:rPr>
          <w:szCs w:val="24"/>
        </w:rPr>
        <w:t>es</w:t>
      </w:r>
      <w:r w:rsidRPr="00EC2F19">
        <w:rPr>
          <w:szCs w:val="24"/>
        </w:rPr>
        <w:t xml:space="preserve"> Lietuvos Respublikos ambasadoje Lenkijos Respublikoj</w:t>
      </w:r>
      <w:r>
        <w:rPr>
          <w:szCs w:val="24"/>
        </w:rPr>
        <w:t xml:space="preserve">e: </w:t>
      </w:r>
      <w:r>
        <w:t xml:space="preserve">Lietuvos Respublikos energetikos atašė (valstybės tarnautojo pareigybė) ir Lietuvos Respublikos energetikos atašė pavaduotojas (darbuotojo, dirbančio pagal darbo sutartį, pareigybė). </w:t>
      </w:r>
      <w:r w:rsidR="00F16B8D">
        <w:t>Darbuotojo, dirbančio pagal darbo sutartį,</w:t>
      </w:r>
      <w:r w:rsidR="00A84902">
        <w:rPr>
          <w:szCs w:val="24"/>
        </w:rPr>
        <w:t xml:space="preserve"> </w:t>
      </w:r>
      <w:r w:rsidR="00A84902">
        <w:t xml:space="preserve">Lietuvos Respublikos energetikos atašė pavaduotojo </w:t>
      </w:r>
      <w:r w:rsidR="00F16B8D">
        <w:t xml:space="preserve">Lietuvos Respublikos ambasadoje </w:t>
      </w:r>
      <w:r w:rsidR="00A84902">
        <w:t>Lenkijo</w:t>
      </w:r>
      <w:r w:rsidR="00F16B8D">
        <w:t xml:space="preserve">s Respublikoje </w:t>
      </w:r>
      <w:r w:rsidR="00A84902">
        <w:t>pareigyb</w:t>
      </w:r>
      <w:r w:rsidR="00F16B8D">
        <w:t xml:space="preserve">ė šiuo metu yra </w:t>
      </w:r>
      <w:r>
        <w:t>laisva</w:t>
      </w:r>
      <w:r w:rsidR="00F16B8D">
        <w:t xml:space="preserve">. </w:t>
      </w:r>
    </w:p>
    <w:p w14:paraId="7EE1CAA5" w14:textId="16E5DDF0" w:rsidR="00630251" w:rsidRPr="00831E0C" w:rsidRDefault="003E0D33" w:rsidP="00B87A8A">
      <w:pPr>
        <w:spacing w:line="276" w:lineRule="auto"/>
        <w:ind w:firstLine="720"/>
        <w:rPr>
          <w:szCs w:val="24"/>
        </w:rPr>
      </w:pPr>
      <w:r>
        <w:rPr>
          <w:color w:val="000000"/>
          <w:szCs w:val="24"/>
          <w:lang w:eastAsia="lt-LT"/>
        </w:rPr>
        <w:t>Energetikos ministerijos nuomone,</w:t>
      </w:r>
      <w:r>
        <w:t xml:space="preserve"> </w:t>
      </w:r>
      <w:r>
        <w:rPr>
          <w:color w:val="000000"/>
          <w:szCs w:val="24"/>
          <w:lang w:eastAsia="lt-LT"/>
        </w:rPr>
        <w:t xml:space="preserve">šiuo metu viena </w:t>
      </w:r>
      <w:r w:rsidR="00F16B8D">
        <w:t xml:space="preserve">Lietuvos Respublikos energetikos </w:t>
      </w:r>
      <w:r w:rsidR="00F16B8D" w:rsidRPr="00565FBA">
        <w:rPr>
          <w:szCs w:val="24"/>
        </w:rPr>
        <w:t>atašė Lietuvos Respublikos ambasadoje Lenkijos Respublikoje</w:t>
      </w:r>
      <w:r w:rsidR="00B87A8A">
        <w:rPr>
          <w:color w:val="000000"/>
          <w:szCs w:val="24"/>
          <w:lang w:eastAsia="lt-LT"/>
        </w:rPr>
        <w:t xml:space="preserve"> pareigybė visiškai ir tinkamai padengia svarbiausius </w:t>
      </w:r>
      <w:r w:rsidR="00B87A8A" w:rsidRPr="00565FBA">
        <w:rPr>
          <w:szCs w:val="24"/>
        </w:rPr>
        <w:t>Lietuvos ir Lenkijos dvišal</w:t>
      </w:r>
      <w:r w:rsidR="00B87A8A">
        <w:rPr>
          <w:szCs w:val="24"/>
        </w:rPr>
        <w:t>io</w:t>
      </w:r>
      <w:r w:rsidR="00B87A8A" w:rsidRPr="00565FBA">
        <w:rPr>
          <w:szCs w:val="24"/>
        </w:rPr>
        <w:t xml:space="preserve"> bendradarbiavim</w:t>
      </w:r>
      <w:r w:rsidR="00B87A8A">
        <w:rPr>
          <w:szCs w:val="24"/>
        </w:rPr>
        <w:t>o</w:t>
      </w:r>
      <w:r w:rsidR="00B87A8A" w:rsidRPr="00565FBA">
        <w:rPr>
          <w:szCs w:val="24"/>
        </w:rPr>
        <w:t xml:space="preserve"> energetikos srityje </w:t>
      </w:r>
      <w:r w:rsidR="00B87A8A">
        <w:rPr>
          <w:szCs w:val="24"/>
        </w:rPr>
        <w:t xml:space="preserve">klausimus, </w:t>
      </w:r>
      <w:r w:rsidR="00B87A8A">
        <w:rPr>
          <w:color w:val="000000"/>
          <w:szCs w:val="24"/>
          <w:lang w:eastAsia="lt-LT"/>
        </w:rPr>
        <w:t xml:space="preserve">tokius kaip: </w:t>
      </w:r>
      <w:r w:rsidR="00B87A8A">
        <w:rPr>
          <w:color w:val="000000"/>
        </w:rPr>
        <w:t>Lietuvos–Lenkijos elektros linijos „</w:t>
      </w:r>
      <w:proofErr w:type="spellStart"/>
      <w:r w:rsidR="00B87A8A">
        <w:rPr>
          <w:color w:val="000000"/>
        </w:rPr>
        <w:t>LitPol</w:t>
      </w:r>
      <w:proofErr w:type="spellEnd"/>
      <w:r w:rsidR="00B87A8A">
        <w:rPr>
          <w:color w:val="000000"/>
        </w:rPr>
        <w:t xml:space="preserve"> Link“ veikimas, Lietuvos–Lenkijos dujotiekio projekto GIPL įgyvendinimas, Baltijos šalių sinchronizacijos su Europos kontinentiniais tinklais projekto įgyvendinimas ir kt.</w:t>
      </w:r>
      <w:r>
        <w:rPr>
          <w:color w:val="000000"/>
        </w:rPr>
        <w:t>,</w:t>
      </w:r>
      <w:r w:rsidR="00B87A8A">
        <w:rPr>
          <w:szCs w:val="24"/>
        </w:rPr>
        <w:t xml:space="preserve"> ir </w:t>
      </w:r>
      <w:r>
        <w:rPr>
          <w:szCs w:val="24"/>
        </w:rPr>
        <w:t xml:space="preserve">užtikrina </w:t>
      </w:r>
      <w:r w:rsidR="00B87A8A" w:rsidRPr="00565FBA">
        <w:rPr>
          <w:szCs w:val="24"/>
        </w:rPr>
        <w:t xml:space="preserve">operatyvų </w:t>
      </w:r>
      <w:r w:rsidR="00B87A8A">
        <w:rPr>
          <w:szCs w:val="24"/>
        </w:rPr>
        <w:t xml:space="preserve">šių klausimų </w:t>
      </w:r>
      <w:r w:rsidR="00B87A8A" w:rsidRPr="00565FBA">
        <w:rPr>
          <w:szCs w:val="24"/>
        </w:rPr>
        <w:t>sprendimą</w:t>
      </w:r>
      <w:r>
        <w:rPr>
          <w:szCs w:val="24"/>
        </w:rPr>
        <w:t>.</w:t>
      </w:r>
    </w:p>
    <w:p w14:paraId="1733A0FF" w14:textId="12A7207F" w:rsidR="00A93073" w:rsidRPr="006E56D5" w:rsidRDefault="00A93073" w:rsidP="003E0D33">
      <w:pPr>
        <w:spacing w:line="276" w:lineRule="auto"/>
        <w:ind w:firstLine="720"/>
        <w:rPr>
          <w:szCs w:val="24"/>
        </w:rPr>
      </w:pPr>
      <w:r>
        <w:rPr>
          <w:szCs w:val="24"/>
        </w:rPr>
        <w:t xml:space="preserve"> Todėl Energetikos ministerija siūlo </w:t>
      </w:r>
      <w:r w:rsidRPr="00EC2F19">
        <w:rPr>
          <w:szCs w:val="24"/>
        </w:rPr>
        <w:t>panaikinti vieną iš dviejų Energetikos ministerijos specialiųjų atašė pareigybių Lietuvos Respublikos ambasadoje Lenkijos Respublikoj</w:t>
      </w:r>
      <w:r>
        <w:rPr>
          <w:szCs w:val="24"/>
        </w:rPr>
        <w:t xml:space="preserve">e – </w:t>
      </w:r>
      <w:r>
        <w:t>Lietuvos Respublikos energetikos atašė pavaduotojo (darbuotojo, dirbančio pagal darbo sutartį) pareigybę. Šią</w:t>
      </w:r>
      <w:r w:rsidRPr="006E56D5">
        <w:rPr>
          <w:szCs w:val="24"/>
        </w:rPr>
        <w:t xml:space="preserve"> pareigybę numatoma </w:t>
      </w:r>
      <w:r>
        <w:rPr>
          <w:szCs w:val="24"/>
        </w:rPr>
        <w:t>panaikinti</w:t>
      </w:r>
      <w:r w:rsidRPr="006E56D5">
        <w:rPr>
          <w:szCs w:val="24"/>
        </w:rPr>
        <w:t xml:space="preserve"> </w:t>
      </w:r>
      <w:r w:rsidR="00B87A8A">
        <w:rPr>
          <w:szCs w:val="24"/>
        </w:rPr>
        <w:t>išlaikant</w:t>
      </w:r>
      <w:r w:rsidRPr="006E56D5">
        <w:rPr>
          <w:szCs w:val="24"/>
        </w:rPr>
        <w:t xml:space="preserve"> Energetikos ministerijai nustatyt</w:t>
      </w:r>
      <w:r w:rsidR="00B87A8A">
        <w:rPr>
          <w:szCs w:val="24"/>
        </w:rPr>
        <w:t>ą</w:t>
      </w:r>
      <w:r w:rsidRPr="006E56D5">
        <w:rPr>
          <w:szCs w:val="24"/>
        </w:rPr>
        <w:t xml:space="preserve"> bendr</w:t>
      </w:r>
      <w:r w:rsidR="00B87A8A">
        <w:rPr>
          <w:szCs w:val="24"/>
        </w:rPr>
        <w:t>ą</w:t>
      </w:r>
      <w:r w:rsidRPr="006E56D5">
        <w:rPr>
          <w:szCs w:val="24"/>
        </w:rPr>
        <w:t xml:space="preserve"> didžiausi</w:t>
      </w:r>
      <w:r w:rsidR="00B87A8A">
        <w:rPr>
          <w:szCs w:val="24"/>
        </w:rPr>
        <w:t>ą</w:t>
      </w:r>
      <w:r w:rsidRPr="006E56D5">
        <w:rPr>
          <w:szCs w:val="24"/>
        </w:rPr>
        <w:t xml:space="preserve"> leistin</w:t>
      </w:r>
      <w:r w:rsidR="00B87A8A">
        <w:rPr>
          <w:szCs w:val="24"/>
        </w:rPr>
        <w:t>ą</w:t>
      </w:r>
      <w:r w:rsidRPr="006E56D5">
        <w:rPr>
          <w:szCs w:val="24"/>
        </w:rPr>
        <w:t xml:space="preserve"> pareigybių skaiči</w:t>
      </w:r>
      <w:r w:rsidR="00B87A8A">
        <w:rPr>
          <w:szCs w:val="24"/>
        </w:rPr>
        <w:t>ų ir</w:t>
      </w:r>
      <w:r w:rsidRPr="006E56D5">
        <w:rPr>
          <w:szCs w:val="24"/>
        </w:rPr>
        <w:t xml:space="preserve"> perskirstant Energetikos ministerijai patvirtintas bendrąsias pareigybes (</w:t>
      </w:r>
      <w:proofErr w:type="spellStart"/>
      <w:r w:rsidRPr="006E56D5">
        <w:rPr>
          <w:szCs w:val="24"/>
        </w:rPr>
        <w:t>t.y</w:t>
      </w:r>
      <w:proofErr w:type="spellEnd"/>
      <w:r w:rsidRPr="006E56D5">
        <w:rPr>
          <w:szCs w:val="24"/>
        </w:rPr>
        <w:t xml:space="preserve">. </w:t>
      </w:r>
      <w:r>
        <w:rPr>
          <w:szCs w:val="24"/>
        </w:rPr>
        <w:t xml:space="preserve">sumažinant </w:t>
      </w:r>
      <w:r w:rsidRPr="006E56D5">
        <w:rPr>
          <w:szCs w:val="24"/>
        </w:rPr>
        <w:t>specialiųjų atašė</w:t>
      </w:r>
      <w:r w:rsidR="0089196F">
        <w:rPr>
          <w:szCs w:val="24"/>
        </w:rPr>
        <w:t xml:space="preserve"> ir</w:t>
      </w:r>
      <w:r w:rsidRPr="006E56D5">
        <w:rPr>
          <w:szCs w:val="24"/>
        </w:rPr>
        <w:t xml:space="preserve"> jų pavaduotojų skaičių, atitinkamai </w:t>
      </w:r>
      <w:r>
        <w:rPr>
          <w:szCs w:val="24"/>
        </w:rPr>
        <w:lastRenderedPageBreak/>
        <w:t>padidinus</w:t>
      </w:r>
      <w:r w:rsidRPr="006E56D5">
        <w:rPr>
          <w:szCs w:val="24"/>
        </w:rPr>
        <w:t xml:space="preserve"> kitų pareigybių skaičių, tačiau nedidinant Energetikos ministerijai numatyto bendro didžiausio leistino pareigybių skaičiaus).</w:t>
      </w:r>
      <w:r w:rsidR="003E0D33">
        <w:rPr>
          <w:szCs w:val="24"/>
        </w:rPr>
        <w:t xml:space="preserve"> Pažymėtina, kad </w:t>
      </w:r>
      <w:r w:rsidR="003E0D33">
        <w:rPr>
          <w:color w:val="000000"/>
        </w:rPr>
        <w:t>steigiant specialiojo atašė pavaduotojo pareigybę, bendras didžiausias Energetikos ministerijai nustatytas pareigybių skaičius nebuvo didinamas, specialiojo atašė pavaduotojo pareigybę įsteigiant iš jau patvirtintų pareigybių.</w:t>
      </w:r>
      <w:r w:rsidRPr="006E56D5">
        <w:rPr>
          <w:szCs w:val="24"/>
        </w:rPr>
        <w:t xml:space="preserve"> </w:t>
      </w:r>
      <w:r w:rsidR="00A15D15">
        <w:rPr>
          <w:szCs w:val="24"/>
        </w:rPr>
        <w:t xml:space="preserve">Siekiant tinkamai atlikti </w:t>
      </w:r>
      <w:r>
        <w:t>pakeitimu</w:t>
      </w:r>
      <w:r w:rsidR="00A15D15">
        <w:t>s,</w:t>
      </w:r>
      <w:r>
        <w:t xml:space="preserve"> būtina pakeisti Sąrašo 2.3 papunktį, </w:t>
      </w:r>
      <w:r w:rsidR="00A15D15">
        <w:t xml:space="preserve">kurį </w:t>
      </w:r>
      <w:r>
        <w:rPr>
          <w:color w:val="000000"/>
          <w:szCs w:val="24"/>
          <w:lang w:eastAsia="lt-LT"/>
        </w:rPr>
        <w:t>s</w:t>
      </w:r>
      <w:r w:rsidRPr="006E56D5">
        <w:rPr>
          <w:color w:val="000000"/>
          <w:szCs w:val="24"/>
          <w:lang w:eastAsia="lt-LT"/>
        </w:rPr>
        <w:t>iūlome</w:t>
      </w:r>
      <w:r>
        <w:rPr>
          <w:color w:val="000000"/>
          <w:szCs w:val="24"/>
          <w:lang w:eastAsia="lt-LT"/>
        </w:rPr>
        <w:t xml:space="preserve"> išdėstyti taip</w:t>
      </w:r>
      <w:r w:rsidRPr="006E56D5">
        <w:rPr>
          <w:color w:val="000000"/>
          <w:szCs w:val="24"/>
          <w:lang w:eastAsia="lt-LT"/>
        </w:rPr>
        <w:t>:</w:t>
      </w:r>
    </w:p>
    <w:p w14:paraId="32B40ED6" w14:textId="77777777" w:rsidR="00A93073" w:rsidRPr="006E56D5" w:rsidRDefault="00A93073" w:rsidP="00A93073">
      <w:pPr>
        <w:shd w:val="clear" w:color="auto" w:fill="FFFFFF"/>
        <w:ind w:firstLine="720"/>
        <w:rPr>
          <w:color w:val="000000"/>
          <w:szCs w:val="24"/>
          <w:lang w:eastAsia="lt-LT"/>
        </w:rPr>
      </w:pPr>
      <w:r w:rsidRPr="006E56D5">
        <w:rPr>
          <w:color w:val="000000"/>
          <w:szCs w:val="24"/>
          <w:lang w:eastAsia="lt-LT"/>
        </w:rPr>
        <w:t> </w:t>
      </w:r>
    </w:p>
    <w:tbl>
      <w:tblPr>
        <w:tblW w:w="9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4518"/>
        <w:gridCol w:w="1506"/>
        <w:gridCol w:w="1205"/>
        <w:gridCol w:w="1505"/>
      </w:tblGrid>
      <w:tr w:rsidR="00A93073" w:rsidRPr="006E56D5" w14:paraId="0ED19E8E" w14:textId="77777777" w:rsidTr="009C1EEF">
        <w:trPr>
          <w:trHeight w:val="2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A9E40F" w14:textId="77777777" w:rsidR="00A93073" w:rsidRPr="006E56D5" w:rsidRDefault="00A93073" w:rsidP="009C1EE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E56D5">
              <w:rPr>
                <w:color w:val="000000"/>
                <w:szCs w:val="24"/>
                <w:lang w:eastAsia="lt-LT"/>
              </w:rPr>
              <w:t>„2.3.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9EF5C1" w14:textId="77777777" w:rsidR="00A93073" w:rsidRPr="006E56D5" w:rsidRDefault="00A93073" w:rsidP="009C1EEF">
            <w:pPr>
              <w:jc w:val="left"/>
              <w:rPr>
                <w:color w:val="000000"/>
                <w:szCs w:val="24"/>
                <w:lang w:eastAsia="lt-LT"/>
              </w:rPr>
            </w:pPr>
            <w:r w:rsidRPr="006E56D5">
              <w:rPr>
                <w:color w:val="000000"/>
                <w:szCs w:val="24"/>
                <w:lang w:eastAsia="lt-LT"/>
              </w:rPr>
              <w:t>Lietuvos Respublikos energetikos ministerija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46D2F0" w14:textId="77777777" w:rsidR="00A93073" w:rsidRPr="006E56D5" w:rsidRDefault="00A93073" w:rsidP="009C1EE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E56D5">
              <w:rPr>
                <w:color w:val="000000"/>
                <w:szCs w:val="24"/>
                <w:lang w:eastAsia="lt-LT"/>
              </w:rPr>
              <w:t>104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173B9F" w14:textId="77777777" w:rsidR="00A93073" w:rsidRPr="006E56D5" w:rsidRDefault="00A93073" w:rsidP="009C1EE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E56D5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57151C" w14:textId="77777777" w:rsidR="00A93073" w:rsidRPr="006E56D5" w:rsidRDefault="00A93073" w:rsidP="009C1EE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E56D5">
              <w:rPr>
                <w:color w:val="000000"/>
                <w:szCs w:val="24"/>
                <w:lang w:eastAsia="lt-LT"/>
              </w:rPr>
              <w:t>99“;</w:t>
            </w:r>
          </w:p>
        </w:tc>
      </w:tr>
    </w:tbl>
    <w:p w14:paraId="371DA575" w14:textId="77777777" w:rsidR="008719B5" w:rsidRDefault="008719B5" w:rsidP="008719B5">
      <w:pPr>
        <w:spacing w:line="276" w:lineRule="auto"/>
        <w:rPr>
          <w:szCs w:val="24"/>
        </w:rPr>
      </w:pPr>
    </w:p>
    <w:p w14:paraId="0D6C152A" w14:textId="3A373E96" w:rsidR="008719B5" w:rsidRPr="00565FBA" w:rsidRDefault="008719B5" w:rsidP="00565FBA">
      <w:pPr>
        <w:spacing w:line="276" w:lineRule="auto"/>
        <w:ind w:firstLine="567"/>
        <w:rPr>
          <w:color w:val="000000"/>
          <w:szCs w:val="24"/>
          <w:lang w:eastAsia="lt-LT"/>
        </w:rPr>
      </w:pPr>
      <w:r>
        <w:rPr>
          <w:szCs w:val="24"/>
        </w:rPr>
        <w:t>Kadangi s</w:t>
      </w:r>
      <w:r w:rsidRPr="00EC2F19">
        <w:rPr>
          <w:szCs w:val="24"/>
        </w:rPr>
        <w:t xml:space="preserve">pecialiojo atašė </w:t>
      </w:r>
      <w:r>
        <w:rPr>
          <w:szCs w:val="24"/>
        </w:rPr>
        <w:t xml:space="preserve">pavaduotojo </w:t>
      </w:r>
      <w:r w:rsidRPr="00EC2F19">
        <w:rPr>
          <w:szCs w:val="24"/>
        </w:rPr>
        <w:t>pareigyb</w:t>
      </w:r>
      <w:r>
        <w:rPr>
          <w:szCs w:val="24"/>
        </w:rPr>
        <w:t>ė buvo įsteigta</w:t>
      </w:r>
      <w:r w:rsidRPr="00EC2F19">
        <w:rPr>
          <w:szCs w:val="24"/>
        </w:rPr>
        <w:t xml:space="preserve"> </w:t>
      </w:r>
      <w:r>
        <w:rPr>
          <w:szCs w:val="24"/>
        </w:rPr>
        <w:t>atskiru Lietuvos Respublikos Vyriausybės nutarimu</w:t>
      </w:r>
      <w:r>
        <w:rPr>
          <w:rStyle w:val="Puslapioinaosnuoroda"/>
          <w:szCs w:val="24"/>
        </w:rPr>
        <w:footnoteReference w:id="3"/>
      </w:r>
      <w:r>
        <w:rPr>
          <w:szCs w:val="24"/>
        </w:rPr>
        <w:t xml:space="preserve">, teikiame Jums Lietuvos Respublikos Vyriausybės nutarimo projektą, kuriuo naikinamas nutarimas dėl </w:t>
      </w:r>
      <w:r w:rsidR="00B87A8A">
        <w:rPr>
          <w:szCs w:val="24"/>
        </w:rPr>
        <w:t xml:space="preserve">šios pareigybės </w:t>
      </w:r>
      <w:r>
        <w:rPr>
          <w:szCs w:val="24"/>
        </w:rPr>
        <w:t xml:space="preserve">įsteigimo. </w:t>
      </w:r>
      <w:r w:rsidRPr="006E56D5">
        <w:rPr>
          <w:szCs w:val="24"/>
        </w:rPr>
        <w:t xml:space="preserve">Atsižvelgiant į tai, kad specialiojo atašė </w:t>
      </w:r>
      <w:r w:rsidR="00B87A8A">
        <w:rPr>
          <w:szCs w:val="24"/>
        </w:rPr>
        <w:t xml:space="preserve">pavaduotojo </w:t>
      </w:r>
      <w:r w:rsidRPr="006E56D5">
        <w:rPr>
          <w:szCs w:val="24"/>
        </w:rPr>
        <w:t xml:space="preserve">pareigybę numatoma </w:t>
      </w:r>
      <w:r>
        <w:rPr>
          <w:szCs w:val="24"/>
        </w:rPr>
        <w:t>naikinti,</w:t>
      </w:r>
      <w:r w:rsidR="00B87A8A">
        <w:rPr>
          <w:szCs w:val="24"/>
        </w:rPr>
        <w:t xml:space="preserve"> taip pat tai, kad ši pareigybė šiuo metu yra laisva</w:t>
      </w:r>
      <w:r>
        <w:rPr>
          <w:szCs w:val="24"/>
        </w:rPr>
        <w:t xml:space="preserve"> prašomų pakeitimų </w:t>
      </w:r>
      <w:r w:rsidRPr="006E56D5">
        <w:rPr>
          <w:szCs w:val="24"/>
        </w:rPr>
        <w:t>įgyvendinimui papildomų valstybės biudžeto lėšų nereikės</w:t>
      </w:r>
      <w:r w:rsidR="00565FBA">
        <w:rPr>
          <w:szCs w:val="24"/>
        </w:rPr>
        <w:t xml:space="preserve">, o perskirstyta valstybės tarnautojo </w:t>
      </w:r>
      <w:r w:rsidR="00565FBA" w:rsidRPr="00565FBA">
        <w:rPr>
          <w:color w:val="000000"/>
          <w:szCs w:val="24"/>
          <w:lang w:eastAsia="lt-LT"/>
        </w:rPr>
        <w:t>pareigybė bus išlaikoma iš Energetikos ministerijai patvirtintų Lietuvos Respublikos valstybės biudžeto asignavimų.</w:t>
      </w:r>
    </w:p>
    <w:p w14:paraId="3A4BFEC9" w14:textId="632A6C2A" w:rsidR="00D1602B" w:rsidRDefault="00A93073" w:rsidP="00565FBA">
      <w:pPr>
        <w:spacing w:line="276" w:lineRule="auto"/>
        <w:ind w:firstLine="720"/>
        <w:rPr>
          <w:szCs w:val="24"/>
        </w:rPr>
      </w:pPr>
      <w:r w:rsidRPr="00EC2F19">
        <w:rPr>
          <w:szCs w:val="24"/>
        </w:rPr>
        <w:t>Specialiojo ata</w:t>
      </w:r>
      <w:r>
        <w:rPr>
          <w:szCs w:val="24"/>
        </w:rPr>
        <w:t>š</w:t>
      </w:r>
      <w:r w:rsidRPr="00EC2F19">
        <w:rPr>
          <w:szCs w:val="24"/>
        </w:rPr>
        <w:t xml:space="preserve">ė </w:t>
      </w:r>
      <w:r w:rsidR="00D1602B">
        <w:rPr>
          <w:szCs w:val="24"/>
        </w:rPr>
        <w:t xml:space="preserve">pavaduotojo </w:t>
      </w:r>
      <w:r w:rsidRPr="00EC2F19">
        <w:rPr>
          <w:szCs w:val="24"/>
        </w:rPr>
        <w:t>pareigybės</w:t>
      </w:r>
      <w:r w:rsidR="00D1602B">
        <w:rPr>
          <w:szCs w:val="24"/>
        </w:rPr>
        <w:t xml:space="preserve"> naikinimui </w:t>
      </w:r>
      <w:r w:rsidRPr="00EC2F19">
        <w:rPr>
          <w:szCs w:val="24"/>
        </w:rPr>
        <w:t>iš esmės yra pritarusi Lietuvos Respublikos užsienio reikalų ministerija 20</w:t>
      </w:r>
      <w:r w:rsidR="00D1602B">
        <w:rPr>
          <w:szCs w:val="24"/>
        </w:rPr>
        <w:t>20</w:t>
      </w:r>
      <w:r w:rsidRPr="00EC2F19">
        <w:rPr>
          <w:szCs w:val="24"/>
        </w:rPr>
        <w:t xml:space="preserve"> m. balandžio </w:t>
      </w:r>
      <w:r w:rsidR="00D1602B">
        <w:rPr>
          <w:szCs w:val="24"/>
        </w:rPr>
        <w:t>30</w:t>
      </w:r>
      <w:r w:rsidRPr="00EC2F19">
        <w:rPr>
          <w:szCs w:val="24"/>
        </w:rPr>
        <w:t xml:space="preserve"> d. raštu Nr. </w:t>
      </w:r>
      <w:bookmarkStart w:id="1" w:name="_Hlk499901715"/>
      <w:r w:rsidR="00D1602B" w:rsidRPr="00EC2F19">
        <w:rPr>
          <w:szCs w:val="24"/>
        </w:rPr>
        <w:t>(</w:t>
      </w:r>
      <w:r w:rsidR="00D1602B">
        <w:rPr>
          <w:szCs w:val="24"/>
        </w:rPr>
        <w:t>4.11E</w:t>
      </w:r>
      <w:r w:rsidR="00D1602B" w:rsidRPr="00EC2F19">
        <w:rPr>
          <w:szCs w:val="24"/>
        </w:rPr>
        <w:t>)3-1</w:t>
      </w:r>
      <w:r w:rsidR="00D1602B">
        <w:rPr>
          <w:szCs w:val="24"/>
        </w:rPr>
        <w:t>944</w:t>
      </w:r>
      <w:r w:rsidR="00D1602B" w:rsidRPr="00EC2F19">
        <w:rPr>
          <w:szCs w:val="24"/>
        </w:rPr>
        <w:t>.</w:t>
      </w:r>
    </w:p>
    <w:p w14:paraId="36593621" w14:textId="77777777" w:rsidR="006E56D5" w:rsidRPr="006E56D5" w:rsidRDefault="006E56D5" w:rsidP="008719B5">
      <w:pPr>
        <w:spacing w:line="276" w:lineRule="auto"/>
        <w:rPr>
          <w:szCs w:val="24"/>
        </w:rPr>
      </w:pPr>
    </w:p>
    <w:p w14:paraId="5632E939" w14:textId="77777777" w:rsidR="006E56D5" w:rsidRPr="006E56D5" w:rsidRDefault="006E56D5" w:rsidP="006E56D5">
      <w:pPr>
        <w:spacing w:line="276" w:lineRule="auto"/>
        <w:rPr>
          <w:szCs w:val="24"/>
        </w:rPr>
      </w:pPr>
      <w:r w:rsidRPr="006E56D5">
        <w:rPr>
          <w:szCs w:val="24"/>
        </w:rPr>
        <w:t>PRIDEDAMA:</w:t>
      </w:r>
    </w:p>
    <w:p w14:paraId="7A2A23C5" w14:textId="5EE4AA88" w:rsidR="006E56D5" w:rsidRPr="006E56D5" w:rsidRDefault="006E56D5" w:rsidP="006E56D5">
      <w:pPr>
        <w:spacing w:line="276" w:lineRule="auto"/>
        <w:rPr>
          <w:szCs w:val="24"/>
        </w:rPr>
      </w:pPr>
      <w:r w:rsidRPr="006E56D5">
        <w:rPr>
          <w:szCs w:val="24"/>
        </w:rPr>
        <w:tab/>
        <w:t>1. Lietuvos Respublikos Vyriausybės nutarimo</w:t>
      </w:r>
      <w:r w:rsidR="00F05B03">
        <w:rPr>
          <w:szCs w:val="24"/>
        </w:rPr>
        <w:t xml:space="preserve"> „Dėl</w:t>
      </w:r>
      <w:r w:rsidRPr="006E56D5">
        <w:rPr>
          <w:szCs w:val="24"/>
        </w:rPr>
        <w:t xml:space="preserve"> </w:t>
      </w:r>
      <w:r w:rsidR="00F05B03">
        <w:rPr>
          <w:szCs w:val="24"/>
          <w:lang w:eastAsia="lt-LT"/>
        </w:rPr>
        <w:t xml:space="preserve">Lietuvos Respublikos Vyriausybės 2016 m. rugpjūčio 25 d. nutarimo Nr. 862 „Dėl Lietuvos Respublikos </w:t>
      </w:r>
      <w:r w:rsidR="00F05B03" w:rsidRPr="006E56D5">
        <w:rPr>
          <w:szCs w:val="24"/>
        </w:rPr>
        <w:t xml:space="preserve">energetikos atašė pavaduotojo pareigybės </w:t>
      </w:r>
      <w:r w:rsidR="00F05B03">
        <w:rPr>
          <w:szCs w:val="24"/>
        </w:rPr>
        <w:t>įsteigimo</w:t>
      </w:r>
      <w:r w:rsidR="00F05B03" w:rsidRPr="006E56D5">
        <w:rPr>
          <w:szCs w:val="24"/>
        </w:rPr>
        <w:t xml:space="preserve"> Lietuvos Respublikos ambasadoje Lenkijos Respublikoje</w:t>
      </w:r>
      <w:r w:rsidR="00F05B03">
        <w:rPr>
          <w:szCs w:val="24"/>
          <w:lang w:eastAsia="lt-LT"/>
        </w:rPr>
        <w:t>“ pripažinimo netekusiu galios“ projektas, 1 lapas.</w:t>
      </w:r>
      <w:r w:rsidRPr="006E56D5">
        <w:rPr>
          <w:szCs w:val="24"/>
        </w:rPr>
        <w:t xml:space="preserve"> </w:t>
      </w:r>
    </w:p>
    <w:p w14:paraId="699B2D87" w14:textId="131A356F" w:rsidR="006E56D5" w:rsidRPr="006E56D5" w:rsidRDefault="006E56D5" w:rsidP="006E56D5">
      <w:pPr>
        <w:spacing w:line="276" w:lineRule="auto"/>
        <w:rPr>
          <w:szCs w:val="24"/>
        </w:rPr>
      </w:pPr>
      <w:r w:rsidRPr="006E56D5">
        <w:rPr>
          <w:szCs w:val="24"/>
        </w:rPr>
        <w:tab/>
        <w:t>2. Užsienio reikalų ministerijos 20</w:t>
      </w:r>
      <w:r w:rsidR="00D1602B">
        <w:rPr>
          <w:szCs w:val="24"/>
        </w:rPr>
        <w:t>20</w:t>
      </w:r>
      <w:r w:rsidRPr="006E56D5">
        <w:rPr>
          <w:szCs w:val="24"/>
        </w:rPr>
        <w:t xml:space="preserve"> m. balandžio </w:t>
      </w:r>
      <w:r w:rsidR="00D1602B">
        <w:rPr>
          <w:szCs w:val="24"/>
        </w:rPr>
        <w:t>30</w:t>
      </w:r>
      <w:r w:rsidRPr="006E56D5">
        <w:rPr>
          <w:szCs w:val="24"/>
        </w:rPr>
        <w:t xml:space="preserve"> d. raštas Nr. </w:t>
      </w:r>
      <w:r w:rsidR="00D1602B" w:rsidRPr="00EC2F19">
        <w:rPr>
          <w:szCs w:val="24"/>
        </w:rPr>
        <w:t>(</w:t>
      </w:r>
      <w:r w:rsidR="00D1602B">
        <w:rPr>
          <w:szCs w:val="24"/>
        </w:rPr>
        <w:t>4.11E</w:t>
      </w:r>
      <w:r w:rsidR="00D1602B" w:rsidRPr="00EC2F19">
        <w:rPr>
          <w:szCs w:val="24"/>
        </w:rPr>
        <w:t>)3-1</w:t>
      </w:r>
      <w:r w:rsidR="00D1602B">
        <w:rPr>
          <w:szCs w:val="24"/>
        </w:rPr>
        <w:t>944</w:t>
      </w:r>
      <w:r w:rsidR="003D2C9E">
        <w:rPr>
          <w:szCs w:val="24"/>
        </w:rPr>
        <w:t>, 1 lapas.</w:t>
      </w:r>
    </w:p>
    <w:p w14:paraId="79EF94EA" w14:textId="5B2E09EE" w:rsidR="00ED3746" w:rsidRDefault="00ED3746" w:rsidP="0010155B">
      <w:pPr>
        <w:rPr>
          <w:iCs/>
        </w:rPr>
      </w:pPr>
    </w:p>
    <w:p w14:paraId="103FDAC3" w14:textId="7CB82282" w:rsidR="006E56D5" w:rsidRDefault="006E56D5" w:rsidP="0010155B">
      <w:pPr>
        <w:rPr>
          <w:iCs/>
        </w:rPr>
      </w:pPr>
    </w:p>
    <w:p w14:paraId="3F10D3DB" w14:textId="77777777" w:rsidR="006E56D5" w:rsidRDefault="006E56D5" w:rsidP="0010155B">
      <w:pPr>
        <w:rPr>
          <w:iCs/>
        </w:rPr>
      </w:pPr>
    </w:p>
    <w:p w14:paraId="7B63E985" w14:textId="77777777" w:rsidR="00117A6F" w:rsidRPr="001B35F3" w:rsidRDefault="00117A6F" w:rsidP="0010155B">
      <w:pPr>
        <w:rPr>
          <w:iCs/>
        </w:rPr>
      </w:pPr>
    </w:p>
    <w:p w14:paraId="3A09EBD2" w14:textId="1A86B03E" w:rsidR="00C5227C" w:rsidRPr="001B35F3" w:rsidRDefault="00117A6F" w:rsidP="0010155B">
      <w:pPr>
        <w:rPr>
          <w:iCs/>
        </w:rPr>
      </w:pPr>
      <w:r>
        <w:rPr>
          <w:iCs/>
        </w:rPr>
        <w:t>Ministerijos kancleris</w:t>
      </w:r>
      <w:r w:rsidR="00630B67" w:rsidRPr="001B35F3">
        <w:rPr>
          <w:iCs/>
        </w:rPr>
        <w:tab/>
      </w:r>
      <w:r w:rsidR="00630B67" w:rsidRPr="001B35F3">
        <w:rPr>
          <w:iCs/>
        </w:rPr>
        <w:tab/>
      </w:r>
      <w:r w:rsidR="00630B67" w:rsidRPr="001B35F3">
        <w:rPr>
          <w:iCs/>
        </w:rPr>
        <w:tab/>
      </w:r>
      <w:r w:rsidR="00630B67" w:rsidRPr="001B35F3">
        <w:rPr>
          <w:iCs/>
        </w:rPr>
        <w:tab/>
        <w:t xml:space="preserve">     </w:t>
      </w:r>
      <w:r w:rsidR="001B35F3" w:rsidRPr="001B35F3">
        <w:rPr>
          <w:iCs/>
        </w:rPr>
        <w:t xml:space="preserve">                         </w:t>
      </w:r>
      <w:r w:rsidR="001744A8" w:rsidRPr="001B35F3">
        <w:rPr>
          <w:iCs/>
        </w:rPr>
        <w:tab/>
      </w:r>
      <w:r w:rsidR="001B35F3" w:rsidRPr="001B35F3">
        <w:rPr>
          <w:iCs/>
        </w:rPr>
        <w:t xml:space="preserve">      </w:t>
      </w:r>
      <w:r>
        <w:rPr>
          <w:iCs/>
        </w:rPr>
        <w:t xml:space="preserve">                Ramūnas Dilba</w:t>
      </w:r>
    </w:p>
    <w:bookmarkEnd w:id="1"/>
    <w:p w14:paraId="7F5CB6FA" w14:textId="42D4FB23" w:rsidR="00630B67" w:rsidRPr="001B35F3" w:rsidRDefault="00630B67" w:rsidP="006D6DBF">
      <w:pPr>
        <w:rPr>
          <w:rStyle w:val="Hipersaitas"/>
          <w:b/>
          <w:color w:val="auto"/>
          <w:sz w:val="20"/>
          <w:u w:val="none"/>
        </w:rPr>
      </w:pPr>
    </w:p>
    <w:p w14:paraId="78F9F46B" w14:textId="59EE5BD4" w:rsidR="004A2786" w:rsidRPr="001B35F3" w:rsidRDefault="004A2786" w:rsidP="006D6DBF">
      <w:pPr>
        <w:rPr>
          <w:rStyle w:val="Hipersaitas"/>
          <w:b/>
          <w:color w:val="auto"/>
          <w:sz w:val="20"/>
          <w:u w:val="none"/>
        </w:rPr>
      </w:pPr>
    </w:p>
    <w:p w14:paraId="72E8DE8C" w14:textId="0B7FFED5" w:rsidR="009153AF" w:rsidRDefault="009153AF" w:rsidP="006D6DBF">
      <w:pPr>
        <w:rPr>
          <w:rStyle w:val="Hipersaitas"/>
          <w:b/>
          <w:color w:val="auto"/>
          <w:sz w:val="20"/>
          <w:u w:val="none"/>
        </w:rPr>
      </w:pPr>
    </w:p>
    <w:p w14:paraId="485FDF29" w14:textId="21010110" w:rsidR="003E0D33" w:rsidRDefault="003E0D33" w:rsidP="006D6DBF">
      <w:pPr>
        <w:rPr>
          <w:rStyle w:val="Hipersaitas"/>
          <w:b/>
          <w:color w:val="auto"/>
          <w:sz w:val="20"/>
          <w:u w:val="none"/>
        </w:rPr>
      </w:pPr>
    </w:p>
    <w:p w14:paraId="3E927C22" w14:textId="14B0FC78" w:rsidR="003E0D33" w:rsidRDefault="003E0D33" w:rsidP="006D6DBF">
      <w:pPr>
        <w:rPr>
          <w:rStyle w:val="Hipersaitas"/>
          <w:b/>
          <w:color w:val="auto"/>
          <w:sz w:val="20"/>
          <w:u w:val="none"/>
        </w:rPr>
      </w:pPr>
    </w:p>
    <w:p w14:paraId="64D25272" w14:textId="73B1CADC" w:rsidR="003E0D33" w:rsidRDefault="003E0D33" w:rsidP="006D6DBF">
      <w:pPr>
        <w:rPr>
          <w:rStyle w:val="Hipersaitas"/>
          <w:b/>
          <w:color w:val="auto"/>
          <w:sz w:val="20"/>
          <w:u w:val="none"/>
        </w:rPr>
      </w:pPr>
    </w:p>
    <w:p w14:paraId="06C045E6" w14:textId="1946324B" w:rsidR="003E0D33" w:rsidRDefault="003E0D33" w:rsidP="006D6DBF">
      <w:pPr>
        <w:rPr>
          <w:rStyle w:val="Hipersaitas"/>
          <w:b/>
          <w:color w:val="auto"/>
          <w:sz w:val="20"/>
          <w:u w:val="none"/>
        </w:rPr>
      </w:pPr>
    </w:p>
    <w:p w14:paraId="35042164" w14:textId="7A81D15E" w:rsidR="003E0D33" w:rsidRDefault="003E0D33" w:rsidP="006D6DBF">
      <w:pPr>
        <w:rPr>
          <w:rStyle w:val="Hipersaitas"/>
          <w:b/>
          <w:color w:val="auto"/>
          <w:sz w:val="20"/>
          <w:u w:val="none"/>
        </w:rPr>
      </w:pPr>
    </w:p>
    <w:p w14:paraId="6149ED65" w14:textId="6C252B68" w:rsidR="003E0D33" w:rsidRDefault="003E0D33" w:rsidP="006D6DBF">
      <w:pPr>
        <w:rPr>
          <w:rStyle w:val="Hipersaitas"/>
          <w:b/>
          <w:color w:val="auto"/>
          <w:sz w:val="20"/>
          <w:u w:val="none"/>
        </w:rPr>
      </w:pPr>
    </w:p>
    <w:p w14:paraId="68FF2E50" w14:textId="20A0A4E1" w:rsidR="003E0D33" w:rsidRDefault="003E0D33" w:rsidP="006D6DBF">
      <w:pPr>
        <w:rPr>
          <w:rStyle w:val="Hipersaitas"/>
          <w:b/>
          <w:color w:val="auto"/>
          <w:sz w:val="20"/>
          <w:u w:val="none"/>
        </w:rPr>
      </w:pPr>
    </w:p>
    <w:p w14:paraId="4DE22234" w14:textId="77471641" w:rsidR="003E0D33" w:rsidRDefault="003E0D33" w:rsidP="006D6DBF">
      <w:pPr>
        <w:rPr>
          <w:rStyle w:val="Hipersaitas"/>
          <w:b/>
          <w:color w:val="auto"/>
          <w:sz w:val="20"/>
          <w:u w:val="none"/>
        </w:rPr>
      </w:pPr>
    </w:p>
    <w:p w14:paraId="7D2DB4FE" w14:textId="77777777" w:rsidR="003E0D33" w:rsidRDefault="003E0D33" w:rsidP="006D6DBF">
      <w:pPr>
        <w:rPr>
          <w:rStyle w:val="Hipersaitas"/>
          <w:b/>
          <w:color w:val="auto"/>
          <w:sz w:val="20"/>
          <w:u w:val="none"/>
        </w:rPr>
      </w:pPr>
    </w:p>
    <w:p w14:paraId="7BE5D469" w14:textId="3B12A8BF" w:rsidR="00117A6F" w:rsidRDefault="00117A6F" w:rsidP="006D6DBF">
      <w:pPr>
        <w:rPr>
          <w:rStyle w:val="Hipersaitas"/>
          <w:b/>
          <w:color w:val="auto"/>
          <w:sz w:val="20"/>
          <w:u w:val="none"/>
        </w:rPr>
      </w:pPr>
    </w:p>
    <w:p w14:paraId="55E070BE" w14:textId="1E51FC32" w:rsidR="00117A6F" w:rsidRDefault="00117A6F" w:rsidP="006D6DBF">
      <w:pPr>
        <w:rPr>
          <w:rStyle w:val="Hipersaitas"/>
          <w:b/>
          <w:color w:val="auto"/>
          <w:sz w:val="20"/>
          <w:u w:val="none"/>
        </w:rPr>
      </w:pPr>
    </w:p>
    <w:p w14:paraId="60997E60" w14:textId="7B922567" w:rsidR="00117A6F" w:rsidRDefault="00117A6F" w:rsidP="006D6DBF">
      <w:pPr>
        <w:rPr>
          <w:rStyle w:val="Hipersaitas"/>
          <w:b/>
          <w:color w:val="auto"/>
          <w:sz w:val="20"/>
          <w:u w:val="none"/>
        </w:rPr>
      </w:pPr>
    </w:p>
    <w:p w14:paraId="636B448C" w14:textId="77777777" w:rsidR="00117A6F" w:rsidRDefault="00117A6F" w:rsidP="006D6DBF">
      <w:pPr>
        <w:rPr>
          <w:rStyle w:val="Hipersaitas"/>
          <w:b/>
          <w:color w:val="auto"/>
          <w:sz w:val="20"/>
          <w:u w:val="none"/>
        </w:rPr>
      </w:pPr>
    </w:p>
    <w:p w14:paraId="2CA13FA7" w14:textId="37E99E54" w:rsidR="00ED3746" w:rsidRPr="001B35F3" w:rsidRDefault="009153AF" w:rsidP="009153AF">
      <w:pPr>
        <w:ind w:left="720" w:firstLine="720"/>
        <w:rPr>
          <w:rStyle w:val="Hipersaitas"/>
          <w:b/>
          <w:color w:val="auto"/>
          <w:sz w:val="20"/>
          <w:u w:val="none"/>
        </w:rPr>
      </w:pPr>
      <w:r>
        <w:rPr>
          <w:rStyle w:val="Hipersaitas"/>
          <w:b/>
          <w:color w:val="auto"/>
          <w:sz w:val="22"/>
          <w:szCs w:val="22"/>
          <w:u w:val="none"/>
        </w:rPr>
        <w:lastRenderedPageBreak/>
        <w:t xml:space="preserve">                                               </w:t>
      </w:r>
      <w:r w:rsidR="00117A6F">
        <w:rPr>
          <w:rStyle w:val="Hipersaitas"/>
          <w:b/>
          <w:color w:val="auto"/>
          <w:sz w:val="22"/>
          <w:szCs w:val="22"/>
          <w:u w:val="none"/>
        </w:rPr>
        <w:tab/>
      </w:r>
      <w:r w:rsidR="00117A6F">
        <w:rPr>
          <w:rStyle w:val="Hipersaitas"/>
          <w:b/>
          <w:color w:val="auto"/>
          <w:sz w:val="22"/>
          <w:szCs w:val="22"/>
          <w:u w:val="none"/>
        </w:rPr>
        <w:tab/>
      </w:r>
      <w:r w:rsidR="00117A6F">
        <w:rPr>
          <w:rStyle w:val="Hipersaitas"/>
          <w:b/>
          <w:color w:val="auto"/>
          <w:sz w:val="22"/>
          <w:szCs w:val="22"/>
          <w:u w:val="none"/>
        </w:rPr>
        <w:tab/>
      </w:r>
      <w:r w:rsidR="00117A6F">
        <w:rPr>
          <w:rStyle w:val="Hipersaitas"/>
          <w:b/>
          <w:color w:val="auto"/>
          <w:sz w:val="22"/>
          <w:szCs w:val="22"/>
          <w:u w:val="none"/>
        </w:rPr>
        <w:tab/>
      </w:r>
      <w:r>
        <w:rPr>
          <w:rStyle w:val="Hipersaitas"/>
          <w:b/>
          <w:color w:val="auto"/>
          <w:sz w:val="20"/>
          <w:u w:val="none"/>
        </w:rPr>
        <w:tab/>
      </w:r>
      <w:r w:rsidR="00B743B6">
        <w:rPr>
          <w:rStyle w:val="Hipersaitas"/>
          <w:b/>
          <w:color w:val="auto"/>
          <w:sz w:val="20"/>
          <w:u w:val="none"/>
        </w:rPr>
        <w:t xml:space="preserve"> </w:t>
      </w:r>
      <w:r w:rsidRPr="009153AF">
        <w:rPr>
          <w:noProof/>
          <w:lang w:eastAsia="lt-LT"/>
        </w:rPr>
        <w:drawing>
          <wp:inline distT="0" distB="0" distL="0" distR="0" wp14:anchorId="4DDD2EA8" wp14:editId="3953BD2C">
            <wp:extent cx="1047820" cy="790256"/>
            <wp:effectExtent l="0" t="0" r="0" b="0"/>
            <wp:docPr id="3" name="Picture 3" descr="C:\Users\r.adomaityte\AppData\Local\Microsoft\Windows\INetCache\Content.MSO\1549B1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.adomaityte\AppData\Local\Microsoft\Windows\INetCache\Content.MSO\1549B177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289" cy="7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C1F40" w14:textId="77777777" w:rsidR="009153AF" w:rsidRDefault="009153AF" w:rsidP="00AE4462">
      <w:pPr>
        <w:rPr>
          <w:sz w:val="21"/>
          <w:szCs w:val="21"/>
        </w:rPr>
      </w:pPr>
    </w:p>
    <w:p w14:paraId="31B70903" w14:textId="7CB54C46" w:rsidR="00F73165" w:rsidRPr="001B35F3" w:rsidRDefault="004A2786" w:rsidP="00AE4462">
      <w:pPr>
        <w:rPr>
          <w:sz w:val="21"/>
          <w:szCs w:val="21"/>
        </w:rPr>
      </w:pPr>
      <w:r w:rsidRPr="001B35F3">
        <w:rPr>
          <w:sz w:val="21"/>
          <w:szCs w:val="21"/>
        </w:rPr>
        <w:t>R</w:t>
      </w:r>
      <w:r w:rsidR="00EF69E7" w:rsidRPr="001B35F3">
        <w:rPr>
          <w:sz w:val="21"/>
          <w:szCs w:val="21"/>
        </w:rPr>
        <w:t>.</w:t>
      </w:r>
      <w:r w:rsidRPr="001B35F3">
        <w:rPr>
          <w:sz w:val="21"/>
          <w:szCs w:val="21"/>
        </w:rPr>
        <w:t xml:space="preserve"> Adomaitytė-Šliogerienė, tel. 8 </w:t>
      </w:r>
      <w:r w:rsidR="00AE4462" w:rsidRPr="001B35F3">
        <w:rPr>
          <w:sz w:val="21"/>
          <w:szCs w:val="21"/>
        </w:rPr>
        <w:t>52034830(2)</w:t>
      </w:r>
      <w:r w:rsidRPr="001B35F3">
        <w:rPr>
          <w:sz w:val="21"/>
          <w:szCs w:val="21"/>
        </w:rPr>
        <w:t xml:space="preserve">, el. p. renata.adomaityte-sliogeriene@enmin.lt  </w:t>
      </w:r>
      <w:r w:rsidR="00F73165" w:rsidRPr="001B35F3">
        <w:rPr>
          <w:b/>
          <w:sz w:val="20"/>
        </w:rPr>
        <w:t xml:space="preserve">                                                                                                       </w:t>
      </w:r>
      <w:r w:rsidRPr="001B35F3">
        <w:rPr>
          <w:b/>
          <w:sz w:val="20"/>
        </w:rPr>
        <w:t xml:space="preserve">                               </w:t>
      </w:r>
    </w:p>
    <w:sectPr w:rsidR="00F73165" w:rsidRPr="001B35F3" w:rsidSect="009153AF">
      <w:headerReference w:type="default" r:id="rId11"/>
      <w:footerReference w:type="even" r:id="rId12"/>
      <w:headerReference w:type="first" r:id="rId13"/>
      <w:pgSz w:w="11906" w:h="16838" w:code="9"/>
      <w:pgMar w:top="1134" w:right="851" w:bottom="851" w:left="1701" w:header="567" w:footer="567" w:gutter="0"/>
      <w:pgNumType w:start="1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0287" w16cex:dateUtc="2020-09-15T06:06:00Z"/>
  <w16cex:commentExtensible w16cex:durableId="230B0540" w16cex:dateUtc="2020-09-15T06:1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6A099" w14:textId="77777777" w:rsidR="00A073BB" w:rsidRDefault="00A073BB">
      <w:r>
        <w:separator/>
      </w:r>
    </w:p>
  </w:endnote>
  <w:endnote w:type="continuationSeparator" w:id="0">
    <w:p w14:paraId="2BEF8C71" w14:textId="77777777" w:rsidR="00A073BB" w:rsidRDefault="00A0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71915" w14:textId="77777777" w:rsidR="00132A66" w:rsidRDefault="00132A6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E6A0C01" w14:textId="77777777" w:rsidR="00132A66" w:rsidRDefault="00132A6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04959" w14:textId="77777777" w:rsidR="00A073BB" w:rsidRDefault="00A073BB">
      <w:r>
        <w:separator/>
      </w:r>
    </w:p>
  </w:footnote>
  <w:footnote w:type="continuationSeparator" w:id="0">
    <w:p w14:paraId="7F43D6A0" w14:textId="77777777" w:rsidR="00A073BB" w:rsidRDefault="00A073BB">
      <w:r>
        <w:continuationSeparator/>
      </w:r>
    </w:p>
  </w:footnote>
  <w:footnote w:id="1">
    <w:p w14:paraId="77650D7E" w14:textId="014464E4" w:rsidR="00F16B8D" w:rsidRDefault="00F16B8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szCs w:val="24"/>
        </w:rPr>
        <w:t xml:space="preserve">Lietuvos Respublikos Vyriausybės 2018 m. gruodžio 12 d. nutarimas Nr. 1298 „Dėl Valstybės tarnautojų ir darbuotojų, dirbančių pagal darbo sutartis, pareigybių poreikio nustatymo kriterijų aprašo </w:t>
      </w:r>
      <w:r w:rsidRPr="006E56D5">
        <w:rPr>
          <w:szCs w:val="24"/>
        </w:rPr>
        <w:t>ir Didžiausio leistino valstybės tarnautojų ir darbuotojų, dirbančių pagal darbo sutartis ir gaunančių darbo užmokestį iš valstybės biudžeto ir valstybės pinigų fondų, pareigybių skaičiaus sąrašo</w:t>
      </w:r>
      <w:r>
        <w:rPr>
          <w:szCs w:val="24"/>
        </w:rPr>
        <w:t xml:space="preserve"> patvirtinimo“.</w:t>
      </w:r>
    </w:p>
  </w:footnote>
  <w:footnote w:id="2">
    <w:p w14:paraId="0B150B6A" w14:textId="2D04E531" w:rsidR="00F16B8D" w:rsidRDefault="00F16B8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E56D5">
        <w:rPr>
          <w:szCs w:val="24"/>
        </w:rPr>
        <w:t>Didžiausio leistino valstybės tarnautojų ir darbuotojų, dirbančių pagal darbo sutartis ir gaunančių darbo užmokestį iš valstybės biudžeto ir valstybės pinigų fondų, pareigybių skaičiaus sąraš</w:t>
      </w:r>
      <w:r>
        <w:rPr>
          <w:szCs w:val="24"/>
        </w:rPr>
        <w:t xml:space="preserve">as, patvirtintas Lietuvos Respublikos Vyriausybės 2018 m. gruodžio 12 d. nutarimu Nr. 1298 „Dėl Valstybės tarnautojų ir darbuotojų, dirbančių pagal darbo sutartis, pareigybių poreikio nustatymo kriterijų aprašo </w:t>
      </w:r>
      <w:r w:rsidRPr="006E56D5">
        <w:rPr>
          <w:szCs w:val="24"/>
        </w:rPr>
        <w:t>ir Didžiausio leistino valstybės tarnautojų ir darbuotojų, dirbančių pagal darbo sutartis ir gaunančių darbo užmokestį iš valstybės biudžeto ir valstybės pinigų fondų, pareigybių skaičiaus sąrašo</w:t>
      </w:r>
      <w:r>
        <w:rPr>
          <w:szCs w:val="24"/>
        </w:rPr>
        <w:t xml:space="preserve"> patvirtinimo“.</w:t>
      </w:r>
    </w:p>
  </w:footnote>
  <w:footnote w:id="3">
    <w:p w14:paraId="76603E92" w14:textId="4627DF54" w:rsidR="008719B5" w:rsidRDefault="008719B5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szCs w:val="24"/>
          <w:lang w:eastAsia="lt-LT"/>
        </w:rPr>
        <w:t xml:space="preserve">Lietuvos Respublikos Vyriausybės 2016 m. rugpjūčio 25 d. nutarimas Nr. 862 „Dėl Lietuvos Respublikos </w:t>
      </w:r>
      <w:r w:rsidRPr="006E56D5">
        <w:rPr>
          <w:szCs w:val="24"/>
        </w:rPr>
        <w:t xml:space="preserve">energetikos atašė pavaduotojo pareigybės </w:t>
      </w:r>
      <w:r>
        <w:rPr>
          <w:szCs w:val="24"/>
        </w:rPr>
        <w:t>įsteigimo</w:t>
      </w:r>
      <w:r w:rsidRPr="006E56D5">
        <w:rPr>
          <w:szCs w:val="24"/>
        </w:rPr>
        <w:t xml:space="preserve"> Lietuvos Respublikos ambasadoje Lenkijos Respublikoje</w:t>
      </w:r>
      <w:r>
        <w:rPr>
          <w:szCs w:val="24"/>
        </w:rPr>
        <w:t>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C5674" w14:textId="66CE8145" w:rsidR="00132A66" w:rsidRDefault="00132A6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97885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E7972" w14:textId="2359AAA4" w:rsidR="00132A66" w:rsidRDefault="00431D55" w:rsidP="00431D55">
    <w:pPr>
      <w:pStyle w:val="Antrats"/>
      <w:tabs>
        <w:tab w:val="clear" w:pos="8306"/>
        <w:tab w:val="right" w:pos="9356"/>
      </w:tabs>
      <w:jc w:val="center"/>
    </w:pPr>
    <w:r>
      <w:rPr>
        <w:noProof/>
        <w:lang w:val="lt-LT" w:eastAsia="lt-LT"/>
      </w:rPr>
      <w:drawing>
        <wp:inline distT="0" distB="0" distL="0" distR="0" wp14:anchorId="2642DFAE" wp14:editId="6E8BECFA">
          <wp:extent cx="542925" cy="590550"/>
          <wp:effectExtent l="0" t="0" r="0" b="0"/>
          <wp:docPr id="1" name="Picture 1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404F"/>
    <w:multiLevelType w:val="multilevel"/>
    <w:tmpl w:val="3D8A68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501301"/>
    <w:multiLevelType w:val="hybridMultilevel"/>
    <w:tmpl w:val="400C89A4"/>
    <w:lvl w:ilvl="0" w:tplc="DE5E543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D48F7"/>
    <w:multiLevelType w:val="hybridMultilevel"/>
    <w:tmpl w:val="6B200432"/>
    <w:lvl w:ilvl="0" w:tplc="BC6E68F8">
      <w:start w:val="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80B"/>
    <w:multiLevelType w:val="multilevel"/>
    <w:tmpl w:val="AFD61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  <w:sz w:val="22"/>
      </w:rPr>
    </w:lvl>
  </w:abstractNum>
  <w:abstractNum w:abstractNumId="4" w15:restartNumberingAfterBreak="0">
    <w:nsid w:val="275B0055"/>
    <w:multiLevelType w:val="multilevel"/>
    <w:tmpl w:val="3D8A68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59A263F"/>
    <w:multiLevelType w:val="hybridMultilevel"/>
    <w:tmpl w:val="65FAC452"/>
    <w:lvl w:ilvl="0" w:tplc="64687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61DDC"/>
    <w:multiLevelType w:val="hybridMultilevel"/>
    <w:tmpl w:val="9FD66AEC"/>
    <w:lvl w:ilvl="0" w:tplc="A6581D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64653"/>
    <w:multiLevelType w:val="hybridMultilevel"/>
    <w:tmpl w:val="1F00CEB2"/>
    <w:lvl w:ilvl="0" w:tplc="A0A8CB5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1201"/>
    <w:multiLevelType w:val="multilevel"/>
    <w:tmpl w:val="080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4121C2"/>
    <w:multiLevelType w:val="multilevel"/>
    <w:tmpl w:val="F9FCE970"/>
    <w:lvl w:ilvl="0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28"/>
        </w:tabs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88"/>
        </w:tabs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8"/>
        </w:tabs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8"/>
        </w:tabs>
        <w:ind w:left="2548" w:hanging="1800"/>
      </w:pPr>
      <w:rPr>
        <w:rFonts w:hint="default"/>
      </w:rPr>
    </w:lvl>
  </w:abstractNum>
  <w:abstractNum w:abstractNumId="10" w15:restartNumberingAfterBreak="0">
    <w:nsid w:val="5C1F5447"/>
    <w:multiLevelType w:val="hybridMultilevel"/>
    <w:tmpl w:val="945AAD7E"/>
    <w:lvl w:ilvl="0" w:tplc="AE4E7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465277"/>
    <w:multiLevelType w:val="hybridMultilevel"/>
    <w:tmpl w:val="38FC78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2560"/>
    <w:multiLevelType w:val="hybridMultilevel"/>
    <w:tmpl w:val="1D3ABAD0"/>
    <w:lvl w:ilvl="0" w:tplc="9BFEE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D40639"/>
    <w:multiLevelType w:val="hybridMultilevel"/>
    <w:tmpl w:val="1D3ABAD0"/>
    <w:lvl w:ilvl="0" w:tplc="9BFEE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FA6B06"/>
    <w:multiLevelType w:val="hybridMultilevel"/>
    <w:tmpl w:val="67189952"/>
    <w:lvl w:ilvl="0" w:tplc="7F78850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14"/>
  </w:num>
  <w:num w:numId="10">
    <w:abstractNumId w:val="7"/>
  </w:num>
  <w:num w:numId="11">
    <w:abstractNumId w:val="10"/>
  </w:num>
  <w:num w:numId="12">
    <w:abstractNumId w:val="13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A5"/>
    <w:rsid w:val="000102A1"/>
    <w:rsid w:val="00010B3F"/>
    <w:rsid w:val="00010E06"/>
    <w:rsid w:val="00012EF2"/>
    <w:rsid w:val="000153F1"/>
    <w:rsid w:val="00015895"/>
    <w:rsid w:val="00015E01"/>
    <w:rsid w:val="000164C3"/>
    <w:rsid w:val="00020D0D"/>
    <w:rsid w:val="00021778"/>
    <w:rsid w:val="00024037"/>
    <w:rsid w:val="000345EA"/>
    <w:rsid w:val="000442C3"/>
    <w:rsid w:val="00046BE0"/>
    <w:rsid w:val="000479F9"/>
    <w:rsid w:val="00052023"/>
    <w:rsid w:val="00052614"/>
    <w:rsid w:val="00052B98"/>
    <w:rsid w:val="00054A47"/>
    <w:rsid w:val="00056324"/>
    <w:rsid w:val="00061B6B"/>
    <w:rsid w:val="00061DD4"/>
    <w:rsid w:val="0006284D"/>
    <w:rsid w:val="00063A8A"/>
    <w:rsid w:val="000652C4"/>
    <w:rsid w:val="00066ACD"/>
    <w:rsid w:val="00076FBE"/>
    <w:rsid w:val="0007769D"/>
    <w:rsid w:val="00080D05"/>
    <w:rsid w:val="00085682"/>
    <w:rsid w:val="000900A3"/>
    <w:rsid w:val="00094B61"/>
    <w:rsid w:val="000A6378"/>
    <w:rsid w:val="000B02C9"/>
    <w:rsid w:val="000B6BA1"/>
    <w:rsid w:val="000D10DF"/>
    <w:rsid w:val="000D4135"/>
    <w:rsid w:val="000E0541"/>
    <w:rsid w:val="000E5044"/>
    <w:rsid w:val="000F0F97"/>
    <w:rsid w:val="000F0FC5"/>
    <w:rsid w:val="000F14E2"/>
    <w:rsid w:val="000F70B1"/>
    <w:rsid w:val="000F7136"/>
    <w:rsid w:val="0010155B"/>
    <w:rsid w:val="00112481"/>
    <w:rsid w:val="00112F70"/>
    <w:rsid w:val="00113FBE"/>
    <w:rsid w:val="00116771"/>
    <w:rsid w:val="00117A6F"/>
    <w:rsid w:val="00117BF7"/>
    <w:rsid w:val="001203D3"/>
    <w:rsid w:val="00132A66"/>
    <w:rsid w:val="001359BF"/>
    <w:rsid w:val="001373FF"/>
    <w:rsid w:val="001379B8"/>
    <w:rsid w:val="00142C8E"/>
    <w:rsid w:val="00144A46"/>
    <w:rsid w:val="001454F5"/>
    <w:rsid w:val="00156ABB"/>
    <w:rsid w:val="00161B62"/>
    <w:rsid w:val="00162A13"/>
    <w:rsid w:val="00162CC8"/>
    <w:rsid w:val="00165398"/>
    <w:rsid w:val="001744A8"/>
    <w:rsid w:val="00175992"/>
    <w:rsid w:val="00176A54"/>
    <w:rsid w:val="001822FE"/>
    <w:rsid w:val="00182544"/>
    <w:rsid w:val="00183837"/>
    <w:rsid w:val="00190702"/>
    <w:rsid w:val="00193FB7"/>
    <w:rsid w:val="00193FFD"/>
    <w:rsid w:val="00194B67"/>
    <w:rsid w:val="00194E62"/>
    <w:rsid w:val="00195FF4"/>
    <w:rsid w:val="001B35F3"/>
    <w:rsid w:val="001B52A2"/>
    <w:rsid w:val="001B5332"/>
    <w:rsid w:val="001B5C9A"/>
    <w:rsid w:val="001B7ED2"/>
    <w:rsid w:val="001C194C"/>
    <w:rsid w:val="001C3182"/>
    <w:rsid w:val="001D07ED"/>
    <w:rsid w:val="001E012D"/>
    <w:rsid w:val="001E748A"/>
    <w:rsid w:val="001F01DE"/>
    <w:rsid w:val="001F07F2"/>
    <w:rsid w:val="001F1DA5"/>
    <w:rsid w:val="001F3D74"/>
    <w:rsid w:val="001F61EB"/>
    <w:rsid w:val="002064CE"/>
    <w:rsid w:val="00206812"/>
    <w:rsid w:val="00214F7B"/>
    <w:rsid w:val="002176CD"/>
    <w:rsid w:val="00217BD7"/>
    <w:rsid w:val="002215C1"/>
    <w:rsid w:val="00222355"/>
    <w:rsid w:val="00225021"/>
    <w:rsid w:val="002264A8"/>
    <w:rsid w:val="00236284"/>
    <w:rsid w:val="00240232"/>
    <w:rsid w:val="0024172D"/>
    <w:rsid w:val="002428B6"/>
    <w:rsid w:val="00242AD6"/>
    <w:rsid w:val="00242BC9"/>
    <w:rsid w:val="002455AF"/>
    <w:rsid w:val="00246B7C"/>
    <w:rsid w:val="00250C20"/>
    <w:rsid w:val="0025211B"/>
    <w:rsid w:val="0026102F"/>
    <w:rsid w:val="002650CA"/>
    <w:rsid w:val="00265867"/>
    <w:rsid w:val="002665F4"/>
    <w:rsid w:val="0026773A"/>
    <w:rsid w:val="0027097F"/>
    <w:rsid w:val="002767BA"/>
    <w:rsid w:val="002824DC"/>
    <w:rsid w:val="00282963"/>
    <w:rsid w:val="002862C9"/>
    <w:rsid w:val="0029301D"/>
    <w:rsid w:val="00294200"/>
    <w:rsid w:val="00296BCE"/>
    <w:rsid w:val="002A58E1"/>
    <w:rsid w:val="002A6DAC"/>
    <w:rsid w:val="002A72EF"/>
    <w:rsid w:val="002B0864"/>
    <w:rsid w:val="002B6DB9"/>
    <w:rsid w:val="002C1118"/>
    <w:rsid w:val="002C3082"/>
    <w:rsid w:val="002D583B"/>
    <w:rsid w:val="002D7869"/>
    <w:rsid w:val="002D7EFA"/>
    <w:rsid w:val="002F653D"/>
    <w:rsid w:val="003038AD"/>
    <w:rsid w:val="00304EE9"/>
    <w:rsid w:val="00310B95"/>
    <w:rsid w:val="00310F9D"/>
    <w:rsid w:val="003142E7"/>
    <w:rsid w:val="003148A2"/>
    <w:rsid w:val="00315724"/>
    <w:rsid w:val="00326C79"/>
    <w:rsid w:val="00331148"/>
    <w:rsid w:val="00332C42"/>
    <w:rsid w:val="00337056"/>
    <w:rsid w:val="00337BBD"/>
    <w:rsid w:val="00343D2F"/>
    <w:rsid w:val="00350207"/>
    <w:rsid w:val="003623D9"/>
    <w:rsid w:val="00367A11"/>
    <w:rsid w:val="003757CF"/>
    <w:rsid w:val="00376DA6"/>
    <w:rsid w:val="00376FBB"/>
    <w:rsid w:val="00377BF8"/>
    <w:rsid w:val="0038050C"/>
    <w:rsid w:val="003831D0"/>
    <w:rsid w:val="00385FC2"/>
    <w:rsid w:val="00396DE4"/>
    <w:rsid w:val="00397525"/>
    <w:rsid w:val="003A397B"/>
    <w:rsid w:val="003A529F"/>
    <w:rsid w:val="003A5451"/>
    <w:rsid w:val="003A6BB0"/>
    <w:rsid w:val="003B0EF1"/>
    <w:rsid w:val="003B103F"/>
    <w:rsid w:val="003B2337"/>
    <w:rsid w:val="003B274F"/>
    <w:rsid w:val="003B5FD3"/>
    <w:rsid w:val="003B6D5C"/>
    <w:rsid w:val="003C2EFD"/>
    <w:rsid w:val="003C35C9"/>
    <w:rsid w:val="003C5AEA"/>
    <w:rsid w:val="003C5E81"/>
    <w:rsid w:val="003D18DA"/>
    <w:rsid w:val="003D226C"/>
    <w:rsid w:val="003D2C9E"/>
    <w:rsid w:val="003D4860"/>
    <w:rsid w:val="003E0D33"/>
    <w:rsid w:val="003E1500"/>
    <w:rsid w:val="003E6727"/>
    <w:rsid w:val="003F08C0"/>
    <w:rsid w:val="003F2DD7"/>
    <w:rsid w:val="003F34D4"/>
    <w:rsid w:val="003F3856"/>
    <w:rsid w:val="003F39C6"/>
    <w:rsid w:val="003F4C6B"/>
    <w:rsid w:val="003F7BF7"/>
    <w:rsid w:val="004000D0"/>
    <w:rsid w:val="0040152A"/>
    <w:rsid w:val="004077C3"/>
    <w:rsid w:val="00410B27"/>
    <w:rsid w:val="00410BEF"/>
    <w:rsid w:val="004221F0"/>
    <w:rsid w:val="00427285"/>
    <w:rsid w:val="00431D55"/>
    <w:rsid w:val="004328DA"/>
    <w:rsid w:val="00432EE1"/>
    <w:rsid w:val="00440E49"/>
    <w:rsid w:val="00447FCA"/>
    <w:rsid w:val="0045437C"/>
    <w:rsid w:val="00455E6E"/>
    <w:rsid w:val="00461841"/>
    <w:rsid w:val="004632FF"/>
    <w:rsid w:val="00466A1C"/>
    <w:rsid w:val="0048020A"/>
    <w:rsid w:val="00483C6C"/>
    <w:rsid w:val="00483FD8"/>
    <w:rsid w:val="00484E70"/>
    <w:rsid w:val="00487325"/>
    <w:rsid w:val="00491344"/>
    <w:rsid w:val="00497692"/>
    <w:rsid w:val="004A2786"/>
    <w:rsid w:val="004A4B3A"/>
    <w:rsid w:val="004A5D2C"/>
    <w:rsid w:val="004A7332"/>
    <w:rsid w:val="004B0040"/>
    <w:rsid w:val="004B269D"/>
    <w:rsid w:val="004B41BB"/>
    <w:rsid w:val="004B5E4B"/>
    <w:rsid w:val="004B6C7C"/>
    <w:rsid w:val="004C04C1"/>
    <w:rsid w:val="004C1B42"/>
    <w:rsid w:val="004C1F67"/>
    <w:rsid w:val="004C2492"/>
    <w:rsid w:val="004C2734"/>
    <w:rsid w:val="004D0043"/>
    <w:rsid w:val="004D285A"/>
    <w:rsid w:val="004D37D3"/>
    <w:rsid w:val="004D7388"/>
    <w:rsid w:val="004E3B48"/>
    <w:rsid w:val="004E6E0B"/>
    <w:rsid w:val="004F0971"/>
    <w:rsid w:val="004F105C"/>
    <w:rsid w:val="004F3688"/>
    <w:rsid w:val="0050181E"/>
    <w:rsid w:val="00504553"/>
    <w:rsid w:val="00505313"/>
    <w:rsid w:val="00505A43"/>
    <w:rsid w:val="00507D1F"/>
    <w:rsid w:val="00514B1E"/>
    <w:rsid w:val="00521D71"/>
    <w:rsid w:val="00523128"/>
    <w:rsid w:val="005271BF"/>
    <w:rsid w:val="005273FF"/>
    <w:rsid w:val="005323D0"/>
    <w:rsid w:val="0053485F"/>
    <w:rsid w:val="005352C5"/>
    <w:rsid w:val="005369E7"/>
    <w:rsid w:val="005400DC"/>
    <w:rsid w:val="00541E8C"/>
    <w:rsid w:val="00542F18"/>
    <w:rsid w:val="005463F4"/>
    <w:rsid w:val="005467AB"/>
    <w:rsid w:val="00557D4D"/>
    <w:rsid w:val="00560227"/>
    <w:rsid w:val="0056029E"/>
    <w:rsid w:val="00561EFC"/>
    <w:rsid w:val="00562042"/>
    <w:rsid w:val="00562605"/>
    <w:rsid w:val="00562A97"/>
    <w:rsid w:val="00565FBA"/>
    <w:rsid w:val="005728CD"/>
    <w:rsid w:val="00572FA6"/>
    <w:rsid w:val="00576D47"/>
    <w:rsid w:val="0058048E"/>
    <w:rsid w:val="00584064"/>
    <w:rsid w:val="005872F3"/>
    <w:rsid w:val="00591963"/>
    <w:rsid w:val="00597EE3"/>
    <w:rsid w:val="005A3711"/>
    <w:rsid w:val="005B2E03"/>
    <w:rsid w:val="005B31EA"/>
    <w:rsid w:val="005B3BC3"/>
    <w:rsid w:val="005B4025"/>
    <w:rsid w:val="005B4F94"/>
    <w:rsid w:val="005B50A2"/>
    <w:rsid w:val="005B53F4"/>
    <w:rsid w:val="005D1F05"/>
    <w:rsid w:val="005D5821"/>
    <w:rsid w:val="005D6377"/>
    <w:rsid w:val="005D695C"/>
    <w:rsid w:val="005E2C50"/>
    <w:rsid w:val="005E5C98"/>
    <w:rsid w:val="005F3B91"/>
    <w:rsid w:val="005F6C3A"/>
    <w:rsid w:val="0060046A"/>
    <w:rsid w:val="00601852"/>
    <w:rsid w:val="00606351"/>
    <w:rsid w:val="00611890"/>
    <w:rsid w:val="00613B18"/>
    <w:rsid w:val="00615D0F"/>
    <w:rsid w:val="00625570"/>
    <w:rsid w:val="00630251"/>
    <w:rsid w:val="00630B67"/>
    <w:rsid w:val="00635A63"/>
    <w:rsid w:val="006373CE"/>
    <w:rsid w:val="00637A84"/>
    <w:rsid w:val="006404F4"/>
    <w:rsid w:val="00643730"/>
    <w:rsid w:val="006470DF"/>
    <w:rsid w:val="00647770"/>
    <w:rsid w:val="006538FB"/>
    <w:rsid w:val="00654FB4"/>
    <w:rsid w:val="006574DB"/>
    <w:rsid w:val="00660FD6"/>
    <w:rsid w:val="0066133D"/>
    <w:rsid w:val="00664332"/>
    <w:rsid w:val="00671AC2"/>
    <w:rsid w:val="0067317F"/>
    <w:rsid w:val="00675A68"/>
    <w:rsid w:val="00675AD1"/>
    <w:rsid w:val="00677D13"/>
    <w:rsid w:val="006826AD"/>
    <w:rsid w:val="00683384"/>
    <w:rsid w:val="0068572C"/>
    <w:rsid w:val="0069469C"/>
    <w:rsid w:val="0069590F"/>
    <w:rsid w:val="00695C84"/>
    <w:rsid w:val="006A5E81"/>
    <w:rsid w:val="006A6123"/>
    <w:rsid w:val="006B25F1"/>
    <w:rsid w:val="006C1233"/>
    <w:rsid w:val="006C308C"/>
    <w:rsid w:val="006C335A"/>
    <w:rsid w:val="006C4380"/>
    <w:rsid w:val="006C5EC3"/>
    <w:rsid w:val="006D26EB"/>
    <w:rsid w:val="006D40A2"/>
    <w:rsid w:val="006D6600"/>
    <w:rsid w:val="006D6DBF"/>
    <w:rsid w:val="006D7FA6"/>
    <w:rsid w:val="006E1D40"/>
    <w:rsid w:val="006E312A"/>
    <w:rsid w:val="006E56D5"/>
    <w:rsid w:val="006E60A8"/>
    <w:rsid w:val="006F2E42"/>
    <w:rsid w:val="006F3B3C"/>
    <w:rsid w:val="006F41EF"/>
    <w:rsid w:val="006F474D"/>
    <w:rsid w:val="006F54D4"/>
    <w:rsid w:val="006F56F5"/>
    <w:rsid w:val="006F6085"/>
    <w:rsid w:val="006F69A1"/>
    <w:rsid w:val="0070055D"/>
    <w:rsid w:val="00712137"/>
    <w:rsid w:val="00713C8D"/>
    <w:rsid w:val="0071494D"/>
    <w:rsid w:val="007236EB"/>
    <w:rsid w:val="00724F97"/>
    <w:rsid w:val="00725980"/>
    <w:rsid w:val="00725A79"/>
    <w:rsid w:val="007275EC"/>
    <w:rsid w:val="00733465"/>
    <w:rsid w:val="00745210"/>
    <w:rsid w:val="00746BB6"/>
    <w:rsid w:val="00746C94"/>
    <w:rsid w:val="00753E85"/>
    <w:rsid w:val="00757962"/>
    <w:rsid w:val="00763C03"/>
    <w:rsid w:val="00764777"/>
    <w:rsid w:val="00770334"/>
    <w:rsid w:val="00780517"/>
    <w:rsid w:val="00782197"/>
    <w:rsid w:val="00784F66"/>
    <w:rsid w:val="00785A11"/>
    <w:rsid w:val="007928D2"/>
    <w:rsid w:val="00795575"/>
    <w:rsid w:val="007A4B58"/>
    <w:rsid w:val="007B0B0E"/>
    <w:rsid w:val="007B4959"/>
    <w:rsid w:val="007C16C4"/>
    <w:rsid w:val="007C56F0"/>
    <w:rsid w:val="007C5C09"/>
    <w:rsid w:val="007C67C0"/>
    <w:rsid w:val="007D384B"/>
    <w:rsid w:val="007D6C91"/>
    <w:rsid w:val="007E38A4"/>
    <w:rsid w:val="007E58D6"/>
    <w:rsid w:val="007E670A"/>
    <w:rsid w:val="007F5A51"/>
    <w:rsid w:val="007F7320"/>
    <w:rsid w:val="008020AC"/>
    <w:rsid w:val="00804C3A"/>
    <w:rsid w:val="00806B4D"/>
    <w:rsid w:val="00807E2F"/>
    <w:rsid w:val="008106CA"/>
    <w:rsid w:val="008113C6"/>
    <w:rsid w:val="008150AA"/>
    <w:rsid w:val="00824227"/>
    <w:rsid w:val="00825CD0"/>
    <w:rsid w:val="00831E0C"/>
    <w:rsid w:val="00834810"/>
    <w:rsid w:val="00840E3F"/>
    <w:rsid w:val="00845706"/>
    <w:rsid w:val="00846564"/>
    <w:rsid w:val="00851827"/>
    <w:rsid w:val="00852A3A"/>
    <w:rsid w:val="008604B5"/>
    <w:rsid w:val="0086663A"/>
    <w:rsid w:val="0087127F"/>
    <w:rsid w:val="008719B5"/>
    <w:rsid w:val="008833EE"/>
    <w:rsid w:val="00886036"/>
    <w:rsid w:val="008861AF"/>
    <w:rsid w:val="00886AEE"/>
    <w:rsid w:val="0089196F"/>
    <w:rsid w:val="008A190C"/>
    <w:rsid w:val="008A3496"/>
    <w:rsid w:val="008A4CF5"/>
    <w:rsid w:val="008B4CC3"/>
    <w:rsid w:val="008B4D96"/>
    <w:rsid w:val="008B72DA"/>
    <w:rsid w:val="008C1BB7"/>
    <w:rsid w:val="008D0A63"/>
    <w:rsid w:val="008D36C0"/>
    <w:rsid w:val="008D5B43"/>
    <w:rsid w:val="008D5E7E"/>
    <w:rsid w:val="008D78CD"/>
    <w:rsid w:val="008E2702"/>
    <w:rsid w:val="008E5582"/>
    <w:rsid w:val="008E5DFE"/>
    <w:rsid w:val="008F4CE2"/>
    <w:rsid w:val="008F5DC8"/>
    <w:rsid w:val="008F615E"/>
    <w:rsid w:val="009016ED"/>
    <w:rsid w:val="00902702"/>
    <w:rsid w:val="00903BFF"/>
    <w:rsid w:val="009056A3"/>
    <w:rsid w:val="009114DC"/>
    <w:rsid w:val="00913F28"/>
    <w:rsid w:val="00914704"/>
    <w:rsid w:val="009153AF"/>
    <w:rsid w:val="00930239"/>
    <w:rsid w:val="0093755F"/>
    <w:rsid w:val="00940AC8"/>
    <w:rsid w:val="00950D26"/>
    <w:rsid w:val="009619BF"/>
    <w:rsid w:val="00962D6C"/>
    <w:rsid w:val="00967D27"/>
    <w:rsid w:val="009729F1"/>
    <w:rsid w:val="0098281F"/>
    <w:rsid w:val="009853E1"/>
    <w:rsid w:val="00990869"/>
    <w:rsid w:val="00991025"/>
    <w:rsid w:val="0099317A"/>
    <w:rsid w:val="009A1F48"/>
    <w:rsid w:val="009A4268"/>
    <w:rsid w:val="009A4C33"/>
    <w:rsid w:val="009B13DD"/>
    <w:rsid w:val="009B1930"/>
    <w:rsid w:val="009B4253"/>
    <w:rsid w:val="009C2ED1"/>
    <w:rsid w:val="009C62B2"/>
    <w:rsid w:val="009C6BB4"/>
    <w:rsid w:val="009C6E05"/>
    <w:rsid w:val="009C7186"/>
    <w:rsid w:val="009D0752"/>
    <w:rsid w:val="009D5DB1"/>
    <w:rsid w:val="009D78F5"/>
    <w:rsid w:val="009D7A12"/>
    <w:rsid w:val="009E2390"/>
    <w:rsid w:val="009E503C"/>
    <w:rsid w:val="009E5AA8"/>
    <w:rsid w:val="00A03999"/>
    <w:rsid w:val="00A06ADE"/>
    <w:rsid w:val="00A073BB"/>
    <w:rsid w:val="00A11846"/>
    <w:rsid w:val="00A12521"/>
    <w:rsid w:val="00A1328D"/>
    <w:rsid w:val="00A1479C"/>
    <w:rsid w:val="00A14E1E"/>
    <w:rsid w:val="00A15D15"/>
    <w:rsid w:val="00A2301D"/>
    <w:rsid w:val="00A27813"/>
    <w:rsid w:val="00A3069A"/>
    <w:rsid w:val="00A44144"/>
    <w:rsid w:val="00A4566D"/>
    <w:rsid w:val="00A64DE8"/>
    <w:rsid w:val="00A70E44"/>
    <w:rsid w:val="00A7514E"/>
    <w:rsid w:val="00A751C8"/>
    <w:rsid w:val="00A84902"/>
    <w:rsid w:val="00A8570C"/>
    <w:rsid w:val="00A8710D"/>
    <w:rsid w:val="00A908D7"/>
    <w:rsid w:val="00A9279F"/>
    <w:rsid w:val="00A93073"/>
    <w:rsid w:val="00A945C9"/>
    <w:rsid w:val="00AA21B6"/>
    <w:rsid w:val="00AA2E0D"/>
    <w:rsid w:val="00AA50BD"/>
    <w:rsid w:val="00AA585E"/>
    <w:rsid w:val="00AA766A"/>
    <w:rsid w:val="00AA7B99"/>
    <w:rsid w:val="00AA7CCA"/>
    <w:rsid w:val="00AB25F9"/>
    <w:rsid w:val="00AB4EB9"/>
    <w:rsid w:val="00AB5F1F"/>
    <w:rsid w:val="00AC00DD"/>
    <w:rsid w:val="00AC0F4B"/>
    <w:rsid w:val="00AC270B"/>
    <w:rsid w:val="00AC531C"/>
    <w:rsid w:val="00AC575F"/>
    <w:rsid w:val="00AC6860"/>
    <w:rsid w:val="00AD3EF5"/>
    <w:rsid w:val="00AD5767"/>
    <w:rsid w:val="00AD5CFE"/>
    <w:rsid w:val="00AE01E6"/>
    <w:rsid w:val="00AE0B44"/>
    <w:rsid w:val="00AE4462"/>
    <w:rsid w:val="00AE5328"/>
    <w:rsid w:val="00AF08CA"/>
    <w:rsid w:val="00AF1917"/>
    <w:rsid w:val="00AF4931"/>
    <w:rsid w:val="00B009D7"/>
    <w:rsid w:val="00B0227B"/>
    <w:rsid w:val="00B06976"/>
    <w:rsid w:val="00B10BE6"/>
    <w:rsid w:val="00B2625A"/>
    <w:rsid w:val="00B2667F"/>
    <w:rsid w:val="00B275AE"/>
    <w:rsid w:val="00B33148"/>
    <w:rsid w:val="00B3686C"/>
    <w:rsid w:val="00B4202A"/>
    <w:rsid w:val="00B443E3"/>
    <w:rsid w:val="00B513D1"/>
    <w:rsid w:val="00B555F1"/>
    <w:rsid w:val="00B56E54"/>
    <w:rsid w:val="00B60A1B"/>
    <w:rsid w:val="00B60BCE"/>
    <w:rsid w:val="00B60E41"/>
    <w:rsid w:val="00B6407B"/>
    <w:rsid w:val="00B640FF"/>
    <w:rsid w:val="00B645F2"/>
    <w:rsid w:val="00B66301"/>
    <w:rsid w:val="00B671F9"/>
    <w:rsid w:val="00B70E50"/>
    <w:rsid w:val="00B72916"/>
    <w:rsid w:val="00B73BC4"/>
    <w:rsid w:val="00B743B6"/>
    <w:rsid w:val="00B8051A"/>
    <w:rsid w:val="00B81119"/>
    <w:rsid w:val="00B8251E"/>
    <w:rsid w:val="00B84915"/>
    <w:rsid w:val="00B85744"/>
    <w:rsid w:val="00B85A46"/>
    <w:rsid w:val="00B87A8A"/>
    <w:rsid w:val="00B87DC8"/>
    <w:rsid w:val="00B94D27"/>
    <w:rsid w:val="00B96C26"/>
    <w:rsid w:val="00BA26B4"/>
    <w:rsid w:val="00BA34D8"/>
    <w:rsid w:val="00BA4B04"/>
    <w:rsid w:val="00BA656F"/>
    <w:rsid w:val="00BA67C5"/>
    <w:rsid w:val="00BB0E4F"/>
    <w:rsid w:val="00BB3274"/>
    <w:rsid w:val="00BB5479"/>
    <w:rsid w:val="00BB5CE6"/>
    <w:rsid w:val="00BB6640"/>
    <w:rsid w:val="00BB6FC5"/>
    <w:rsid w:val="00BC313E"/>
    <w:rsid w:val="00BD2EB0"/>
    <w:rsid w:val="00BD4D03"/>
    <w:rsid w:val="00BD7676"/>
    <w:rsid w:val="00BE248A"/>
    <w:rsid w:val="00BE24D0"/>
    <w:rsid w:val="00BE46A0"/>
    <w:rsid w:val="00BE4B39"/>
    <w:rsid w:val="00BE4F37"/>
    <w:rsid w:val="00BE6BAD"/>
    <w:rsid w:val="00BF07A6"/>
    <w:rsid w:val="00BF40F4"/>
    <w:rsid w:val="00BF4BFD"/>
    <w:rsid w:val="00BF535E"/>
    <w:rsid w:val="00C01EFC"/>
    <w:rsid w:val="00C04DB2"/>
    <w:rsid w:val="00C05CAA"/>
    <w:rsid w:val="00C11CAA"/>
    <w:rsid w:val="00C12EC5"/>
    <w:rsid w:val="00C176A1"/>
    <w:rsid w:val="00C25C89"/>
    <w:rsid w:val="00C268CF"/>
    <w:rsid w:val="00C474BF"/>
    <w:rsid w:val="00C475DD"/>
    <w:rsid w:val="00C5227C"/>
    <w:rsid w:val="00C61616"/>
    <w:rsid w:val="00C621AB"/>
    <w:rsid w:val="00C6584B"/>
    <w:rsid w:val="00C67291"/>
    <w:rsid w:val="00C7323E"/>
    <w:rsid w:val="00C84118"/>
    <w:rsid w:val="00C858EB"/>
    <w:rsid w:val="00C879E6"/>
    <w:rsid w:val="00C924C3"/>
    <w:rsid w:val="00CA05BE"/>
    <w:rsid w:val="00CA09A6"/>
    <w:rsid w:val="00CA213F"/>
    <w:rsid w:val="00CA28F9"/>
    <w:rsid w:val="00CA3578"/>
    <w:rsid w:val="00CA46B5"/>
    <w:rsid w:val="00CA66FE"/>
    <w:rsid w:val="00CB42CA"/>
    <w:rsid w:val="00CB65EE"/>
    <w:rsid w:val="00CB7E9A"/>
    <w:rsid w:val="00CC0C71"/>
    <w:rsid w:val="00CC4DCD"/>
    <w:rsid w:val="00CC5A71"/>
    <w:rsid w:val="00CC6A94"/>
    <w:rsid w:val="00CD270B"/>
    <w:rsid w:val="00CD525F"/>
    <w:rsid w:val="00CD665B"/>
    <w:rsid w:val="00CD75AB"/>
    <w:rsid w:val="00CF02B1"/>
    <w:rsid w:val="00CF03FA"/>
    <w:rsid w:val="00CF21BF"/>
    <w:rsid w:val="00CF6EDD"/>
    <w:rsid w:val="00D02D1A"/>
    <w:rsid w:val="00D03960"/>
    <w:rsid w:val="00D10FDD"/>
    <w:rsid w:val="00D12EB5"/>
    <w:rsid w:val="00D1602B"/>
    <w:rsid w:val="00D16EED"/>
    <w:rsid w:val="00D205DF"/>
    <w:rsid w:val="00D21CAA"/>
    <w:rsid w:val="00D24886"/>
    <w:rsid w:val="00D31DB7"/>
    <w:rsid w:val="00D36366"/>
    <w:rsid w:val="00D44A02"/>
    <w:rsid w:val="00D5544F"/>
    <w:rsid w:val="00D57091"/>
    <w:rsid w:val="00D62FEA"/>
    <w:rsid w:val="00D64F00"/>
    <w:rsid w:val="00D71BDD"/>
    <w:rsid w:val="00D74838"/>
    <w:rsid w:val="00D754C7"/>
    <w:rsid w:val="00D76E11"/>
    <w:rsid w:val="00D836E9"/>
    <w:rsid w:val="00D83A40"/>
    <w:rsid w:val="00D83BC3"/>
    <w:rsid w:val="00D85C6B"/>
    <w:rsid w:val="00D92673"/>
    <w:rsid w:val="00D949E2"/>
    <w:rsid w:val="00D95641"/>
    <w:rsid w:val="00DA19F4"/>
    <w:rsid w:val="00DA5F4A"/>
    <w:rsid w:val="00DA6B9B"/>
    <w:rsid w:val="00DB187C"/>
    <w:rsid w:val="00DB34D8"/>
    <w:rsid w:val="00DB5714"/>
    <w:rsid w:val="00DB6867"/>
    <w:rsid w:val="00DC38E1"/>
    <w:rsid w:val="00DC4B04"/>
    <w:rsid w:val="00DC4C9B"/>
    <w:rsid w:val="00DD094B"/>
    <w:rsid w:val="00DD1896"/>
    <w:rsid w:val="00DD6057"/>
    <w:rsid w:val="00DE16E4"/>
    <w:rsid w:val="00DE4DF2"/>
    <w:rsid w:val="00DF0253"/>
    <w:rsid w:val="00DF119E"/>
    <w:rsid w:val="00E0240B"/>
    <w:rsid w:val="00E03ED5"/>
    <w:rsid w:val="00E07344"/>
    <w:rsid w:val="00E1056E"/>
    <w:rsid w:val="00E1304B"/>
    <w:rsid w:val="00E13318"/>
    <w:rsid w:val="00E167F9"/>
    <w:rsid w:val="00E2298D"/>
    <w:rsid w:val="00E24A00"/>
    <w:rsid w:val="00E25776"/>
    <w:rsid w:val="00E30EDB"/>
    <w:rsid w:val="00E33524"/>
    <w:rsid w:val="00E41175"/>
    <w:rsid w:val="00E42350"/>
    <w:rsid w:val="00E4738D"/>
    <w:rsid w:val="00E47B67"/>
    <w:rsid w:val="00E5025B"/>
    <w:rsid w:val="00E5151C"/>
    <w:rsid w:val="00E556F8"/>
    <w:rsid w:val="00E5737B"/>
    <w:rsid w:val="00E573F2"/>
    <w:rsid w:val="00E579EA"/>
    <w:rsid w:val="00E620E3"/>
    <w:rsid w:val="00E63BFF"/>
    <w:rsid w:val="00E66A07"/>
    <w:rsid w:val="00E7160C"/>
    <w:rsid w:val="00E719C3"/>
    <w:rsid w:val="00E721FB"/>
    <w:rsid w:val="00E724A8"/>
    <w:rsid w:val="00E745C9"/>
    <w:rsid w:val="00E80CE8"/>
    <w:rsid w:val="00E861DA"/>
    <w:rsid w:val="00E91458"/>
    <w:rsid w:val="00E966E8"/>
    <w:rsid w:val="00EA03C3"/>
    <w:rsid w:val="00EB41B9"/>
    <w:rsid w:val="00EC0A74"/>
    <w:rsid w:val="00EC10F7"/>
    <w:rsid w:val="00EC1FFA"/>
    <w:rsid w:val="00EC6110"/>
    <w:rsid w:val="00ED1197"/>
    <w:rsid w:val="00ED3746"/>
    <w:rsid w:val="00ED6063"/>
    <w:rsid w:val="00EE3433"/>
    <w:rsid w:val="00EE543C"/>
    <w:rsid w:val="00EF69E7"/>
    <w:rsid w:val="00F012D2"/>
    <w:rsid w:val="00F05B03"/>
    <w:rsid w:val="00F07D05"/>
    <w:rsid w:val="00F16B8D"/>
    <w:rsid w:val="00F24D23"/>
    <w:rsid w:val="00F25589"/>
    <w:rsid w:val="00F25EFE"/>
    <w:rsid w:val="00F27C74"/>
    <w:rsid w:val="00F31EEB"/>
    <w:rsid w:val="00F335E8"/>
    <w:rsid w:val="00F409E7"/>
    <w:rsid w:val="00F42CB1"/>
    <w:rsid w:val="00F4364E"/>
    <w:rsid w:val="00F4453B"/>
    <w:rsid w:val="00F51A34"/>
    <w:rsid w:val="00F73165"/>
    <w:rsid w:val="00F7316D"/>
    <w:rsid w:val="00F81351"/>
    <w:rsid w:val="00F832AB"/>
    <w:rsid w:val="00F84FEC"/>
    <w:rsid w:val="00F866FF"/>
    <w:rsid w:val="00F91014"/>
    <w:rsid w:val="00F93B5E"/>
    <w:rsid w:val="00F94CA3"/>
    <w:rsid w:val="00F95743"/>
    <w:rsid w:val="00F959E9"/>
    <w:rsid w:val="00F97885"/>
    <w:rsid w:val="00FB5920"/>
    <w:rsid w:val="00FC0690"/>
    <w:rsid w:val="00FC0A47"/>
    <w:rsid w:val="00FC1CAD"/>
    <w:rsid w:val="00FC2D97"/>
    <w:rsid w:val="00FC335A"/>
    <w:rsid w:val="00FC38B9"/>
    <w:rsid w:val="00FC4A98"/>
    <w:rsid w:val="00FD3F0B"/>
    <w:rsid w:val="00FD6F37"/>
    <w:rsid w:val="00FE0ABF"/>
    <w:rsid w:val="00FE4BC9"/>
    <w:rsid w:val="00FE6370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098EF1"/>
  <w15:chartTrackingRefBased/>
  <w15:docId w15:val="{C726BCF5-DADF-41E7-A08B-28376F0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2197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rsid w:val="00D03960"/>
    <w:rPr>
      <w:sz w:val="24"/>
      <w:lang w:eastAsia="en-US"/>
    </w:rPr>
  </w:style>
  <w:style w:type="character" w:styleId="Emfaz">
    <w:name w:val="Emphasis"/>
    <w:uiPriority w:val="20"/>
    <w:qFormat/>
    <w:rsid w:val="00D21CAA"/>
    <w:rPr>
      <w:i/>
      <w:iCs/>
    </w:rPr>
  </w:style>
  <w:style w:type="paragraph" w:customStyle="1" w:styleId="listparagraph2">
    <w:name w:val="listparagraph2"/>
    <w:basedOn w:val="prastasis"/>
    <w:rsid w:val="00440E49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40E49"/>
    <w:pPr>
      <w:ind w:left="1296"/>
    </w:pPr>
  </w:style>
  <w:style w:type="character" w:customStyle="1" w:styleId="copyright1">
    <w:name w:val="copyright1"/>
    <w:rsid w:val="00AC00DD"/>
    <w:rPr>
      <w:rFonts w:ascii="Arial" w:hAnsi="Arial" w:cs="Arial" w:hint="default"/>
      <w:color w:val="666666"/>
      <w:sz w:val="26"/>
      <w:szCs w:val="26"/>
    </w:rPr>
  </w:style>
  <w:style w:type="character" w:styleId="Komentaronuoroda">
    <w:name w:val="annotation reference"/>
    <w:unhideWhenUsed/>
    <w:rsid w:val="00CB42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B42C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CB42C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2C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B42CA"/>
    <w:rPr>
      <w:b/>
      <w:bCs/>
      <w:lang w:eastAsia="en-US"/>
    </w:rPr>
  </w:style>
  <w:style w:type="character" w:customStyle="1" w:styleId="apple-converted-space">
    <w:name w:val="apple-converted-space"/>
    <w:rsid w:val="00194B67"/>
  </w:style>
  <w:style w:type="paragraph" w:customStyle="1" w:styleId="Default">
    <w:name w:val="Default"/>
    <w:rsid w:val="00D02D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D665B"/>
    <w:rPr>
      <w:color w:val="808080"/>
      <w:shd w:val="clear" w:color="auto" w:fill="E6E6E6"/>
    </w:rPr>
  </w:style>
  <w:style w:type="paragraph" w:styleId="prastasiniatinklio">
    <w:name w:val="Normal (Web)"/>
    <w:basedOn w:val="prastasis"/>
    <w:uiPriority w:val="99"/>
    <w:semiHidden/>
    <w:unhideWhenUsed/>
    <w:rsid w:val="00E07344"/>
    <w:pPr>
      <w:spacing w:after="150"/>
      <w:jc w:val="left"/>
    </w:pPr>
    <w:rPr>
      <w:szCs w:val="24"/>
      <w:lang w:eastAsia="lt-LT"/>
    </w:rPr>
  </w:style>
  <w:style w:type="character" w:customStyle="1" w:styleId="offscreen">
    <w:name w:val="offscreen"/>
    <w:basedOn w:val="Numatytasispastraiposriftas"/>
    <w:rsid w:val="00E07344"/>
  </w:style>
  <w:style w:type="character" w:styleId="Grietas">
    <w:name w:val="Strong"/>
    <w:basedOn w:val="Numatytasispastraiposriftas"/>
    <w:uiPriority w:val="22"/>
    <w:qFormat/>
    <w:rsid w:val="002767BA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B274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B274F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274F"/>
    <w:rPr>
      <w:vertAlign w:val="superscript"/>
    </w:rPr>
  </w:style>
  <w:style w:type="paragraph" w:customStyle="1" w:styleId="tajtip">
    <w:name w:val="tajtip"/>
    <w:basedOn w:val="prastasis"/>
    <w:rsid w:val="006E56D5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tactin">
    <w:name w:val="tactin"/>
    <w:basedOn w:val="prastasis"/>
    <w:rsid w:val="006E56D5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tin">
    <w:name w:val="tin"/>
    <w:basedOn w:val="prastasis"/>
    <w:rsid w:val="006E56D5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n">
    <w:name w:val="n"/>
    <w:basedOn w:val="prastasis"/>
    <w:rsid w:val="006E56D5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11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1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395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48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1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8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0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07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95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29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74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min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enmin.lrv.l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31A2F-57F4-457C-9743-57DB953C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4062</Characters>
  <Application>Microsoft Office Word</Application>
  <DocSecurity>4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4517</CharactersWithSpaces>
  <SharedDoc>false</SharedDoc>
  <HLinks>
    <vt:vector size="18" baseType="variant">
      <vt:variant>
        <vt:i4>2424925</vt:i4>
      </vt:variant>
      <vt:variant>
        <vt:i4>6</vt:i4>
      </vt:variant>
      <vt:variant>
        <vt:i4>0</vt:i4>
      </vt:variant>
      <vt:variant>
        <vt:i4>5</vt:i4>
      </vt:variant>
      <vt:variant>
        <vt:lpwstr>mailto:vilija.tomke@enmin.lt</vt:lpwstr>
      </vt:variant>
      <vt:variant>
        <vt:lpwstr/>
      </vt:variant>
      <vt:variant>
        <vt:i4>1310801</vt:i4>
      </vt:variant>
      <vt:variant>
        <vt:i4>3</vt:i4>
      </vt:variant>
      <vt:variant>
        <vt:i4>0</vt:i4>
      </vt:variant>
      <vt:variant>
        <vt:i4>5</vt:i4>
      </vt:variant>
      <vt:variant>
        <vt:lpwstr>http://www.enmin.lrv.lt/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Ausra Grebliunaite</dc:creator>
  <cp:keywords/>
  <cp:lastModifiedBy>Janina Guščiūtė</cp:lastModifiedBy>
  <cp:revision>2</cp:revision>
  <cp:lastPrinted>2020-02-12T14:33:00Z</cp:lastPrinted>
  <dcterms:created xsi:type="dcterms:W3CDTF">2020-10-12T12:12:00Z</dcterms:created>
  <dcterms:modified xsi:type="dcterms:W3CDTF">2020-10-12T12:12:00Z</dcterms:modified>
</cp:coreProperties>
</file>