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F9DFB" w14:textId="77777777" w:rsidR="00A1525D" w:rsidRDefault="00AC3E28">
      <w:pPr>
        <w:jc w:val="center"/>
        <w:rPr>
          <w:b/>
          <w:caps/>
          <w:sz w:val="16"/>
          <w:szCs w:val="16"/>
          <w:lang w:val="lt-LT"/>
        </w:rPr>
      </w:pPr>
      <w:r>
        <w:rPr>
          <w:noProof/>
        </w:rPr>
        <w:object w:dxaOrig="1440" w:dyaOrig="1440" w14:anchorId="16820B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5pt;margin-top:-18pt;width:33.75pt;height:20.25pt;z-index:251657728">
            <v:imagedata r:id="rId8" o:title=""/>
          </v:shape>
          <o:OLEObject Type="Embed" ProgID="CorelDRAW.Graphic.13" ShapeID="_x0000_s1026" DrawAspect="Content" ObjectID="_1666502003" r:id="rId9"/>
        </w:object>
      </w:r>
    </w:p>
    <w:p w14:paraId="320C4CFF" w14:textId="77777777" w:rsidR="00A1525D" w:rsidRDefault="00A1525D">
      <w:pPr>
        <w:pStyle w:val="3"/>
        <w:rPr>
          <w:b/>
          <w:bCs w:val="0"/>
          <w:sz w:val="24"/>
          <w:lang w:val="lt-LT"/>
        </w:rPr>
      </w:pPr>
      <w:r>
        <w:rPr>
          <w:b/>
          <w:bCs w:val="0"/>
          <w:sz w:val="24"/>
          <w:lang w:val="lt-LT"/>
        </w:rPr>
        <w:t>Valstybės įmonė</w:t>
      </w:r>
    </w:p>
    <w:p w14:paraId="1CF2AFED" w14:textId="77777777" w:rsidR="00A1525D" w:rsidRDefault="00A1525D">
      <w:pPr>
        <w:pStyle w:val="a5"/>
        <w:spacing w:after="480"/>
      </w:pPr>
      <w:r>
        <w:rPr>
          <w:bCs w:val="0"/>
          <w:caps/>
        </w:rPr>
        <w:t>Ignalinos atominė elektrinė</w:t>
      </w:r>
    </w:p>
    <w:tbl>
      <w:tblPr>
        <w:tblW w:w="0" w:type="auto"/>
        <w:tblLayout w:type="fixed"/>
        <w:tblLook w:val="0000" w:firstRow="0" w:lastRow="0" w:firstColumn="0" w:lastColumn="0" w:noHBand="0" w:noVBand="0"/>
      </w:tblPr>
      <w:tblGrid>
        <w:gridCol w:w="4806"/>
        <w:gridCol w:w="342"/>
        <w:gridCol w:w="1878"/>
        <w:gridCol w:w="624"/>
        <w:gridCol w:w="1866"/>
      </w:tblGrid>
      <w:tr w:rsidR="00A1525D" w14:paraId="7968E9F3" w14:textId="77777777">
        <w:trPr>
          <w:cantSplit/>
          <w:trHeight w:val="413"/>
        </w:trPr>
        <w:tc>
          <w:tcPr>
            <w:tcW w:w="4806" w:type="dxa"/>
            <w:vMerge w:val="restart"/>
          </w:tcPr>
          <w:p w14:paraId="1357D6B3" w14:textId="77777777" w:rsidR="00B21F3B" w:rsidRDefault="00D6145B">
            <w:pPr>
              <w:tabs>
                <w:tab w:val="left" w:pos="4820"/>
                <w:tab w:val="left" w:leader="underscore" w:pos="6521"/>
                <w:tab w:val="left" w:leader="underscore" w:pos="8222"/>
              </w:tabs>
              <w:rPr>
                <w:lang w:val="en-US"/>
              </w:rPr>
            </w:pPr>
            <w:proofErr w:type="spellStart"/>
            <w:r w:rsidRPr="00D6145B">
              <w:rPr>
                <w:lang w:val="en-US"/>
              </w:rPr>
              <w:t>Valstybinė</w:t>
            </w:r>
            <w:proofErr w:type="spellEnd"/>
            <w:r w:rsidRPr="00D6145B">
              <w:rPr>
                <w:lang w:val="en-US"/>
              </w:rPr>
              <w:t xml:space="preserve"> </w:t>
            </w:r>
            <w:proofErr w:type="spellStart"/>
            <w:r w:rsidRPr="00D6145B">
              <w:rPr>
                <w:lang w:val="en-US"/>
              </w:rPr>
              <w:t>atominės</w:t>
            </w:r>
            <w:proofErr w:type="spellEnd"/>
            <w:r w:rsidRPr="00D6145B">
              <w:rPr>
                <w:lang w:val="en-US"/>
              </w:rPr>
              <w:t xml:space="preserve"> </w:t>
            </w:r>
            <w:proofErr w:type="spellStart"/>
            <w:r w:rsidRPr="00D6145B">
              <w:rPr>
                <w:lang w:val="en-US"/>
              </w:rPr>
              <w:t>energetikos</w:t>
            </w:r>
            <w:proofErr w:type="spellEnd"/>
            <w:r w:rsidRPr="00D6145B">
              <w:rPr>
                <w:lang w:val="en-US"/>
              </w:rPr>
              <w:t xml:space="preserve"> </w:t>
            </w:r>
          </w:p>
          <w:p w14:paraId="4331A78C" w14:textId="1EDCAFFA" w:rsidR="00A1525D" w:rsidRDefault="00D6145B">
            <w:pPr>
              <w:tabs>
                <w:tab w:val="left" w:pos="4820"/>
                <w:tab w:val="left" w:leader="underscore" w:pos="6521"/>
                <w:tab w:val="left" w:leader="underscore" w:pos="8222"/>
              </w:tabs>
              <w:rPr>
                <w:lang w:val="lt-LT"/>
              </w:rPr>
            </w:pPr>
            <w:proofErr w:type="spellStart"/>
            <w:r w:rsidRPr="00D6145B">
              <w:rPr>
                <w:lang w:val="en-US"/>
              </w:rPr>
              <w:t>saugos</w:t>
            </w:r>
            <w:proofErr w:type="spellEnd"/>
            <w:r w:rsidRPr="00D6145B">
              <w:rPr>
                <w:lang w:val="en-US"/>
              </w:rPr>
              <w:t xml:space="preserve"> </w:t>
            </w:r>
            <w:proofErr w:type="spellStart"/>
            <w:r w:rsidRPr="00D6145B">
              <w:rPr>
                <w:lang w:val="en-US"/>
              </w:rPr>
              <w:t>inspekcija</w:t>
            </w:r>
            <w:proofErr w:type="spellEnd"/>
          </w:p>
          <w:p w14:paraId="62F58414" w14:textId="028F96EF" w:rsidR="00A1525D" w:rsidRPr="00D6145B" w:rsidRDefault="00D6145B">
            <w:pPr>
              <w:tabs>
                <w:tab w:val="left" w:pos="4820"/>
                <w:tab w:val="left" w:leader="underscore" w:pos="6521"/>
                <w:tab w:val="left" w:leader="underscore" w:pos="8222"/>
              </w:tabs>
              <w:rPr>
                <w:lang w:val="en-US"/>
              </w:rPr>
            </w:pPr>
            <w:r>
              <w:rPr>
                <w:lang w:val="en-US"/>
              </w:rPr>
              <w:t>El.</w:t>
            </w:r>
            <w:r w:rsidR="009B4539">
              <w:rPr>
                <w:lang w:val="en-US"/>
              </w:rPr>
              <w:t xml:space="preserve"> </w:t>
            </w:r>
            <w:r>
              <w:rPr>
                <w:lang w:val="en-US"/>
              </w:rPr>
              <w:t xml:space="preserve">p. </w:t>
            </w:r>
            <w:hyperlink r:id="rId10" w:history="1">
              <w:r w:rsidRPr="005C0874">
                <w:rPr>
                  <w:rStyle w:val="aa"/>
                  <w:lang w:val="en-US"/>
                </w:rPr>
                <w:t>birute.purliene@vatesi.lt</w:t>
              </w:r>
            </w:hyperlink>
            <w:r>
              <w:rPr>
                <w:lang w:val="en-US"/>
              </w:rPr>
              <w:t xml:space="preserve"> </w:t>
            </w:r>
          </w:p>
        </w:tc>
        <w:tc>
          <w:tcPr>
            <w:tcW w:w="342" w:type="dxa"/>
            <w:vAlign w:val="bottom"/>
          </w:tcPr>
          <w:p w14:paraId="7FD8F018" w14:textId="77777777" w:rsidR="00A1525D" w:rsidRDefault="00A1525D">
            <w:pPr>
              <w:tabs>
                <w:tab w:val="left" w:pos="234"/>
                <w:tab w:val="left" w:leader="underscore" w:pos="2160"/>
                <w:tab w:val="left" w:leader="underscore" w:pos="4286"/>
              </w:tabs>
              <w:ind w:hanging="126"/>
              <w:jc w:val="center"/>
              <w:rPr>
                <w:lang w:val="lt-LT"/>
              </w:rPr>
            </w:pPr>
          </w:p>
        </w:tc>
        <w:tc>
          <w:tcPr>
            <w:tcW w:w="1878" w:type="dxa"/>
            <w:tcBorders>
              <w:bottom w:val="single" w:sz="4" w:space="0" w:color="auto"/>
            </w:tcBorders>
            <w:vAlign w:val="bottom"/>
          </w:tcPr>
          <w:p w14:paraId="407FBA16" w14:textId="288C8BEE" w:rsidR="00A1525D" w:rsidRDefault="00A1525D" w:rsidP="00D45325">
            <w:pPr>
              <w:tabs>
                <w:tab w:val="left" w:pos="176"/>
                <w:tab w:val="left" w:leader="underscore" w:pos="2160"/>
                <w:tab w:val="left" w:leader="underscore" w:pos="4286"/>
              </w:tabs>
              <w:ind w:left="-171" w:firstLine="171"/>
              <w:rPr>
                <w:lang w:val="lt-LT"/>
              </w:rPr>
            </w:pPr>
          </w:p>
        </w:tc>
        <w:tc>
          <w:tcPr>
            <w:tcW w:w="624" w:type="dxa"/>
            <w:vAlign w:val="bottom"/>
          </w:tcPr>
          <w:p w14:paraId="7F12B116" w14:textId="77777777" w:rsidR="00A1525D" w:rsidRDefault="00A1525D">
            <w:pPr>
              <w:tabs>
                <w:tab w:val="left" w:pos="176"/>
                <w:tab w:val="left" w:leader="underscore" w:pos="2160"/>
                <w:tab w:val="left" w:leader="underscore" w:pos="4286"/>
              </w:tabs>
              <w:jc w:val="center"/>
              <w:rPr>
                <w:lang w:val="lt-LT"/>
              </w:rPr>
            </w:pPr>
            <w:r>
              <w:rPr>
                <w:lang w:val="lt-LT"/>
              </w:rPr>
              <w:t>Nr.</w:t>
            </w:r>
          </w:p>
        </w:tc>
        <w:tc>
          <w:tcPr>
            <w:tcW w:w="1866" w:type="dxa"/>
            <w:tcBorders>
              <w:bottom w:val="single" w:sz="4" w:space="0" w:color="auto"/>
            </w:tcBorders>
            <w:vAlign w:val="bottom"/>
          </w:tcPr>
          <w:p w14:paraId="0B2083B2" w14:textId="32E103FA" w:rsidR="00A1525D" w:rsidRDefault="00A1525D">
            <w:pPr>
              <w:tabs>
                <w:tab w:val="left" w:pos="176"/>
                <w:tab w:val="left" w:leader="underscore" w:pos="2160"/>
                <w:tab w:val="left" w:leader="underscore" w:pos="4286"/>
              </w:tabs>
              <w:rPr>
                <w:lang w:val="lt-LT"/>
              </w:rPr>
            </w:pPr>
          </w:p>
        </w:tc>
      </w:tr>
      <w:tr w:rsidR="00A1525D" w14:paraId="311ED219" w14:textId="77777777">
        <w:trPr>
          <w:cantSplit/>
          <w:trHeight w:val="564"/>
        </w:trPr>
        <w:tc>
          <w:tcPr>
            <w:tcW w:w="4806" w:type="dxa"/>
            <w:vMerge/>
          </w:tcPr>
          <w:p w14:paraId="48E40883" w14:textId="77777777" w:rsidR="00A1525D" w:rsidRDefault="00A1525D">
            <w:pPr>
              <w:tabs>
                <w:tab w:val="left" w:pos="4820"/>
                <w:tab w:val="left" w:leader="underscore" w:pos="6521"/>
                <w:tab w:val="left" w:leader="underscore" w:pos="8222"/>
              </w:tabs>
              <w:rPr>
                <w:lang w:val="lt-LT"/>
              </w:rPr>
            </w:pPr>
          </w:p>
        </w:tc>
        <w:tc>
          <w:tcPr>
            <w:tcW w:w="342" w:type="dxa"/>
            <w:vAlign w:val="bottom"/>
          </w:tcPr>
          <w:p w14:paraId="6F275F88" w14:textId="77777777" w:rsidR="00A1525D" w:rsidRDefault="00A1525D">
            <w:pPr>
              <w:tabs>
                <w:tab w:val="left" w:pos="176"/>
                <w:tab w:val="left" w:leader="underscore" w:pos="2160"/>
                <w:tab w:val="left" w:leader="underscore" w:pos="4286"/>
              </w:tabs>
              <w:jc w:val="center"/>
              <w:rPr>
                <w:lang w:val="lt-LT"/>
              </w:rPr>
            </w:pPr>
            <w:r>
              <w:rPr>
                <w:lang w:val="lt-LT"/>
              </w:rPr>
              <w:t>Į</w:t>
            </w:r>
          </w:p>
        </w:tc>
        <w:tc>
          <w:tcPr>
            <w:tcW w:w="1878" w:type="dxa"/>
            <w:tcBorders>
              <w:top w:val="single" w:sz="4" w:space="0" w:color="auto"/>
              <w:bottom w:val="single" w:sz="4" w:space="0" w:color="auto"/>
            </w:tcBorders>
            <w:vAlign w:val="bottom"/>
          </w:tcPr>
          <w:p w14:paraId="5488CB5B" w14:textId="08FFDD6C" w:rsidR="00A1525D" w:rsidRDefault="00A1525D">
            <w:pPr>
              <w:tabs>
                <w:tab w:val="left" w:pos="176"/>
                <w:tab w:val="left" w:leader="underscore" w:pos="2160"/>
                <w:tab w:val="left" w:leader="underscore" w:pos="4286"/>
              </w:tabs>
              <w:jc w:val="center"/>
              <w:rPr>
                <w:sz w:val="22"/>
                <w:szCs w:val="22"/>
                <w:lang w:val="lt-LT"/>
              </w:rPr>
            </w:pPr>
          </w:p>
        </w:tc>
        <w:tc>
          <w:tcPr>
            <w:tcW w:w="624" w:type="dxa"/>
            <w:vAlign w:val="bottom"/>
          </w:tcPr>
          <w:p w14:paraId="1EEE5214" w14:textId="77777777" w:rsidR="00A1525D" w:rsidRDefault="00A1525D">
            <w:pPr>
              <w:tabs>
                <w:tab w:val="left" w:pos="176"/>
                <w:tab w:val="left" w:leader="underscore" w:pos="2160"/>
                <w:tab w:val="left" w:leader="underscore" w:pos="4286"/>
              </w:tabs>
              <w:jc w:val="center"/>
              <w:rPr>
                <w:lang w:val="lt-LT"/>
              </w:rPr>
            </w:pPr>
            <w:r>
              <w:rPr>
                <w:lang w:val="lt-LT"/>
              </w:rPr>
              <w:t>Nr.</w:t>
            </w:r>
          </w:p>
        </w:tc>
        <w:tc>
          <w:tcPr>
            <w:tcW w:w="1866" w:type="dxa"/>
            <w:tcBorders>
              <w:top w:val="single" w:sz="4" w:space="0" w:color="auto"/>
              <w:bottom w:val="single" w:sz="4" w:space="0" w:color="auto"/>
            </w:tcBorders>
            <w:vAlign w:val="bottom"/>
          </w:tcPr>
          <w:p w14:paraId="37CF91F2" w14:textId="05AC4CB2" w:rsidR="00A1525D" w:rsidRDefault="00A1525D">
            <w:pPr>
              <w:tabs>
                <w:tab w:val="left" w:pos="176"/>
                <w:tab w:val="left" w:leader="underscore" w:pos="2160"/>
                <w:tab w:val="left" w:leader="underscore" w:pos="4286"/>
              </w:tabs>
              <w:jc w:val="center"/>
              <w:rPr>
                <w:sz w:val="22"/>
                <w:szCs w:val="22"/>
                <w:lang w:val="lt-LT"/>
              </w:rPr>
            </w:pPr>
          </w:p>
        </w:tc>
      </w:tr>
      <w:tr w:rsidR="00A1525D" w14:paraId="4677AD3E" w14:textId="77777777">
        <w:trPr>
          <w:cantSplit/>
          <w:trHeight w:val="404"/>
        </w:trPr>
        <w:tc>
          <w:tcPr>
            <w:tcW w:w="4806" w:type="dxa"/>
            <w:vMerge/>
          </w:tcPr>
          <w:p w14:paraId="066ED31D" w14:textId="77777777" w:rsidR="00A1525D" w:rsidRDefault="00A1525D">
            <w:pPr>
              <w:tabs>
                <w:tab w:val="left" w:pos="4820"/>
                <w:tab w:val="left" w:leader="underscore" w:pos="6521"/>
                <w:tab w:val="left" w:leader="underscore" w:pos="8222"/>
              </w:tabs>
              <w:rPr>
                <w:lang w:val="lt-LT"/>
              </w:rPr>
            </w:pPr>
          </w:p>
        </w:tc>
        <w:tc>
          <w:tcPr>
            <w:tcW w:w="4710" w:type="dxa"/>
            <w:gridSpan w:val="4"/>
            <w:vAlign w:val="bottom"/>
          </w:tcPr>
          <w:p w14:paraId="64A5C4B1" w14:textId="77777777" w:rsidR="00A1525D" w:rsidRDefault="00A1525D">
            <w:pPr>
              <w:tabs>
                <w:tab w:val="left" w:pos="176"/>
                <w:tab w:val="left" w:leader="underscore" w:pos="2160"/>
                <w:tab w:val="left" w:leader="underscore" w:pos="4286"/>
              </w:tabs>
              <w:jc w:val="center"/>
              <w:rPr>
                <w:lang w:val="lt-LT"/>
              </w:rPr>
            </w:pPr>
          </w:p>
        </w:tc>
      </w:tr>
    </w:tbl>
    <w:p w14:paraId="783DEF6C" w14:textId="154C3271" w:rsidR="00A1525D" w:rsidRDefault="00574CB1">
      <w:pPr>
        <w:pStyle w:val="a7"/>
        <w:spacing w:before="240"/>
      </w:pPr>
      <w:r>
        <w:t xml:space="preserve">dėl </w:t>
      </w:r>
      <w:r w:rsidR="0006363C">
        <w:t>TEISĖS AKTO PROJEKTO DERINIMO</w:t>
      </w:r>
    </w:p>
    <w:p w14:paraId="210644F9" w14:textId="77777777" w:rsidR="0006363C" w:rsidRDefault="0006363C" w:rsidP="00883886">
      <w:pPr>
        <w:spacing w:line="360" w:lineRule="auto"/>
        <w:ind w:firstLine="1276"/>
        <w:jc w:val="both"/>
        <w:rPr>
          <w:lang w:val="lt-LT"/>
        </w:rPr>
      </w:pPr>
      <w:r>
        <w:rPr>
          <w:lang w:val="lt-LT"/>
        </w:rPr>
        <w:t xml:space="preserve">Valstybės įmonė Ignalinos atominė elektrinė (toliau – Įmonė) susipažinusi su </w:t>
      </w:r>
      <w:r w:rsidRPr="0006363C">
        <w:rPr>
          <w:lang w:val="lt-LT"/>
        </w:rPr>
        <w:t xml:space="preserve">Lietuvos Respublikos Vyriausybės nutarimo „Dėl </w:t>
      </w:r>
      <w:r w:rsidRPr="0006363C">
        <w:rPr>
          <w:lang w:val="lt-LT" w:eastAsia="lt-LT"/>
        </w:rPr>
        <w:t xml:space="preserve">Lietuvos Respublikos Vyriausybės 2012 m. birželio 20 d. nutarimo Nr. 722 „Dėl Branduolinės energetikos srities veiklos licencijų ir leidimų išdavimo taisyklių patvirtinimo“ pakeitimo“ </w:t>
      </w:r>
      <w:r w:rsidRPr="0006363C">
        <w:rPr>
          <w:lang w:val="lt-LT"/>
        </w:rPr>
        <w:t>projekt</w:t>
      </w:r>
      <w:r>
        <w:rPr>
          <w:lang w:val="lt-LT"/>
        </w:rPr>
        <w:t>u</w:t>
      </w:r>
      <w:r w:rsidRPr="0006363C">
        <w:rPr>
          <w:lang w:val="lt-LT"/>
        </w:rPr>
        <w:t xml:space="preserve"> (toliau – Nutarimo projektas) kartu su šio Nutarimo projekto lydimaisiais dokumentais</w:t>
      </w:r>
      <w:r>
        <w:rPr>
          <w:lang w:val="lt-LT"/>
        </w:rPr>
        <w:t xml:space="preserve"> teikia pastabas:</w:t>
      </w:r>
    </w:p>
    <w:p w14:paraId="377C28FE" w14:textId="4B00C08A" w:rsidR="0006363C" w:rsidRDefault="0006363C" w:rsidP="0006363C">
      <w:pPr>
        <w:pStyle w:val="af0"/>
        <w:numPr>
          <w:ilvl w:val="0"/>
          <w:numId w:val="9"/>
        </w:numPr>
        <w:spacing w:line="360" w:lineRule="auto"/>
        <w:ind w:left="0" w:firstLine="1607"/>
        <w:jc w:val="both"/>
        <w:rPr>
          <w:lang w:val="lt-LT"/>
        </w:rPr>
      </w:pPr>
      <w:r>
        <w:rPr>
          <w:lang w:val="lt-LT"/>
        </w:rPr>
        <w:t xml:space="preserve">Siekiant suvienodinti </w:t>
      </w:r>
      <w:r w:rsidRPr="0006363C">
        <w:rPr>
          <w:lang w:val="lt-LT" w:eastAsia="lt-LT"/>
        </w:rPr>
        <w:t>Branduolinės energetikos srities veiklos licencijų ir leidimų išdavimo taisykl</w:t>
      </w:r>
      <w:r>
        <w:rPr>
          <w:lang w:val="lt-LT" w:eastAsia="lt-LT"/>
        </w:rPr>
        <w:t>ės naudojamas sąvokas, siūlome</w:t>
      </w:r>
      <w:r w:rsidRPr="0006363C">
        <w:rPr>
          <w:lang w:val="lt-LT" w:eastAsia="lt-LT"/>
        </w:rPr>
        <w:t xml:space="preserve"> </w:t>
      </w:r>
      <w:r>
        <w:rPr>
          <w:lang w:val="lt-LT"/>
        </w:rPr>
        <w:t xml:space="preserve">Nutarimo projekto </w:t>
      </w:r>
      <w:r w:rsidRPr="0006363C">
        <w:rPr>
          <w:lang w:val="lt-LT"/>
        </w:rPr>
        <w:t xml:space="preserve">1.7 punkte </w:t>
      </w:r>
      <w:r>
        <w:rPr>
          <w:lang w:val="lt-LT"/>
        </w:rPr>
        <w:t>daryti nuorodą į 4.2 papunktį, o ne</w:t>
      </w:r>
      <w:r w:rsidRPr="0006363C">
        <w:rPr>
          <w:lang w:val="lt-LT"/>
        </w:rPr>
        <w:t xml:space="preserve"> </w:t>
      </w:r>
      <w:r>
        <w:rPr>
          <w:lang w:val="lt-LT"/>
        </w:rPr>
        <w:t>punktą.</w:t>
      </w:r>
    </w:p>
    <w:p w14:paraId="76E74B57" w14:textId="3952DED0" w:rsidR="0006363C" w:rsidRDefault="0006363C" w:rsidP="0006363C">
      <w:pPr>
        <w:pStyle w:val="af0"/>
        <w:numPr>
          <w:ilvl w:val="0"/>
          <w:numId w:val="9"/>
        </w:numPr>
        <w:spacing w:line="360" w:lineRule="auto"/>
        <w:ind w:left="0" w:firstLine="1607"/>
        <w:jc w:val="both"/>
        <w:rPr>
          <w:lang w:val="lt-LT"/>
        </w:rPr>
      </w:pPr>
      <w:r>
        <w:rPr>
          <w:lang w:val="lt-LT"/>
        </w:rPr>
        <w:t>Siūlytina patikslinti Nutarimo</w:t>
      </w:r>
      <w:r w:rsidR="00A70AE7">
        <w:rPr>
          <w:lang w:val="lt-LT"/>
        </w:rPr>
        <w:t xml:space="preserve"> projekto</w:t>
      </w:r>
      <w:r>
        <w:rPr>
          <w:lang w:val="lt-LT"/>
        </w:rPr>
        <w:t xml:space="preserve"> 1.8 ir 1.9 punktuose </w:t>
      </w:r>
      <w:r w:rsidR="00C711C4">
        <w:rPr>
          <w:lang w:val="lt-LT"/>
        </w:rPr>
        <w:t>vartojamą sąvoką „</w:t>
      </w:r>
      <w:r w:rsidR="00C711C4" w:rsidRPr="0006363C">
        <w:rPr>
          <w:b/>
          <w:bCs/>
          <w:lang w:val="lt-LT"/>
        </w:rPr>
        <w:t>įdiegtos</w:t>
      </w:r>
      <w:r w:rsidR="00C711C4" w:rsidRPr="0006363C">
        <w:rPr>
          <w:lang w:val="lt-LT"/>
        </w:rPr>
        <w:t xml:space="preserve"> neteisėtos veikos priemonių</w:t>
      </w:r>
      <w:r w:rsidR="00C711C4">
        <w:rPr>
          <w:lang w:val="lt-LT"/>
        </w:rPr>
        <w:t>“ ir vartoti „</w:t>
      </w:r>
      <w:r w:rsidR="00C711C4" w:rsidRPr="0006363C">
        <w:rPr>
          <w:b/>
          <w:bCs/>
          <w:lang w:val="lt-LT"/>
        </w:rPr>
        <w:t>įdiegt</w:t>
      </w:r>
      <w:r w:rsidR="00C711C4">
        <w:rPr>
          <w:b/>
          <w:bCs/>
          <w:lang w:val="lt-LT"/>
        </w:rPr>
        <w:t xml:space="preserve">ų </w:t>
      </w:r>
      <w:r w:rsidR="00C711C4" w:rsidRPr="0006363C">
        <w:rPr>
          <w:lang w:val="lt-LT"/>
        </w:rPr>
        <w:t>neteisėtos veikos priemonių</w:t>
      </w:r>
      <w:r w:rsidR="00C711C4">
        <w:rPr>
          <w:lang w:val="lt-LT"/>
        </w:rPr>
        <w:t>“. Tuo atveju, jeigu šio pakeitimo tikslas yra įpareigoti tikrinti</w:t>
      </w:r>
      <w:r w:rsidR="00C711C4" w:rsidRPr="0006363C">
        <w:rPr>
          <w:lang w:val="lt-LT"/>
        </w:rPr>
        <w:t>, ar pavyzdžiui tokioje zonoje nėra palikta sprogmenų, tai tokiu atveju galima suabejoti pačiu terminu „įdiegtų“, gal tuomet geriau būtų tiesiog rašyti „nėra neteisėtos veikos priemonių“</w:t>
      </w:r>
      <w:r w:rsidR="00C711C4">
        <w:rPr>
          <w:lang w:val="lt-LT"/>
        </w:rPr>
        <w:t>.</w:t>
      </w:r>
    </w:p>
    <w:p w14:paraId="460BB66E" w14:textId="128F7E54" w:rsidR="00D6145B" w:rsidRDefault="00C711C4" w:rsidP="00D6145B">
      <w:pPr>
        <w:pStyle w:val="af0"/>
        <w:numPr>
          <w:ilvl w:val="0"/>
          <w:numId w:val="9"/>
        </w:numPr>
        <w:spacing w:line="360" w:lineRule="auto"/>
        <w:ind w:left="0" w:firstLine="1607"/>
        <w:jc w:val="both"/>
        <w:rPr>
          <w:lang w:val="lt-LT"/>
        </w:rPr>
      </w:pPr>
      <w:r>
        <w:rPr>
          <w:lang w:val="lt-LT"/>
        </w:rPr>
        <w:t xml:space="preserve">Siekiant suvienodinti </w:t>
      </w:r>
      <w:r w:rsidRPr="0006363C">
        <w:rPr>
          <w:lang w:val="lt-LT" w:eastAsia="lt-LT"/>
        </w:rPr>
        <w:t>Branduolinės energetikos srities veiklos licencijų ir leidimų išdavimo taisykl</w:t>
      </w:r>
      <w:r>
        <w:rPr>
          <w:lang w:val="lt-LT" w:eastAsia="lt-LT"/>
        </w:rPr>
        <w:t>ės naudojamas sąvokas, siūlome</w:t>
      </w:r>
      <w:r w:rsidR="00A70AE7">
        <w:rPr>
          <w:lang w:val="lt-LT" w:eastAsia="lt-LT"/>
        </w:rPr>
        <w:t xml:space="preserve"> Nutarimo projekto</w:t>
      </w:r>
      <w:r>
        <w:rPr>
          <w:lang w:val="lt-LT" w:eastAsia="lt-LT"/>
        </w:rPr>
        <w:t xml:space="preserve"> </w:t>
      </w:r>
      <w:r w:rsidR="007377C3">
        <w:rPr>
          <w:lang w:val="lt-LT" w:eastAsia="lt-LT"/>
        </w:rPr>
        <w:t>1.</w:t>
      </w:r>
      <w:r>
        <w:rPr>
          <w:lang w:val="lt-LT" w:eastAsia="lt-LT"/>
        </w:rPr>
        <w:t xml:space="preserve">12 </w:t>
      </w:r>
      <w:r w:rsidR="007377C3">
        <w:rPr>
          <w:lang w:val="lt-LT" w:eastAsia="lt-LT"/>
        </w:rPr>
        <w:t>pa</w:t>
      </w:r>
      <w:r>
        <w:rPr>
          <w:lang w:val="lt-LT" w:eastAsia="lt-LT"/>
        </w:rPr>
        <w:t>punkt</w:t>
      </w:r>
      <w:r w:rsidR="007377C3">
        <w:rPr>
          <w:lang w:val="lt-LT" w:eastAsia="lt-LT"/>
        </w:rPr>
        <w:t>yj</w:t>
      </w:r>
      <w:r>
        <w:rPr>
          <w:lang w:val="lt-LT" w:eastAsia="lt-LT"/>
        </w:rPr>
        <w:t xml:space="preserve">e vartojamą sąvoką </w:t>
      </w:r>
      <w:r w:rsidR="007377C3">
        <w:rPr>
          <w:lang w:val="lt-LT" w:eastAsia="lt-LT"/>
        </w:rPr>
        <w:t>tu</w:t>
      </w:r>
      <w:r>
        <w:rPr>
          <w:lang w:val="lt-LT" w:eastAsia="lt-LT"/>
        </w:rPr>
        <w:t>rėtojai keiti į turėtojas.</w:t>
      </w:r>
      <w:r w:rsidR="00E35045">
        <w:rPr>
          <w:lang w:val="lt-LT" w:eastAsia="lt-LT"/>
        </w:rPr>
        <w:t xml:space="preserve"> </w:t>
      </w:r>
    </w:p>
    <w:p w14:paraId="1F2FB0B3" w14:textId="0BE20CCA" w:rsidR="00D6145B" w:rsidRPr="00D6145B" w:rsidRDefault="007377C3" w:rsidP="009B4539">
      <w:pPr>
        <w:pStyle w:val="af0"/>
        <w:numPr>
          <w:ilvl w:val="0"/>
          <w:numId w:val="9"/>
        </w:numPr>
        <w:spacing w:before="120" w:line="360" w:lineRule="auto"/>
        <w:ind w:left="34" w:right="175" w:firstLine="1667"/>
        <w:jc w:val="both"/>
        <w:rPr>
          <w:bCs/>
          <w:lang w:val="lt-LT"/>
        </w:rPr>
      </w:pPr>
      <w:r w:rsidRPr="00D6145B">
        <w:rPr>
          <w:lang w:val="lt-LT" w:eastAsia="lt-LT"/>
        </w:rPr>
        <w:t>Nutarimo projekto 1.12 papunktyje nustatyta, kad „</w:t>
      </w:r>
      <w:r w:rsidRPr="00D6145B">
        <w:rPr>
          <w:bCs/>
          <w:i/>
          <w:iCs/>
          <w:lang w:val="lt-LT"/>
        </w:rPr>
        <w:t>20</w:t>
      </w:r>
      <w:r w:rsidRPr="00D6145B">
        <w:rPr>
          <w:bCs/>
          <w:i/>
          <w:iCs/>
          <w:vertAlign w:val="superscript"/>
          <w:lang w:val="lt-LT"/>
        </w:rPr>
        <w:t>1</w:t>
      </w:r>
      <w:r w:rsidRPr="00D6145B">
        <w:rPr>
          <w:bCs/>
          <w:i/>
          <w:iCs/>
          <w:lang w:val="lt-LT"/>
        </w:rPr>
        <w:t xml:space="preserve">.4. radionuklidų išmetimo į aplinką planą, kuriame </w:t>
      </w:r>
      <w:r w:rsidRPr="00D6145B">
        <w:rPr>
          <w:b/>
          <w:bCs/>
          <w:i/>
          <w:iCs/>
          <w:lang w:val="lt-LT"/>
        </w:rPr>
        <w:t xml:space="preserve">nurodyti išmetimai </w:t>
      </w:r>
      <w:r w:rsidRPr="00D6145B">
        <w:rPr>
          <w:bCs/>
          <w:i/>
          <w:iCs/>
          <w:lang w:val="lt-LT"/>
        </w:rPr>
        <w:t>vykdant Taisyklių 20</w:t>
      </w:r>
      <w:r w:rsidRPr="00D6145B">
        <w:rPr>
          <w:bCs/>
          <w:i/>
          <w:iCs/>
          <w:vertAlign w:val="superscript"/>
          <w:lang w:val="lt-LT"/>
        </w:rPr>
        <w:t>1</w:t>
      </w:r>
      <w:r w:rsidRPr="00D6145B">
        <w:rPr>
          <w:bCs/>
          <w:i/>
          <w:iCs/>
          <w:lang w:val="lt-LT"/>
        </w:rPr>
        <w:t>.1 papunktyje nurodytus darbus, jei, vykdant planuojamus darbus, dėl kurių kreipiamasi leidimo, numatomi radionuklidų išmetimai</w:t>
      </w:r>
      <w:r w:rsidR="00D6145B" w:rsidRPr="00D6145B">
        <w:rPr>
          <w:bCs/>
          <w:i/>
          <w:iCs/>
          <w:lang w:val="lt-LT"/>
        </w:rPr>
        <w:t>“.</w:t>
      </w:r>
      <w:r w:rsidR="00D6145B" w:rsidRPr="00D6145B">
        <w:rPr>
          <w:bCs/>
          <w:lang w:val="lt-LT"/>
        </w:rPr>
        <w:t xml:space="preserve"> Manytina, kad šis patikslinimas yra perteklinis ir sunkiai įgyvendinamas išmontavimo ir </w:t>
      </w:r>
      <w:proofErr w:type="spellStart"/>
      <w:r w:rsidR="00D6145B" w:rsidRPr="00D6145B">
        <w:rPr>
          <w:bCs/>
          <w:lang w:val="lt-LT"/>
        </w:rPr>
        <w:t>dezaktyvavimo</w:t>
      </w:r>
      <w:proofErr w:type="spellEnd"/>
      <w:r w:rsidR="00D6145B" w:rsidRPr="00D6145B">
        <w:rPr>
          <w:bCs/>
          <w:lang w:val="lt-LT"/>
        </w:rPr>
        <w:t xml:space="preserve"> (toliau </w:t>
      </w:r>
      <w:r w:rsidR="00D6145B" w:rsidRPr="00D6145B">
        <w:rPr>
          <w:bCs/>
          <w:lang w:val="lt-LT"/>
        </w:rPr>
        <w:noBreakHyphen/>
      </w:r>
      <w:proofErr w:type="spellStart"/>
      <w:r w:rsidR="00D6145B" w:rsidRPr="00D6145B">
        <w:rPr>
          <w:bCs/>
          <w:lang w:val="lt-LT"/>
        </w:rPr>
        <w:t>IirD</w:t>
      </w:r>
      <w:proofErr w:type="spellEnd"/>
      <w:r w:rsidR="00D6145B" w:rsidRPr="00D6145B">
        <w:rPr>
          <w:bCs/>
          <w:lang w:val="lt-LT"/>
        </w:rPr>
        <w:t xml:space="preserve">) projektams jau esančiuose branduolinės energetikos objektuose. Šiuo pakeitimu yra įvedamas naujasis reikalavimas būtinai nurodyti Išmetimų plane išmetimus atskirai kiekvienam </w:t>
      </w:r>
      <w:proofErr w:type="spellStart"/>
      <w:r w:rsidR="00D6145B" w:rsidRPr="00D6145B">
        <w:rPr>
          <w:bCs/>
          <w:lang w:val="lt-LT"/>
        </w:rPr>
        <w:t>IirD</w:t>
      </w:r>
      <w:proofErr w:type="spellEnd"/>
      <w:r w:rsidR="00D6145B" w:rsidRPr="00D6145B">
        <w:rPr>
          <w:bCs/>
          <w:lang w:val="lt-LT"/>
        </w:rPr>
        <w:t xml:space="preserve"> projektui net viename esančiame branduolinės energetikos objekte (vienas organizuotas išmetimų šaltinis). T.y. įvedamas naujas pagrindas peržiūrėti Išmetimų planą. Tuo pat metu pridedamą į Išmetimų planą informaciją nėra įmanoma patvirtinti stebėsenos būdu – išmetimai pagal visus </w:t>
      </w:r>
      <w:proofErr w:type="spellStart"/>
      <w:r w:rsidR="00D6145B" w:rsidRPr="00D6145B">
        <w:rPr>
          <w:bCs/>
          <w:lang w:val="lt-LT"/>
        </w:rPr>
        <w:t>IirD</w:t>
      </w:r>
      <w:proofErr w:type="spellEnd"/>
      <w:r w:rsidR="00D6145B" w:rsidRPr="00D6145B">
        <w:rPr>
          <w:bCs/>
          <w:lang w:val="lt-LT"/>
        </w:rPr>
        <w:t xml:space="preserve"> projektus vieno branduolinės energetikos objekto </w:t>
      </w:r>
      <w:r w:rsidR="00D6145B" w:rsidRPr="00D6145B">
        <w:rPr>
          <w:bCs/>
          <w:lang w:val="lt-LT"/>
        </w:rPr>
        <w:lastRenderedPageBreak/>
        <w:t xml:space="preserve">viduje yra atliekami per vieną ir tą patį organizuotą išmetimų šaltinį. </w:t>
      </w:r>
      <w:proofErr w:type="spellStart"/>
      <w:r w:rsidR="00D6145B" w:rsidRPr="00D6145B">
        <w:rPr>
          <w:bCs/>
          <w:lang w:val="lt-LT"/>
        </w:rPr>
        <w:t>IirD</w:t>
      </w:r>
      <w:proofErr w:type="spellEnd"/>
      <w:r w:rsidR="00D6145B" w:rsidRPr="00D6145B">
        <w:rPr>
          <w:bCs/>
          <w:lang w:val="lt-LT"/>
        </w:rPr>
        <w:t xml:space="preserve"> projektams prireiks būtinai atnaujinti Išmetimų planą nepaisant to, kad pagrindimas ir suderinimas jau yra atlikti projektinėje dokumentacijoje ir iš esmės nieko nekeičia. </w:t>
      </w:r>
      <w:r w:rsidR="00D6145B" w:rsidRPr="00C6133F">
        <w:rPr>
          <w:bCs/>
          <w:lang w:val="lt-LT"/>
        </w:rPr>
        <w:t>2011 m. birželio 28 d. B</w:t>
      </w:r>
      <w:r w:rsidR="00D6145B" w:rsidRPr="00D6145B">
        <w:rPr>
          <w:bCs/>
          <w:lang w:val="lt-LT"/>
        </w:rPr>
        <w:t xml:space="preserve">randuolinės saugos </w:t>
      </w:r>
      <w:r w:rsidR="00D6145B" w:rsidRPr="00C6133F">
        <w:rPr>
          <w:bCs/>
          <w:lang w:val="lt-LT"/>
        </w:rPr>
        <w:t>įstatymo Nr. XI-1539</w:t>
      </w:r>
      <w:r w:rsidR="00D6145B" w:rsidRPr="00D6145B">
        <w:rPr>
          <w:bCs/>
          <w:lang w:val="lt-LT"/>
        </w:rPr>
        <w:t xml:space="preserve"> </w:t>
      </w:r>
      <w:r w:rsidR="00D6145B" w:rsidRPr="00C6133F">
        <w:rPr>
          <w:bCs/>
          <w:lang w:val="lt-LT"/>
        </w:rPr>
        <w:t>2019-01-01</w:t>
      </w:r>
      <w:r w:rsidR="00D6145B" w:rsidRPr="00D6145B">
        <w:rPr>
          <w:bCs/>
          <w:lang w:val="lt-LT"/>
        </w:rPr>
        <w:t xml:space="preserve"> </w:t>
      </w:r>
      <w:r w:rsidR="00D6145B" w:rsidRPr="00C6133F">
        <w:rPr>
          <w:bCs/>
          <w:lang w:val="lt-LT"/>
        </w:rPr>
        <w:t>suvestinės redakcij</w:t>
      </w:r>
      <w:r w:rsidR="00D6145B" w:rsidRPr="00D6145B">
        <w:rPr>
          <w:bCs/>
          <w:lang w:val="lt-LT"/>
        </w:rPr>
        <w:t>os</w:t>
      </w:r>
      <w:r w:rsidR="00D6145B" w:rsidRPr="00C6133F">
        <w:rPr>
          <w:bCs/>
          <w:lang w:val="lt-LT"/>
        </w:rPr>
        <w:t xml:space="preserve"> </w:t>
      </w:r>
      <w:r w:rsidR="00D6145B" w:rsidRPr="00D6145B">
        <w:rPr>
          <w:bCs/>
          <w:lang w:val="lt-LT"/>
        </w:rPr>
        <w:t>32-ojo straipsnio 14-ajame punkte yra išvardinti Išmetimų plano peržiūrėjimo (atnaujinimo) atvejai:</w:t>
      </w:r>
    </w:p>
    <w:p w14:paraId="039A8F15" w14:textId="77777777" w:rsidR="00D6145B" w:rsidRPr="00F22EE8" w:rsidRDefault="00D6145B" w:rsidP="00D6145B">
      <w:pPr>
        <w:widowControl w:val="0"/>
        <w:suppressAutoHyphens/>
        <w:spacing w:line="360" w:lineRule="auto"/>
        <w:ind w:firstLine="567"/>
        <w:jc w:val="both"/>
        <w:rPr>
          <w:i/>
          <w:color w:val="000000"/>
          <w:lang w:val="lt-LT"/>
        </w:rPr>
      </w:pPr>
      <w:r w:rsidRPr="00F22EE8">
        <w:rPr>
          <w:i/>
          <w:color w:val="000000"/>
          <w:lang w:val="lt-LT"/>
        </w:rPr>
        <w:t>14. Radionuklidų išmetimo į aplinką planas turi būti atnaujinamas ir teikiamas Valstybinei atominės energetikos saugos inspekcijai ir Sveikatos apsaugos ministerijai derinti šiais atvejais:</w:t>
      </w:r>
    </w:p>
    <w:p w14:paraId="5B6FDA1D" w14:textId="77777777" w:rsidR="00D6145B" w:rsidRPr="00F22EE8" w:rsidRDefault="00D6145B" w:rsidP="00D6145B">
      <w:pPr>
        <w:widowControl w:val="0"/>
        <w:suppressAutoHyphens/>
        <w:spacing w:line="360" w:lineRule="auto"/>
        <w:ind w:firstLine="567"/>
        <w:jc w:val="both"/>
        <w:rPr>
          <w:i/>
          <w:color w:val="000000"/>
          <w:lang w:val="lt-LT"/>
        </w:rPr>
      </w:pPr>
      <w:r w:rsidRPr="00F22EE8">
        <w:rPr>
          <w:i/>
          <w:color w:val="000000"/>
          <w:lang w:val="lt-LT"/>
        </w:rPr>
        <w:t>1) kai Vyriausybės sprendimu planuojama pradėti projektuoti naują branduolinės energetikos objektą (kurio poveikį gali patirti ta pati gyventojų kritinė grupė, suprantama taip, kaip apibrėžta radiologinį monitoringą (stebėseną) reglamentuojančiuose teisės aktuose) greta jau veikiančio branduolinės energetikos objekto;</w:t>
      </w:r>
    </w:p>
    <w:p w14:paraId="6D0F814B" w14:textId="77777777" w:rsidR="00D6145B" w:rsidRPr="00F22EE8" w:rsidRDefault="00D6145B" w:rsidP="00D6145B">
      <w:pPr>
        <w:widowControl w:val="0"/>
        <w:suppressAutoHyphens/>
        <w:spacing w:line="360" w:lineRule="auto"/>
        <w:ind w:firstLine="567"/>
        <w:jc w:val="both"/>
        <w:rPr>
          <w:i/>
          <w:color w:val="000000"/>
          <w:lang w:val="lt-LT"/>
        </w:rPr>
      </w:pPr>
      <w:r w:rsidRPr="00F22EE8">
        <w:rPr>
          <w:i/>
          <w:color w:val="000000"/>
          <w:lang w:val="lt-LT"/>
        </w:rPr>
        <w:t>2) kai atsiranda nauji išmetami radionuklidai, jų išmetimo keliai, būdai ar taškai;</w:t>
      </w:r>
    </w:p>
    <w:p w14:paraId="06E016A2" w14:textId="77777777" w:rsidR="00D6145B" w:rsidRPr="00F22EE8" w:rsidRDefault="00D6145B" w:rsidP="00D6145B">
      <w:pPr>
        <w:widowControl w:val="0"/>
        <w:suppressAutoHyphens/>
        <w:spacing w:line="360" w:lineRule="auto"/>
        <w:ind w:firstLine="567"/>
        <w:jc w:val="both"/>
        <w:rPr>
          <w:i/>
          <w:color w:val="000000"/>
          <w:lang w:val="lt-LT"/>
        </w:rPr>
      </w:pPr>
      <w:r w:rsidRPr="00F22EE8">
        <w:rPr>
          <w:i/>
          <w:color w:val="000000"/>
          <w:lang w:val="lt-LT"/>
        </w:rPr>
        <w:t>3) kai nustatoma, kad į aplinką išmetami radionuklidų išmetimo į aplinką plane nenurodyti radionuklidai (neplanuotas išmetimas);</w:t>
      </w:r>
    </w:p>
    <w:p w14:paraId="5DD0E60B" w14:textId="77777777" w:rsidR="00D6145B" w:rsidRPr="00F22EE8" w:rsidRDefault="00D6145B" w:rsidP="00D6145B">
      <w:pPr>
        <w:widowControl w:val="0"/>
        <w:suppressAutoHyphens/>
        <w:spacing w:line="360" w:lineRule="auto"/>
        <w:ind w:firstLine="567"/>
        <w:jc w:val="both"/>
        <w:rPr>
          <w:i/>
          <w:color w:val="000000"/>
          <w:lang w:val="lt-LT"/>
        </w:rPr>
      </w:pPr>
      <w:r w:rsidRPr="00F22EE8">
        <w:rPr>
          <w:i/>
          <w:color w:val="000000"/>
          <w:lang w:val="lt-LT"/>
        </w:rPr>
        <w:t xml:space="preserve">4) kai gyventojų kritinių grupių narių </w:t>
      </w:r>
      <w:proofErr w:type="spellStart"/>
      <w:r w:rsidRPr="00F22EE8">
        <w:rPr>
          <w:i/>
          <w:color w:val="000000"/>
          <w:lang w:val="lt-LT"/>
        </w:rPr>
        <w:t>apšvitos</w:t>
      </w:r>
      <w:proofErr w:type="spellEnd"/>
      <w:r w:rsidRPr="00F22EE8">
        <w:rPr>
          <w:i/>
          <w:color w:val="000000"/>
          <w:lang w:val="lt-LT"/>
        </w:rPr>
        <w:t xml:space="preserve"> dozė viršija ar</w:t>
      </w:r>
      <w:r w:rsidRPr="00080827">
        <w:rPr>
          <w:i/>
          <w:color w:val="000000"/>
          <w:lang w:val="lt-LT"/>
        </w:rPr>
        <w:t>ba gali viršyti apribotąją dozę.</w:t>
      </w:r>
    </w:p>
    <w:p w14:paraId="0DF4F110" w14:textId="3FE7CF19" w:rsidR="007377C3" w:rsidRDefault="00D6145B" w:rsidP="00D6145B">
      <w:pPr>
        <w:spacing w:line="360" w:lineRule="auto"/>
        <w:ind w:left="34" w:right="175" w:firstLine="533"/>
        <w:jc w:val="both"/>
        <w:rPr>
          <w:lang w:val="lt-LT"/>
        </w:rPr>
      </w:pPr>
      <w:r>
        <w:rPr>
          <w:bCs/>
          <w:lang w:val="lt-LT"/>
        </w:rPr>
        <w:t xml:space="preserve">Tuo atveju, jeigu kalba eina apie licencijavimą arba apie leidimo gavimą </w:t>
      </w:r>
      <w:r w:rsidRPr="0085446D">
        <w:rPr>
          <w:b/>
          <w:lang w:val="lt-LT"/>
        </w:rPr>
        <w:t>naujajam</w:t>
      </w:r>
      <w:r>
        <w:rPr>
          <w:bCs/>
          <w:lang w:val="lt-LT"/>
        </w:rPr>
        <w:t xml:space="preserve"> branduolinės energetikos objektui, tai pridedamame Išmetimų plane yra informacijos apie preliminariai numatomus išmetimus pagal naująjį projektą. Išmetimų planas yra peržiūrimas pagal </w:t>
      </w:r>
      <w:r w:rsidRPr="00D6145B">
        <w:rPr>
          <w:bCs/>
          <w:lang w:val="lt-LT"/>
        </w:rPr>
        <w:t>B</w:t>
      </w:r>
      <w:r w:rsidRPr="00571950">
        <w:rPr>
          <w:bCs/>
          <w:lang w:val="lt-LT"/>
        </w:rPr>
        <w:t xml:space="preserve">randuolinės saugos </w:t>
      </w:r>
      <w:r w:rsidRPr="00D6145B">
        <w:rPr>
          <w:bCs/>
          <w:lang w:val="lt-LT"/>
        </w:rPr>
        <w:t>įstatymo Nr. XI-1539 32-</w:t>
      </w:r>
      <w:proofErr w:type="spellStart"/>
      <w:r w:rsidRPr="00D6145B">
        <w:rPr>
          <w:bCs/>
          <w:lang w:val="lt-LT"/>
        </w:rPr>
        <w:t>ojo</w:t>
      </w:r>
      <w:proofErr w:type="spellEnd"/>
      <w:r w:rsidRPr="00D6145B">
        <w:rPr>
          <w:bCs/>
          <w:lang w:val="lt-LT"/>
        </w:rPr>
        <w:t xml:space="preserve"> straipsnio 14-ąjį punktą.</w:t>
      </w:r>
      <w:r>
        <w:rPr>
          <w:bCs/>
          <w:lang w:val="lt-LT"/>
        </w:rPr>
        <w:t xml:space="preserve"> Jeigu kalba eina apie </w:t>
      </w:r>
      <w:proofErr w:type="spellStart"/>
      <w:r>
        <w:rPr>
          <w:bCs/>
          <w:lang w:val="lt-LT"/>
        </w:rPr>
        <w:t>IirD</w:t>
      </w:r>
      <w:proofErr w:type="spellEnd"/>
      <w:r>
        <w:rPr>
          <w:bCs/>
          <w:lang w:val="lt-LT"/>
        </w:rPr>
        <w:t xml:space="preserve"> projektus organizuotų išmetimų šaltinių viduje, kurie yra aprašyti veikiančiame Išmetimų plane, tai Išmetimų plano peržiūrėti nereikia (pagal </w:t>
      </w:r>
      <w:r w:rsidRPr="00D6145B">
        <w:rPr>
          <w:bCs/>
          <w:lang w:val="lt-LT"/>
        </w:rPr>
        <w:t>B</w:t>
      </w:r>
      <w:r w:rsidRPr="00571950">
        <w:rPr>
          <w:bCs/>
          <w:lang w:val="lt-LT"/>
        </w:rPr>
        <w:t xml:space="preserve">randuolinės saugos </w:t>
      </w:r>
      <w:r w:rsidRPr="00D6145B">
        <w:rPr>
          <w:bCs/>
          <w:lang w:val="lt-LT"/>
        </w:rPr>
        <w:t>įstatym</w:t>
      </w:r>
      <w:r>
        <w:rPr>
          <w:bCs/>
          <w:lang w:val="lt-LT"/>
        </w:rPr>
        <w:t>o</w:t>
      </w:r>
      <w:r w:rsidRPr="00D6145B">
        <w:rPr>
          <w:bCs/>
          <w:lang w:val="lt-LT"/>
        </w:rPr>
        <w:t xml:space="preserve"> Nr. XI-1539 32-</w:t>
      </w:r>
      <w:proofErr w:type="spellStart"/>
      <w:r w:rsidRPr="00D6145B">
        <w:rPr>
          <w:bCs/>
          <w:lang w:val="lt-LT"/>
        </w:rPr>
        <w:t>ojo</w:t>
      </w:r>
      <w:proofErr w:type="spellEnd"/>
      <w:r w:rsidRPr="00D6145B">
        <w:rPr>
          <w:bCs/>
          <w:lang w:val="lt-LT"/>
        </w:rPr>
        <w:t xml:space="preserve"> straipsnio 14-ąjį punktą</w:t>
      </w:r>
      <w:r>
        <w:rPr>
          <w:bCs/>
          <w:lang w:val="lt-LT"/>
        </w:rPr>
        <w:t>). Visa informacija apie numatomus išmetimus, apie radioaktyviųjų išmetimų, atsirandančių dėl planuojamos pagal projektą veiklos, įtakos IAE ribiniams išmetimams</w:t>
      </w:r>
      <w:r w:rsidRPr="00283E12">
        <w:rPr>
          <w:bCs/>
          <w:lang w:val="lt-LT"/>
        </w:rPr>
        <w:t xml:space="preserve"> analiz</w:t>
      </w:r>
      <w:r>
        <w:rPr>
          <w:bCs/>
          <w:lang w:val="lt-LT"/>
        </w:rPr>
        <w:t xml:space="preserve">ę, apie išmetimų pagal projektą poveikį IAE suminiams išmetimams yra pateikta šiuose dokumentuose: </w:t>
      </w:r>
      <w:r w:rsidRPr="00283E12">
        <w:rPr>
          <w:bCs/>
          <w:lang w:val="lt-LT"/>
        </w:rPr>
        <w:t>saugos ataskait</w:t>
      </w:r>
      <w:r>
        <w:rPr>
          <w:bCs/>
          <w:lang w:val="lt-LT"/>
        </w:rPr>
        <w:t>a</w:t>
      </w:r>
      <w:r w:rsidRPr="00283E12">
        <w:rPr>
          <w:bCs/>
          <w:lang w:val="lt-LT"/>
        </w:rPr>
        <w:t xml:space="preserve">, </w:t>
      </w:r>
      <w:r>
        <w:rPr>
          <w:bCs/>
          <w:lang w:val="lt-LT"/>
        </w:rPr>
        <w:t xml:space="preserve">poveikio aplinkai vertinimo ataskaita </w:t>
      </w:r>
      <w:r w:rsidRPr="00283E12">
        <w:rPr>
          <w:bCs/>
          <w:lang w:val="lt-LT"/>
        </w:rPr>
        <w:t>(Nutarim</w:t>
      </w:r>
      <w:r>
        <w:rPr>
          <w:bCs/>
          <w:lang w:val="lt-LT"/>
        </w:rPr>
        <w:t>o</w:t>
      </w:r>
      <w:r w:rsidRPr="00283E12">
        <w:rPr>
          <w:bCs/>
          <w:lang w:val="lt-LT"/>
        </w:rPr>
        <w:t xml:space="preserve"> </w:t>
      </w:r>
      <w:r>
        <w:rPr>
          <w:bCs/>
          <w:lang w:val="lt-LT"/>
        </w:rPr>
        <w:t>p</w:t>
      </w:r>
      <w:r w:rsidRPr="00283E12">
        <w:rPr>
          <w:bCs/>
          <w:lang w:val="lt-LT"/>
        </w:rPr>
        <w:t>. 20</w:t>
      </w:r>
      <w:r w:rsidRPr="00283E12">
        <w:rPr>
          <w:bCs/>
          <w:vertAlign w:val="superscript"/>
          <w:lang w:val="lt-LT"/>
        </w:rPr>
        <w:t>1</w:t>
      </w:r>
      <w:r w:rsidRPr="00283E12">
        <w:rPr>
          <w:bCs/>
          <w:lang w:val="lt-LT"/>
        </w:rPr>
        <w:t>.2, 20</w:t>
      </w:r>
      <w:r w:rsidRPr="00283E12">
        <w:rPr>
          <w:bCs/>
          <w:vertAlign w:val="superscript"/>
          <w:lang w:val="lt-LT"/>
        </w:rPr>
        <w:t>1</w:t>
      </w:r>
      <w:r w:rsidRPr="00283E12">
        <w:rPr>
          <w:bCs/>
          <w:lang w:val="lt-LT"/>
        </w:rPr>
        <w:t>.3).</w:t>
      </w:r>
      <w:r>
        <w:rPr>
          <w:bCs/>
          <w:lang w:val="lt-LT"/>
        </w:rPr>
        <w:t xml:space="preserve"> Šie dokumentai yra preliminariai peržiūrėti ir suderinti su reguliatoriumi. Siekiant gauti licenciją arba leidimą </w:t>
      </w:r>
      <w:proofErr w:type="spellStart"/>
      <w:r>
        <w:rPr>
          <w:bCs/>
          <w:lang w:val="lt-LT"/>
        </w:rPr>
        <w:t>IirD</w:t>
      </w:r>
      <w:proofErr w:type="spellEnd"/>
      <w:r>
        <w:rPr>
          <w:bCs/>
          <w:lang w:val="lt-LT"/>
        </w:rPr>
        <w:t xml:space="preserve"> projektams, yra teikiamas galiojantis Išmetimų planas. </w:t>
      </w:r>
      <w:proofErr w:type="spellStart"/>
      <w:r>
        <w:rPr>
          <w:bCs/>
          <w:lang w:val="lt-LT"/>
        </w:rPr>
        <w:t>Atsižveliant</w:t>
      </w:r>
      <w:proofErr w:type="spellEnd"/>
      <w:r>
        <w:rPr>
          <w:bCs/>
          <w:lang w:val="lt-LT"/>
        </w:rPr>
        <w:t xml:space="preserve"> į tai kas išdėstyta </w:t>
      </w:r>
      <w:r>
        <w:rPr>
          <w:bCs/>
          <w:sz w:val="22"/>
          <w:szCs w:val="22"/>
          <w:lang w:val="lt-LT"/>
        </w:rPr>
        <w:t xml:space="preserve">Siūlytina palikti </w:t>
      </w:r>
      <w:r w:rsidRPr="00D6145B">
        <w:rPr>
          <w:bCs/>
          <w:sz w:val="22"/>
          <w:szCs w:val="22"/>
          <w:lang w:val="lt-LT"/>
        </w:rPr>
        <w:t>tokią punkto 20</w:t>
      </w:r>
      <w:r w:rsidRPr="00D6145B">
        <w:rPr>
          <w:bCs/>
          <w:sz w:val="22"/>
          <w:szCs w:val="22"/>
          <w:vertAlign w:val="superscript"/>
          <w:lang w:val="lt-LT"/>
        </w:rPr>
        <w:t>1</w:t>
      </w:r>
      <w:r w:rsidRPr="00D6145B">
        <w:rPr>
          <w:bCs/>
          <w:sz w:val="22"/>
          <w:szCs w:val="22"/>
          <w:lang w:val="lt-LT"/>
        </w:rPr>
        <w:t>.4. s</w:t>
      </w:r>
      <w:r>
        <w:rPr>
          <w:bCs/>
          <w:sz w:val="22"/>
          <w:szCs w:val="22"/>
          <w:lang w:val="lt-LT"/>
        </w:rPr>
        <w:t>ąlygos redakciją</w:t>
      </w:r>
      <w:r w:rsidRPr="00982AC2">
        <w:rPr>
          <w:bCs/>
          <w:sz w:val="22"/>
          <w:szCs w:val="22"/>
          <w:lang w:val="lt-LT"/>
        </w:rPr>
        <w:t>:</w:t>
      </w:r>
      <w:r>
        <w:rPr>
          <w:bCs/>
          <w:sz w:val="22"/>
          <w:szCs w:val="22"/>
          <w:lang w:val="lt-LT"/>
        </w:rPr>
        <w:t xml:space="preserve"> „</w:t>
      </w:r>
      <w:r w:rsidRPr="00D6145B">
        <w:rPr>
          <w:bCs/>
          <w:i/>
          <w:iCs/>
          <w:lang w:val="lt-LT"/>
        </w:rPr>
        <w:t>20</w:t>
      </w:r>
      <w:r w:rsidRPr="00D6145B">
        <w:rPr>
          <w:bCs/>
          <w:i/>
          <w:iCs/>
          <w:vertAlign w:val="superscript"/>
          <w:lang w:val="lt-LT"/>
        </w:rPr>
        <w:t>1</w:t>
      </w:r>
      <w:r w:rsidRPr="00D6145B">
        <w:rPr>
          <w:bCs/>
          <w:i/>
          <w:iCs/>
          <w:lang w:val="lt-LT"/>
        </w:rPr>
        <w:t>.4. radionuklidų išmetimo į aplinką planą, jei, vykdant planuojamus darbus, dėl kurių yra kreipiamasi leidimo, yra numatomi radionuklidų išmetimai.</w:t>
      </w:r>
      <w:r>
        <w:rPr>
          <w:bCs/>
          <w:lang w:val="lt-LT"/>
        </w:rPr>
        <w:t>“</w:t>
      </w:r>
    </w:p>
    <w:p w14:paraId="6BBB437D" w14:textId="54896331" w:rsidR="00C711C4" w:rsidRDefault="00C711C4" w:rsidP="00C711C4">
      <w:pPr>
        <w:pStyle w:val="af0"/>
        <w:numPr>
          <w:ilvl w:val="0"/>
          <w:numId w:val="9"/>
        </w:numPr>
        <w:spacing w:line="360" w:lineRule="auto"/>
        <w:ind w:left="0" w:firstLine="1607"/>
        <w:jc w:val="both"/>
        <w:rPr>
          <w:lang w:val="lt-LT"/>
        </w:rPr>
      </w:pPr>
      <w:r>
        <w:rPr>
          <w:lang w:val="lt-LT" w:eastAsia="lt-LT"/>
        </w:rPr>
        <w:t xml:space="preserve">Siūlytina </w:t>
      </w:r>
      <w:r w:rsidR="00A70AE7">
        <w:rPr>
          <w:lang w:val="lt-LT"/>
        </w:rPr>
        <w:t xml:space="preserve">Nutarimo projekto </w:t>
      </w:r>
      <w:r w:rsidRPr="00C711C4">
        <w:rPr>
          <w:lang w:val="lt-LT"/>
        </w:rPr>
        <w:t xml:space="preserve">1.20 papunktį papildyti „39. Licencijos ar leidimo turėtojas, prieš pakeisdamas ar patvirtindamas naują dokumentą, nurodytą </w:t>
      </w:r>
      <w:r w:rsidRPr="00C711C4">
        <w:rPr>
          <w:b/>
          <w:bCs/>
          <w:lang w:val="lt-LT"/>
        </w:rPr>
        <w:t>Taisyklių</w:t>
      </w:r>
      <w:r w:rsidRPr="00C711C4">
        <w:rPr>
          <w:lang w:val="lt-LT"/>
        </w:rPr>
        <w:t xml:space="preserve"> 6.3, 6.9, 6.12 </w:t>
      </w:r>
      <w:r>
        <w:rPr>
          <w:lang w:val="lt-LT"/>
        </w:rPr>
        <w:t>&lt;</w:t>
      </w:r>
      <w:r w:rsidRPr="00C711C4">
        <w:rPr>
          <w:lang w:val="lt-LT"/>
        </w:rPr>
        <w:t>...</w:t>
      </w:r>
      <w:r>
        <w:rPr>
          <w:lang w:val="lt-LT"/>
        </w:rPr>
        <w:t>&gt;</w:t>
      </w:r>
      <w:r w:rsidRPr="00C711C4">
        <w:rPr>
          <w:lang w:val="lt-LT"/>
        </w:rPr>
        <w:t>“</w:t>
      </w:r>
    </w:p>
    <w:p w14:paraId="5656ACD3" w14:textId="35AF3E5F" w:rsidR="00E35045" w:rsidRDefault="00E35045" w:rsidP="00E35045">
      <w:pPr>
        <w:pStyle w:val="af0"/>
        <w:numPr>
          <w:ilvl w:val="0"/>
          <w:numId w:val="9"/>
        </w:numPr>
        <w:spacing w:line="360" w:lineRule="auto"/>
        <w:ind w:left="0" w:firstLine="1607"/>
        <w:jc w:val="both"/>
        <w:rPr>
          <w:lang w:val="lt-LT"/>
        </w:rPr>
      </w:pPr>
      <w:r>
        <w:rPr>
          <w:lang w:val="lt-LT" w:eastAsia="lt-LT"/>
        </w:rPr>
        <w:t xml:space="preserve">Siūlytina papildyti </w:t>
      </w:r>
      <w:r w:rsidR="00A70AE7">
        <w:rPr>
          <w:lang w:val="lt-LT"/>
        </w:rPr>
        <w:t xml:space="preserve">Nutarimo projekto </w:t>
      </w:r>
      <w:r w:rsidR="00C711C4" w:rsidRPr="00E35045">
        <w:rPr>
          <w:lang w:val="lt-LT"/>
        </w:rPr>
        <w:t>1.22 papunkt</w:t>
      </w:r>
      <w:r w:rsidRPr="00E35045">
        <w:rPr>
          <w:lang w:val="lt-LT"/>
        </w:rPr>
        <w:t>į</w:t>
      </w:r>
      <w:r w:rsidR="00C711C4" w:rsidRPr="00E35045">
        <w:rPr>
          <w:lang w:val="lt-LT"/>
        </w:rPr>
        <w:t xml:space="preserve">. „dokumentai pateikiami... </w:t>
      </w:r>
      <w:r w:rsidR="00C711C4" w:rsidRPr="00E35045">
        <w:rPr>
          <w:b/>
          <w:bCs/>
          <w:lang w:val="lt-LT"/>
        </w:rPr>
        <w:t>per</w:t>
      </w:r>
      <w:r w:rsidR="00C711C4" w:rsidRPr="00E35045">
        <w:rPr>
          <w:lang w:val="lt-LT"/>
        </w:rPr>
        <w:t xml:space="preserve"> Nacionalinę elektroninių siuntų pristatymo, naudojant pašto tinklą, informacinę sistemą“.</w:t>
      </w:r>
    </w:p>
    <w:p w14:paraId="1863EC36" w14:textId="1EF887BF" w:rsidR="00D6145B" w:rsidRDefault="00A70AE7" w:rsidP="00D6145B">
      <w:pPr>
        <w:pStyle w:val="af0"/>
        <w:numPr>
          <w:ilvl w:val="0"/>
          <w:numId w:val="9"/>
        </w:numPr>
        <w:spacing w:line="360" w:lineRule="auto"/>
        <w:ind w:left="0" w:firstLine="1607"/>
        <w:jc w:val="both"/>
        <w:rPr>
          <w:lang w:val="lt-LT"/>
        </w:rPr>
      </w:pPr>
      <w:r>
        <w:rPr>
          <w:lang w:val="lt-LT"/>
        </w:rPr>
        <w:lastRenderedPageBreak/>
        <w:t xml:space="preserve">Nutarimo projekto </w:t>
      </w:r>
      <w:r w:rsidR="00C711C4" w:rsidRPr="007377C3">
        <w:rPr>
          <w:lang w:val="lt-LT"/>
        </w:rPr>
        <w:t>1.24 papunkt</w:t>
      </w:r>
      <w:r w:rsidR="00D6145B">
        <w:rPr>
          <w:lang w:val="lt-LT"/>
        </w:rPr>
        <w:t>yje</w:t>
      </w:r>
      <w:r w:rsidR="00C711C4" w:rsidRPr="007377C3">
        <w:rPr>
          <w:lang w:val="lt-LT"/>
        </w:rPr>
        <w:t xml:space="preserve">. „52. VATESI, vadovaudamasi Licencijavimo pagrindų aprašu, licencijas </w:t>
      </w:r>
      <w:r w:rsidR="00C711C4" w:rsidRPr="007377C3">
        <w:rPr>
          <w:b/>
          <w:bCs/>
          <w:lang w:val="lt-LT"/>
        </w:rPr>
        <w:t>ir</w:t>
      </w:r>
      <w:r w:rsidR="00C711C4" w:rsidRPr="007377C3">
        <w:rPr>
          <w:lang w:val="lt-LT"/>
        </w:rPr>
        <w:t xml:space="preserve"> leidimus išduoda, sustabdo licencijų </w:t>
      </w:r>
      <w:r w:rsidR="00C711C4" w:rsidRPr="007377C3">
        <w:rPr>
          <w:b/>
          <w:bCs/>
          <w:lang w:val="lt-LT"/>
        </w:rPr>
        <w:t>ar</w:t>
      </w:r>
      <w:r w:rsidR="00C711C4" w:rsidRPr="007377C3">
        <w:rPr>
          <w:lang w:val="lt-LT"/>
        </w:rPr>
        <w:t xml:space="preserve"> leidimų galiojimą, panaikina licencijų </w:t>
      </w:r>
      <w:r w:rsidR="00C711C4" w:rsidRPr="007377C3">
        <w:rPr>
          <w:b/>
          <w:bCs/>
          <w:lang w:val="lt-LT"/>
        </w:rPr>
        <w:t>ar</w:t>
      </w:r>
      <w:r w:rsidR="00C711C4" w:rsidRPr="007377C3">
        <w:rPr>
          <w:lang w:val="lt-LT"/>
        </w:rPr>
        <w:t xml:space="preserve"> leidimų galiojimo sustabdymą, panaikina licencijų </w:t>
      </w:r>
      <w:r w:rsidR="00C711C4" w:rsidRPr="007377C3">
        <w:rPr>
          <w:b/>
          <w:bCs/>
          <w:lang w:val="lt-LT"/>
        </w:rPr>
        <w:t>ar</w:t>
      </w:r>
      <w:r w:rsidR="00C711C4" w:rsidRPr="007377C3">
        <w:rPr>
          <w:lang w:val="lt-LT"/>
        </w:rPr>
        <w:t xml:space="preserve"> leidimų galiojimą, pakeičia licencijas </w:t>
      </w:r>
      <w:r w:rsidR="00C711C4" w:rsidRPr="007377C3">
        <w:rPr>
          <w:b/>
          <w:bCs/>
          <w:lang w:val="lt-LT"/>
        </w:rPr>
        <w:t>ir</w:t>
      </w:r>
      <w:r w:rsidR="00C711C4" w:rsidRPr="007377C3">
        <w:rPr>
          <w:lang w:val="lt-LT"/>
        </w:rPr>
        <w:t xml:space="preserve"> leidimus per Licencijų informacinę sistemą informacinėje sistemoje.“ Šiame sakinyje du kartus pavartota frazė „licencijos ir leidimai‘ ir tris kartus „licencijos ar leidimai“. Ar neturėtų visais atvejais </w:t>
      </w:r>
      <w:r w:rsidR="00C711C4" w:rsidRPr="00D6145B">
        <w:rPr>
          <w:lang w:val="lt-LT"/>
        </w:rPr>
        <w:t>būti vartojamas tas pats jungtukas, pavyzdžiui, „ar“?</w:t>
      </w:r>
    </w:p>
    <w:p w14:paraId="1070349F" w14:textId="16737806" w:rsidR="00C6133F" w:rsidRPr="00D6145B" w:rsidRDefault="00A70AE7" w:rsidP="00D6145B">
      <w:pPr>
        <w:pStyle w:val="af0"/>
        <w:numPr>
          <w:ilvl w:val="0"/>
          <w:numId w:val="9"/>
        </w:numPr>
        <w:spacing w:line="360" w:lineRule="auto"/>
        <w:ind w:left="0" w:firstLine="1607"/>
        <w:jc w:val="both"/>
        <w:rPr>
          <w:lang w:val="lt-LT"/>
        </w:rPr>
      </w:pPr>
      <w:r>
        <w:rPr>
          <w:lang w:val="lt-LT"/>
        </w:rPr>
        <w:t>Nutarimo projekto</w:t>
      </w:r>
      <w:r w:rsidR="00896361">
        <w:rPr>
          <w:lang w:val="lt-LT"/>
        </w:rPr>
        <w:t xml:space="preserve"> 1.20 punktu keičiamas Taisyklių </w:t>
      </w:r>
      <w:r w:rsidR="00727012">
        <w:rPr>
          <w:lang w:val="lt-LT"/>
        </w:rPr>
        <w:t>39</w:t>
      </w:r>
      <w:r w:rsidR="00DE1759">
        <w:rPr>
          <w:lang w:val="lt-LT"/>
        </w:rPr>
        <w:t xml:space="preserve"> punktas</w:t>
      </w:r>
      <w:r w:rsidR="00727012">
        <w:rPr>
          <w:lang w:val="lt-LT"/>
        </w:rPr>
        <w:t xml:space="preserve">, numatant, kad </w:t>
      </w:r>
      <w:r w:rsidR="003D0412">
        <w:rPr>
          <w:lang w:val="lt-LT"/>
        </w:rPr>
        <w:t>Taisyklių 20</w:t>
      </w:r>
      <w:r w:rsidR="003D0412">
        <w:rPr>
          <w:vertAlign w:val="superscript"/>
          <w:lang w:val="lt-LT"/>
        </w:rPr>
        <w:t>1</w:t>
      </w:r>
      <w:r w:rsidR="003D0412">
        <w:rPr>
          <w:lang w:val="lt-LT"/>
        </w:rPr>
        <w:t>.</w:t>
      </w:r>
      <w:r w:rsidR="00501D9C">
        <w:rPr>
          <w:lang w:val="lt-LT"/>
        </w:rPr>
        <w:t>3</w:t>
      </w:r>
      <w:r w:rsidR="003D0412">
        <w:rPr>
          <w:lang w:val="lt-LT"/>
        </w:rPr>
        <w:t xml:space="preserve"> punkte numatytų darbų saugos analizės ir pagrindimo</w:t>
      </w:r>
      <w:r w:rsidR="00D17337">
        <w:rPr>
          <w:lang w:val="lt-LT"/>
        </w:rPr>
        <w:t xml:space="preserve"> rezultatų nepriklausomo patikrinimo, atliekamo VATESI nustatyta tvarka, ataskaita </w:t>
      </w:r>
      <w:r w:rsidR="00962823">
        <w:rPr>
          <w:lang w:val="lt-LT"/>
        </w:rPr>
        <w:t xml:space="preserve">prieš ją keičiant ar tvirtinat turi būti suderinta su VATESI. </w:t>
      </w:r>
      <w:r w:rsidR="007735E2">
        <w:rPr>
          <w:lang w:val="lt-LT"/>
        </w:rPr>
        <w:t>Atkreiptinas dėmesys, kad tokia ataskaita nėra derinama su VATESI, todėl atitinkamai turėtų būti pakoreguotas Taisyklių 39 punktas, išbraukiant jame nuoro</w:t>
      </w:r>
      <w:r w:rsidR="00376D96">
        <w:rPr>
          <w:lang w:val="lt-LT"/>
        </w:rPr>
        <w:t>dą į Taisyklių 20</w:t>
      </w:r>
      <w:r w:rsidR="00376D96">
        <w:rPr>
          <w:vertAlign w:val="superscript"/>
          <w:lang w:val="lt-LT"/>
        </w:rPr>
        <w:t>1</w:t>
      </w:r>
      <w:r w:rsidR="00376D96">
        <w:rPr>
          <w:lang w:val="lt-LT"/>
        </w:rPr>
        <w:t>.</w:t>
      </w:r>
      <w:r w:rsidR="00501D9C">
        <w:rPr>
          <w:lang w:val="lt-LT"/>
        </w:rPr>
        <w:t>3</w:t>
      </w:r>
      <w:r w:rsidR="00376D96">
        <w:rPr>
          <w:lang w:val="lt-LT"/>
        </w:rPr>
        <w:t xml:space="preserve"> </w:t>
      </w:r>
      <w:proofErr w:type="spellStart"/>
      <w:r w:rsidR="00376D96">
        <w:rPr>
          <w:lang w:val="lt-LT"/>
        </w:rPr>
        <w:t>punką</w:t>
      </w:r>
      <w:proofErr w:type="spellEnd"/>
      <w:r w:rsidR="00376D96">
        <w:rPr>
          <w:lang w:val="lt-LT"/>
        </w:rPr>
        <w:t>.</w:t>
      </w:r>
    </w:p>
    <w:p w14:paraId="5A188BFC" w14:textId="319449CC" w:rsidR="00D6145B" w:rsidRPr="00D6145B" w:rsidRDefault="00D6145B" w:rsidP="00D6145B">
      <w:pPr>
        <w:pStyle w:val="af0"/>
        <w:numPr>
          <w:ilvl w:val="0"/>
          <w:numId w:val="9"/>
        </w:numPr>
        <w:spacing w:line="360" w:lineRule="auto"/>
        <w:ind w:left="0" w:firstLine="1607"/>
        <w:jc w:val="both"/>
        <w:rPr>
          <w:lang w:val="lt-LT"/>
        </w:rPr>
      </w:pPr>
      <w:r w:rsidRPr="00D6145B">
        <w:rPr>
          <w:lang w:val="lt-LT"/>
        </w:rPr>
        <w:t xml:space="preserve">Manytina, kad netikslinga atidėti </w:t>
      </w:r>
      <w:r w:rsidR="00A70AE7">
        <w:rPr>
          <w:lang w:val="lt-LT"/>
        </w:rPr>
        <w:t xml:space="preserve">Nutarimo projekto </w:t>
      </w:r>
      <w:r w:rsidRPr="00D6145B">
        <w:rPr>
          <w:lang w:val="lt-LT"/>
        </w:rPr>
        <w:t>1.5 papunkčio įsigaliojimą, nes</w:t>
      </w:r>
      <w:r w:rsidR="00B97FF5">
        <w:rPr>
          <w:lang w:val="lt-LT"/>
        </w:rPr>
        <w:t xml:space="preserve"> </w:t>
      </w:r>
      <w:r w:rsidR="00376D96">
        <w:rPr>
          <w:lang w:val="lt-LT"/>
        </w:rPr>
        <w:t xml:space="preserve">šiuo pakeitimu taisomos redakcinio pobūdžio </w:t>
      </w:r>
      <w:r w:rsidR="00B97FF5">
        <w:rPr>
          <w:lang w:val="lt-LT"/>
        </w:rPr>
        <w:t>klaidos.</w:t>
      </w:r>
    </w:p>
    <w:p w14:paraId="413FC304" w14:textId="77777777" w:rsidR="001457AC" w:rsidRPr="009A61A2" w:rsidRDefault="001457AC">
      <w:pPr>
        <w:tabs>
          <w:tab w:val="left" w:pos="7655"/>
        </w:tabs>
        <w:jc w:val="both"/>
        <w:rPr>
          <w:lang w:val="pt-BR"/>
        </w:rPr>
      </w:pPr>
    </w:p>
    <w:p w14:paraId="46295621" w14:textId="77777777" w:rsidR="00A1525D" w:rsidRPr="009A61A2" w:rsidRDefault="00A1525D">
      <w:pPr>
        <w:tabs>
          <w:tab w:val="left" w:pos="7655"/>
        </w:tabs>
        <w:jc w:val="both"/>
        <w:rPr>
          <w:lang w:val="pt-BR"/>
        </w:rPr>
      </w:pPr>
    </w:p>
    <w:p w14:paraId="3ADA1C7C" w14:textId="53896250" w:rsidR="00090F23" w:rsidRPr="009A61A2" w:rsidRDefault="00090F23">
      <w:pPr>
        <w:jc w:val="both"/>
        <w:rPr>
          <w:caps/>
          <w:lang w:val="lt-LT"/>
        </w:rPr>
      </w:pPr>
      <w:r w:rsidRPr="009A61A2">
        <w:rPr>
          <w:lang w:val="lt-LT" w:eastAsia="en-US"/>
        </w:rPr>
        <w:t>Generalinis direktorius</w:t>
      </w:r>
      <w:r w:rsidR="00EF3927" w:rsidRPr="009A61A2">
        <w:rPr>
          <w:lang w:val="lt-LT" w:eastAsia="en-US"/>
        </w:rPr>
        <w:tab/>
      </w:r>
      <w:r w:rsidR="00EF3927" w:rsidRPr="009A61A2">
        <w:rPr>
          <w:lang w:val="lt-LT" w:eastAsia="en-US"/>
        </w:rPr>
        <w:tab/>
      </w:r>
      <w:r w:rsidR="001452FF" w:rsidRPr="009A61A2">
        <w:rPr>
          <w:lang w:val="lt-LT" w:eastAsia="en-US"/>
        </w:rPr>
        <w:tab/>
      </w:r>
      <w:r w:rsidR="001452FF" w:rsidRPr="009A61A2">
        <w:rPr>
          <w:lang w:val="lt-LT" w:eastAsia="en-US"/>
        </w:rPr>
        <w:tab/>
      </w:r>
      <w:r w:rsidR="001452FF" w:rsidRPr="009A61A2">
        <w:rPr>
          <w:lang w:val="lt-LT" w:eastAsia="en-US"/>
        </w:rPr>
        <w:tab/>
      </w:r>
      <w:r w:rsidR="00EF3927" w:rsidRPr="009A61A2">
        <w:rPr>
          <w:lang w:val="lt-LT" w:eastAsia="en-US"/>
        </w:rPr>
        <w:tab/>
      </w:r>
      <w:r w:rsidR="00883886" w:rsidRPr="009A61A2">
        <w:rPr>
          <w:lang w:val="lt-LT" w:eastAsia="en-US"/>
        </w:rPr>
        <w:tab/>
      </w:r>
      <w:r w:rsidR="00EF3927" w:rsidRPr="009A61A2">
        <w:rPr>
          <w:lang w:val="lt-LT" w:eastAsia="en-US"/>
        </w:rPr>
        <w:t>Audrius Kamienas</w:t>
      </w:r>
    </w:p>
    <w:p w14:paraId="5C839B7C" w14:textId="77777777" w:rsidR="00A1525D" w:rsidRPr="009A61A2" w:rsidRDefault="00A1525D">
      <w:pPr>
        <w:jc w:val="both"/>
        <w:rPr>
          <w:caps/>
          <w:lang w:val="lt-LT"/>
        </w:rPr>
      </w:pPr>
    </w:p>
    <w:p w14:paraId="3FF0C71A" w14:textId="77777777" w:rsidR="009D75D1" w:rsidRPr="009A61A2" w:rsidRDefault="009D75D1">
      <w:pPr>
        <w:jc w:val="both"/>
        <w:rPr>
          <w:caps/>
          <w:lang w:val="lt-LT"/>
        </w:rPr>
      </w:pPr>
    </w:p>
    <w:p w14:paraId="13130F3C" w14:textId="0AC0458B" w:rsidR="00BA7FD9" w:rsidRPr="009A61A2" w:rsidRDefault="00BA7FD9">
      <w:pPr>
        <w:jc w:val="both"/>
        <w:rPr>
          <w:caps/>
          <w:lang w:val="lt-LT"/>
        </w:rPr>
      </w:pPr>
    </w:p>
    <w:p w14:paraId="4B59FBCB" w14:textId="561D8033" w:rsidR="00883886" w:rsidRPr="009A61A2" w:rsidRDefault="00883886">
      <w:pPr>
        <w:jc w:val="both"/>
        <w:rPr>
          <w:caps/>
          <w:lang w:val="lt-LT"/>
        </w:rPr>
      </w:pPr>
    </w:p>
    <w:p w14:paraId="44CBFC1E" w14:textId="6093F1B3" w:rsidR="00883886" w:rsidRPr="009A61A2" w:rsidRDefault="00883886">
      <w:pPr>
        <w:jc w:val="both"/>
        <w:rPr>
          <w:caps/>
          <w:lang w:val="lt-LT"/>
        </w:rPr>
      </w:pPr>
    </w:p>
    <w:p w14:paraId="26AC41F6" w14:textId="6354C96C" w:rsidR="00883886" w:rsidRPr="009A61A2" w:rsidRDefault="00883886">
      <w:pPr>
        <w:jc w:val="both"/>
        <w:rPr>
          <w:caps/>
          <w:lang w:val="lt-LT"/>
        </w:rPr>
      </w:pPr>
    </w:p>
    <w:p w14:paraId="46C01F9B" w14:textId="77777777" w:rsidR="00883886" w:rsidRPr="009A61A2" w:rsidRDefault="00883886">
      <w:pPr>
        <w:jc w:val="both"/>
        <w:rPr>
          <w:caps/>
          <w:lang w:val="lt-LT"/>
        </w:rPr>
      </w:pPr>
    </w:p>
    <w:p w14:paraId="6C00D3FD" w14:textId="3ADE9ED5" w:rsidR="002C4A86" w:rsidRPr="009A61A2" w:rsidRDefault="002C4A86">
      <w:pPr>
        <w:jc w:val="both"/>
        <w:rPr>
          <w:caps/>
          <w:lang w:val="lt-LT"/>
        </w:rPr>
      </w:pPr>
    </w:p>
    <w:p w14:paraId="098023F4" w14:textId="13F00190" w:rsidR="00D6145B" w:rsidRPr="009A61A2" w:rsidRDefault="00D6145B">
      <w:pPr>
        <w:jc w:val="both"/>
        <w:rPr>
          <w:caps/>
          <w:lang w:val="lt-LT"/>
        </w:rPr>
      </w:pPr>
    </w:p>
    <w:p w14:paraId="7978B472" w14:textId="26AF7007" w:rsidR="00D6145B" w:rsidRPr="009A61A2" w:rsidRDefault="00D6145B">
      <w:pPr>
        <w:jc w:val="both"/>
        <w:rPr>
          <w:caps/>
          <w:lang w:val="lt-LT"/>
        </w:rPr>
      </w:pPr>
    </w:p>
    <w:p w14:paraId="2C9A9E82" w14:textId="42BFA496" w:rsidR="00D6145B" w:rsidRPr="009A61A2" w:rsidRDefault="00D6145B">
      <w:pPr>
        <w:jc w:val="both"/>
        <w:rPr>
          <w:caps/>
          <w:lang w:val="lt-LT"/>
        </w:rPr>
      </w:pPr>
    </w:p>
    <w:p w14:paraId="4D19F3A5" w14:textId="77A4E305" w:rsidR="00D6145B" w:rsidRPr="009A61A2" w:rsidRDefault="00D6145B">
      <w:pPr>
        <w:jc w:val="both"/>
        <w:rPr>
          <w:caps/>
          <w:lang w:val="lt-LT"/>
        </w:rPr>
      </w:pPr>
    </w:p>
    <w:p w14:paraId="0BA62E1B" w14:textId="435A8224" w:rsidR="00D6145B" w:rsidRPr="009A61A2" w:rsidRDefault="00D6145B">
      <w:pPr>
        <w:jc w:val="both"/>
        <w:rPr>
          <w:caps/>
          <w:lang w:val="lt-LT"/>
        </w:rPr>
      </w:pPr>
    </w:p>
    <w:p w14:paraId="023F7925" w14:textId="581740A7" w:rsidR="009A61A2" w:rsidRPr="009A61A2" w:rsidRDefault="009A61A2">
      <w:pPr>
        <w:jc w:val="both"/>
        <w:rPr>
          <w:caps/>
          <w:lang w:val="lt-LT"/>
        </w:rPr>
      </w:pPr>
    </w:p>
    <w:p w14:paraId="0F183A10" w14:textId="2F7837CD" w:rsidR="009A61A2" w:rsidRPr="009A61A2" w:rsidRDefault="009A61A2">
      <w:pPr>
        <w:jc w:val="both"/>
        <w:rPr>
          <w:caps/>
          <w:lang w:val="lt-LT"/>
        </w:rPr>
      </w:pPr>
    </w:p>
    <w:p w14:paraId="320191F5" w14:textId="01493FB8" w:rsidR="009A61A2" w:rsidRPr="009A61A2" w:rsidRDefault="009A61A2">
      <w:pPr>
        <w:jc w:val="both"/>
        <w:rPr>
          <w:caps/>
          <w:lang w:val="lt-LT"/>
        </w:rPr>
      </w:pPr>
    </w:p>
    <w:p w14:paraId="721E35E8" w14:textId="0C06EABD" w:rsidR="009A61A2" w:rsidRPr="009A61A2" w:rsidRDefault="009A61A2">
      <w:pPr>
        <w:jc w:val="both"/>
        <w:rPr>
          <w:caps/>
          <w:lang w:val="lt-LT"/>
        </w:rPr>
      </w:pPr>
    </w:p>
    <w:p w14:paraId="0068116E" w14:textId="3371685A" w:rsidR="009A61A2" w:rsidRPr="009A61A2" w:rsidRDefault="009A61A2">
      <w:pPr>
        <w:jc w:val="both"/>
        <w:rPr>
          <w:caps/>
          <w:lang w:val="lt-LT"/>
        </w:rPr>
      </w:pPr>
    </w:p>
    <w:p w14:paraId="20BD11CD" w14:textId="1060A3D1" w:rsidR="009A61A2" w:rsidRPr="009A61A2" w:rsidRDefault="009A61A2">
      <w:pPr>
        <w:jc w:val="both"/>
        <w:rPr>
          <w:caps/>
          <w:lang w:val="lt-LT"/>
        </w:rPr>
      </w:pPr>
    </w:p>
    <w:p w14:paraId="66794132" w14:textId="77777777" w:rsidR="009A61A2" w:rsidRPr="009A61A2" w:rsidRDefault="009A61A2">
      <w:pPr>
        <w:jc w:val="both"/>
        <w:rPr>
          <w:caps/>
          <w:lang w:val="lt-LT"/>
        </w:rPr>
      </w:pPr>
    </w:p>
    <w:p w14:paraId="14F437D0" w14:textId="780DEE91" w:rsidR="00D6145B" w:rsidRPr="009A61A2" w:rsidRDefault="00D6145B">
      <w:pPr>
        <w:jc w:val="both"/>
        <w:rPr>
          <w:caps/>
          <w:lang w:val="lt-LT"/>
        </w:rPr>
      </w:pPr>
    </w:p>
    <w:p w14:paraId="49862B5F" w14:textId="3B3AB2F4" w:rsidR="00D6145B" w:rsidRPr="009A61A2" w:rsidRDefault="00D6145B">
      <w:pPr>
        <w:jc w:val="both"/>
        <w:rPr>
          <w:caps/>
          <w:lang w:val="lt-LT"/>
        </w:rPr>
      </w:pPr>
    </w:p>
    <w:p w14:paraId="55F01381" w14:textId="6973880F" w:rsidR="00D6145B" w:rsidRPr="009A61A2" w:rsidRDefault="00D6145B">
      <w:pPr>
        <w:jc w:val="both"/>
        <w:rPr>
          <w:bCs/>
          <w:caps/>
          <w:lang w:val="lt-LT"/>
        </w:rPr>
      </w:pPr>
      <w:r w:rsidRPr="009A61A2">
        <w:rPr>
          <w:bCs/>
          <w:lang w:val="lt-LT"/>
        </w:rPr>
        <w:t>Viktorija Galuchina, tel. (8~386)28241</w:t>
      </w:r>
    </w:p>
    <w:p w14:paraId="2F8AB651" w14:textId="0D3EF8FF" w:rsidR="00D6145B" w:rsidRPr="009A61A2" w:rsidRDefault="00D6145B">
      <w:pPr>
        <w:jc w:val="both"/>
        <w:rPr>
          <w:bCs/>
          <w:caps/>
          <w:lang w:val="lt-LT"/>
        </w:rPr>
      </w:pPr>
      <w:r w:rsidRPr="009A61A2">
        <w:rPr>
          <w:bCs/>
          <w:lang w:val="lt-LT"/>
        </w:rPr>
        <w:t>Tatjana Zyk, tel. (8~386)28820</w:t>
      </w:r>
    </w:p>
    <w:p w14:paraId="44D2BACB" w14:textId="54C704D0" w:rsidR="00883886" w:rsidRPr="009A61A2" w:rsidRDefault="00D6145B" w:rsidP="003E1921">
      <w:pPr>
        <w:rPr>
          <w:lang w:val="lt-LT"/>
        </w:rPr>
      </w:pPr>
      <w:r w:rsidRPr="009A61A2">
        <w:rPr>
          <w:lang w:val="lt-LT"/>
        </w:rPr>
        <w:t>Jurgita Janutėnaitė-Kolisovė</w:t>
      </w:r>
      <w:r w:rsidR="003E1921" w:rsidRPr="009A61A2">
        <w:rPr>
          <w:lang w:val="lt-LT"/>
        </w:rPr>
        <w:t>, tel. (8</w:t>
      </w:r>
      <w:r w:rsidR="003E1921" w:rsidRPr="009A61A2">
        <w:rPr>
          <w:lang w:val="en-US"/>
        </w:rPr>
        <w:sym w:font="Symbol" w:char="F07E"/>
      </w:r>
      <w:r w:rsidRPr="009A61A2">
        <w:rPr>
          <w:lang w:val="en-US"/>
        </w:rPr>
        <w:t>604</w:t>
      </w:r>
      <w:r w:rsidR="003E1921" w:rsidRPr="009A61A2">
        <w:rPr>
          <w:lang w:val="lt-LT"/>
        </w:rPr>
        <w:t xml:space="preserve">) </w:t>
      </w:r>
      <w:r w:rsidRPr="009A61A2">
        <w:rPr>
          <w:lang w:val="lt-LT"/>
        </w:rPr>
        <w:t>96400</w:t>
      </w:r>
    </w:p>
    <w:p w14:paraId="72107DBF" w14:textId="77777777" w:rsidR="009A61A2" w:rsidRDefault="009A61A2" w:rsidP="003E1921">
      <w:pPr>
        <w:rPr>
          <w:lang w:val="lt-LT"/>
        </w:rPr>
      </w:pPr>
    </w:p>
    <w:p w14:paraId="27CDA00E" w14:textId="38B6EF0A" w:rsidR="003E1921" w:rsidRDefault="003E1921" w:rsidP="002C4A86">
      <w:pPr>
        <w:rPr>
          <w:lang w:val="lt-LT"/>
        </w:rPr>
      </w:pPr>
      <w:r>
        <w:rPr>
          <w:sz w:val="20"/>
          <w:szCs w:val="20"/>
          <w:lang w:val="lt-LT"/>
        </w:rPr>
        <w:t xml:space="preserve">J. </w:t>
      </w:r>
      <w:r w:rsidR="00D6145B">
        <w:rPr>
          <w:sz w:val="20"/>
          <w:szCs w:val="20"/>
          <w:lang w:val="lt-LT"/>
        </w:rPr>
        <w:t>J.K</w:t>
      </w:r>
      <w:r>
        <w:rPr>
          <w:sz w:val="20"/>
          <w:szCs w:val="20"/>
          <w:lang w:val="lt-LT"/>
        </w:rPr>
        <w:t xml:space="preserve">., 1, </w:t>
      </w:r>
      <w:r w:rsidR="004D6AFB">
        <w:rPr>
          <w:sz w:val="20"/>
          <w:szCs w:val="20"/>
          <w:lang w:val="lt-LT"/>
        </w:rPr>
        <w:t>2020-</w:t>
      </w:r>
      <w:r w:rsidR="00CD27A2">
        <w:rPr>
          <w:sz w:val="20"/>
          <w:szCs w:val="20"/>
          <w:lang w:val="lt-LT"/>
        </w:rPr>
        <w:t>11</w:t>
      </w:r>
      <w:r w:rsidR="00AC2B18">
        <w:rPr>
          <w:sz w:val="20"/>
          <w:szCs w:val="20"/>
          <w:lang w:val="lt-LT"/>
        </w:rPr>
        <w:t>-</w:t>
      </w:r>
      <w:r w:rsidR="00CD27A2">
        <w:rPr>
          <w:sz w:val="20"/>
          <w:szCs w:val="20"/>
          <w:lang w:val="lt-LT"/>
        </w:rPr>
        <w:t>03</w:t>
      </w:r>
    </w:p>
    <w:sectPr w:rsidR="003E1921">
      <w:headerReference w:type="even" r:id="rId11"/>
      <w:headerReference w:type="default" r:id="rId12"/>
      <w:footerReference w:type="first" r:id="rId13"/>
      <w:pgSz w:w="11906" w:h="16838" w:code="9"/>
      <w:pgMar w:top="1134" w:right="567" w:bottom="1134" w:left="1701"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6C4CB" w14:textId="77777777" w:rsidR="00AC3E28" w:rsidRDefault="00AC3E28">
      <w:r>
        <w:separator/>
      </w:r>
    </w:p>
  </w:endnote>
  <w:endnote w:type="continuationSeparator" w:id="0">
    <w:p w14:paraId="3CCC16D2" w14:textId="77777777" w:rsidR="00AC3E28" w:rsidRDefault="00AC3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A7D55" w14:textId="77777777" w:rsidR="00A1525D" w:rsidRDefault="00A1525D">
    <w:pPr>
      <w:pStyle w:val="a6"/>
      <w:pBdr>
        <w:top w:val="single" w:sz="4" w:space="1" w:color="auto"/>
      </w:pBdr>
      <w:tabs>
        <w:tab w:val="clear" w:pos="4153"/>
        <w:tab w:val="left" w:pos="1134"/>
        <w:tab w:val="left" w:pos="1560"/>
        <w:tab w:val="left" w:pos="2127"/>
        <w:tab w:val="left" w:pos="3402"/>
        <w:tab w:val="left" w:pos="4111"/>
        <w:tab w:val="left" w:pos="4678"/>
        <w:tab w:val="left" w:pos="5387"/>
        <w:tab w:val="left" w:pos="6096"/>
        <w:tab w:val="right" w:pos="6379"/>
      </w:tabs>
      <w:rPr>
        <w:sz w:val="16"/>
      </w:rPr>
    </w:pPr>
    <w:r>
      <w:rPr>
        <w:sz w:val="16"/>
      </w:rPr>
      <w:t>Valstybės įmonė</w:t>
    </w:r>
    <w:r>
      <w:rPr>
        <w:sz w:val="16"/>
      </w:rPr>
      <w:tab/>
    </w:r>
    <w:r>
      <w:rPr>
        <w:sz w:val="16"/>
      </w:rPr>
      <w:tab/>
    </w:r>
    <w:r>
      <w:rPr>
        <w:color w:val="000000"/>
        <w:sz w:val="16"/>
      </w:rPr>
      <w:t>Tel.    (8</w:t>
    </w:r>
    <w:r>
      <w:rPr>
        <w:sz w:val="16"/>
      </w:rPr>
      <w:t>~</w:t>
    </w:r>
    <w:r>
      <w:rPr>
        <w:color w:val="000000"/>
        <w:sz w:val="16"/>
      </w:rPr>
      <w:t>386) 28985</w:t>
    </w:r>
    <w:r>
      <w:rPr>
        <w:color w:val="000000"/>
        <w:sz w:val="16"/>
      </w:rPr>
      <w:tab/>
      <w:t xml:space="preserve"> Duomenys kaupiami ir saugomi</w:t>
    </w:r>
    <w:r>
      <w:rPr>
        <w:color w:val="000000"/>
        <w:sz w:val="16"/>
      </w:rPr>
      <w:tab/>
      <w:t xml:space="preserve">Atsiskaitomoji sąskaita  </w:t>
    </w:r>
    <w:r>
      <w:rPr>
        <w:color w:val="000000"/>
        <w:sz w:val="16"/>
        <w:lang w:val="en-US"/>
      </w:rPr>
      <w:t>LT10 7300 0100 0261 4996</w:t>
    </w:r>
  </w:p>
  <w:p w14:paraId="4106E6D8" w14:textId="77777777" w:rsidR="00A1525D" w:rsidRDefault="00A1525D">
    <w:pPr>
      <w:pStyle w:val="a6"/>
      <w:pBdr>
        <w:top w:val="single" w:sz="4" w:space="1" w:color="auto"/>
      </w:pBdr>
      <w:tabs>
        <w:tab w:val="clear" w:pos="4153"/>
        <w:tab w:val="clear" w:pos="8306"/>
        <w:tab w:val="left" w:pos="1134"/>
        <w:tab w:val="left" w:pos="1560"/>
        <w:tab w:val="left" w:pos="2127"/>
        <w:tab w:val="left" w:pos="3402"/>
        <w:tab w:val="left" w:pos="4111"/>
        <w:tab w:val="left" w:pos="4678"/>
        <w:tab w:val="left" w:pos="6096"/>
        <w:tab w:val="right" w:pos="9356"/>
      </w:tabs>
      <w:rPr>
        <w:sz w:val="16"/>
      </w:rPr>
    </w:pPr>
    <w:r>
      <w:rPr>
        <w:sz w:val="16"/>
      </w:rPr>
      <w:t>Elektrinės g. 4</w:t>
    </w:r>
    <w:r w:rsidR="00091386">
      <w:rPr>
        <w:sz w:val="16"/>
      </w:rPr>
      <w:t>, K 47</w:t>
    </w:r>
    <w:r>
      <w:rPr>
        <w:sz w:val="16"/>
      </w:rPr>
      <w:tab/>
      <w:t xml:space="preserve">Faks.  </w:t>
    </w:r>
    <w:r>
      <w:rPr>
        <w:color w:val="000000"/>
        <w:sz w:val="16"/>
      </w:rPr>
      <w:t>(8</w:t>
    </w:r>
    <w:r>
      <w:rPr>
        <w:sz w:val="16"/>
      </w:rPr>
      <w:t>~</w:t>
    </w:r>
    <w:r>
      <w:rPr>
        <w:color w:val="000000"/>
        <w:sz w:val="16"/>
      </w:rPr>
      <w:t xml:space="preserve">386) </w:t>
    </w:r>
    <w:r>
      <w:rPr>
        <w:sz w:val="16"/>
      </w:rPr>
      <w:t>24396</w:t>
    </w:r>
    <w:r>
      <w:rPr>
        <w:sz w:val="16"/>
      </w:rPr>
      <w:tab/>
      <w:t xml:space="preserve"> Juridinių asmenų registre</w:t>
    </w:r>
    <w:r>
      <w:rPr>
        <w:sz w:val="16"/>
      </w:rPr>
      <w:tab/>
    </w:r>
    <w:r>
      <w:rPr>
        <w:color w:val="000000"/>
        <w:sz w:val="16"/>
      </w:rPr>
      <w:t>,,</w:t>
    </w:r>
    <w:proofErr w:type="spellStart"/>
    <w:r>
      <w:rPr>
        <w:color w:val="000000"/>
        <w:sz w:val="16"/>
      </w:rPr>
      <w:t>Swedbank</w:t>
    </w:r>
    <w:proofErr w:type="spellEnd"/>
    <w:r>
      <w:rPr>
        <w:color w:val="000000"/>
        <w:sz w:val="16"/>
      </w:rPr>
      <w:t>“, AB</w:t>
    </w:r>
  </w:p>
  <w:p w14:paraId="40D2B274" w14:textId="77777777" w:rsidR="00A1525D" w:rsidRDefault="00A1525D">
    <w:pPr>
      <w:pStyle w:val="a6"/>
      <w:pBdr>
        <w:top w:val="single" w:sz="4" w:space="1" w:color="auto"/>
      </w:pBdr>
      <w:tabs>
        <w:tab w:val="clear" w:pos="4153"/>
        <w:tab w:val="clear" w:pos="8306"/>
        <w:tab w:val="left" w:pos="1134"/>
        <w:tab w:val="left" w:pos="1560"/>
        <w:tab w:val="left" w:pos="2127"/>
        <w:tab w:val="left" w:pos="3402"/>
        <w:tab w:val="left" w:pos="4111"/>
        <w:tab w:val="left" w:pos="4678"/>
        <w:tab w:val="left" w:pos="6096"/>
        <w:tab w:val="right" w:pos="9356"/>
      </w:tabs>
      <w:rPr>
        <w:sz w:val="16"/>
      </w:rPr>
    </w:pPr>
    <w:proofErr w:type="spellStart"/>
    <w:r>
      <w:rPr>
        <w:sz w:val="16"/>
      </w:rPr>
      <w:t>Drūkšinių</w:t>
    </w:r>
    <w:proofErr w:type="spellEnd"/>
    <w:r>
      <w:rPr>
        <w:sz w:val="16"/>
      </w:rPr>
      <w:t xml:space="preserve"> k.</w:t>
    </w:r>
    <w:r>
      <w:rPr>
        <w:sz w:val="16"/>
      </w:rPr>
      <w:tab/>
    </w:r>
    <w:r>
      <w:rPr>
        <w:sz w:val="16"/>
      </w:rPr>
      <w:tab/>
    </w:r>
    <w:proofErr w:type="spellStart"/>
    <w:r>
      <w:rPr>
        <w:sz w:val="16"/>
      </w:rPr>
      <w:t>El.p</w:t>
    </w:r>
    <w:proofErr w:type="spellEnd"/>
    <w:r>
      <w:rPr>
        <w:sz w:val="16"/>
      </w:rPr>
      <w:t xml:space="preserve">.  </w:t>
    </w:r>
    <w:proofErr w:type="spellStart"/>
    <w:r>
      <w:rPr>
        <w:sz w:val="16"/>
      </w:rPr>
      <w:t>iae@iae.lt</w:t>
    </w:r>
    <w:proofErr w:type="spellEnd"/>
    <w:r>
      <w:rPr>
        <w:sz w:val="16"/>
      </w:rPr>
      <w:tab/>
      <w:t xml:space="preserve"> Kodas 255450080</w:t>
    </w:r>
    <w:r>
      <w:rPr>
        <w:sz w:val="16"/>
      </w:rPr>
      <w:tab/>
      <w:t xml:space="preserve">                     </w:t>
    </w:r>
    <w:r>
      <w:rPr>
        <w:sz w:val="16"/>
      </w:rPr>
      <w:tab/>
    </w:r>
  </w:p>
  <w:p w14:paraId="6E14D8A4" w14:textId="14DA7C3F" w:rsidR="00A1525D" w:rsidRDefault="00883886">
    <w:pPr>
      <w:pStyle w:val="a6"/>
      <w:pBdr>
        <w:top w:val="single" w:sz="4" w:space="1" w:color="auto"/>
      </w:pBdr>
      <w:tabs>
        <w:tab w:val="clear" w:pos="4153"/>
        <w:tab w:val="clear" w:pos="8306"/>
        <w:tab w:val="left" w:pos="1134"/>
        <w:tab w:val="left" w:pos="1701"/>
        <w:tab w:val="left" w:pos="2127"/>
        <w:tab w:val="left" w:pos="3402"/>
        <w:tab w:val="left" w:pos="4111"/>
        <w:tab w:val="left" w:pos="4678"/>
        <w:tab w:val="left" w:pos="6096"/>
        <w:tab w:val="right" w:pos="9356"/>
      </w:tabs>
      <w:rPr>
        <w:sz w:val="16"/>
        <w:lang w:val="en-US"/>
      </w:rPr>
    </w:pPr>
    <w:r>
      <w:rPr>
        <w:noProof/>
        <w:sz w:val="16"/>
      </w:rPr>
      <mc:AlternateContent>
        <mc:Choice Requires="wps">
          <w:drawing>
            <wp:anchor distT="0" distB="0" distL="114300" distR="114300" simplePos="0" relativeHeight="251658240" behindDoc="0" locked="0" layoutInCell="1" allowOverlap="1" wp14:anchorId="0DDB5083" wp14:editId="78E218B3">
              <wp:simplePos x="0" y="0"/>
              <wp:positionH relativeFrom="column">
                <wp:posOffset>3815715</wp:posOffset>
              </wp:positionH>
              <wp:positionV relativeFrom="paragraph">
                <wp:posOffset>-102235</wp:posOffset>
              </wp:positionV>
              <wp:extent cx="2306955" cy="3752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375285"/>
                      </a:xfrm>
                      <a:prstGeom prst="rect">
                        <a:avLst/>
                      </a:prstGeom>
                      <a:solidFill>
                        <a:srgbClr val="FFFFFF"/>
                      </a:solidFill>
                      <a:ln>
                        <a:noFill/>
                      </a:ln>
                      <a:extLst>
                        <a:ext uri="{91240B29-F687-4F45-9708-019B960494DF}">
                          <a14:hiddenLine xmlns:a14="http://schemas.microsoft.com/office/drawing/2010/main" w="9525">
                            <a:solidFill>
                              <a:srgbClr val="EEECE1"/>
                            </a:solidFill>
                            <a:miter lim="800000"/>
                            <a:headEnd/>
                            <a:tailEnd/>
                          </a14:hiddenLine>
                        </a:ext>
                      </a:extLst>
                    </wps:spPr>
                    <wps:txbx>
                      <w:txbxContent>
                        <w:p w14:paraId="1E1D3455" w14:textId="54E2CC5E" w:rsidR="002C4A86" w:rsidRPr="00B00393" w:rsidRDefault="002C4A86" w:rsidP="002C4A86">
                          <w:pPr>
                            <w:rPr>
                              <w:lang w:val="en-US"/>
                            </w:rPr>
                          </w:pPr>
                          <w:r>
                            <w:rPr>
                              <w:lang w:val="en-US"/>
                            </w:rPr>
                            <w:t xml:space="preserve">                                       </w:t>
                          </w:r>
                          <w:r w:rsidR="00883886">
                            <w:rPr>
                              <w:noProof/>
                              <w:lang w:val="en-US"/>
                            </w:rPr>
                            <w:drawing>
                              <wp:inline distT="0" distB="0" distL="0" distR="0" wp14:anchorId="12F362AD" wp14:editId="47279743">
                                <wp:extent cx="786130" cy="372745"/>
                                <wp:effectExtent l="0" t="0" r="0" b="0"/>
                                <wp:docPr id="25" name="Рисунок 25"/>
                                <wp:cNvGraphicFramePr>
                                  <a:graphicFrameLocks noChangeAspect="1"/>
                                </wp:cNvGraphicFramePr>
                                <a:graphic>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l="16042" t="13698" r="10921" b="19179"/>
                                        <a:stretch>
                                          <a:fillRect/>
                                        </a:stretch>
                                      </pic:blipFill>
                                      <pic:spPr bwMode="auto">
                                        <a:xfrm>
                                          <a:off x="0" y="0"/>
                                          <a:ext cx="786130" cy="372745"/>
                                        </a:xfrm>
                                        <a:prstGeom prst="rect">
                                          <a:avLst/>
                                        </a:prstGeom>
                                        <a:noFill/>
                                        <a:ln>
                                          <a:noFill/>
                                        </a:ln>
                                      </pic:spPr>
                                    </pic:pic>
                                  </a:graphicData>
                                </a:graphic>
                              </wp:inline>
                            </w:drawing>
                          </w:r>
                        </w:p>
                      </w:txbxContent>
                    </wps:txbx>
                    <wps:bodyPr rot="0" vert="horz" wrap="none" lIns="18000" tIns="0" rIns="1800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DDB5083" id="_x0000_t202" coordsize="21600,21600" o:spt="202" path="m,l,21600r21600,l21600,xe">
              <v:stroke joinstyle="miter"/>
              <v:path gradientshapeok="t" o:connecttype="rect"/>
            </v:shapetype>
            <v:shape id="Text Box 2" o:spid="_x0000_s1026" type="#_x0000_t202" style="position:absolute;margin-left:300.45pt;margin-top:-8.05pt;width:181.65pt;height:29.5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LQNU/gEAAOUDAAAOAAAAZHJzL2Uyb0RvYy54bWysU8Fu2zAMvQ/YPwi6L3ZSpMuMOEWXIsOA bh3Q7gNkWbaFyaJAKbGzrx8lJ1mw3orpIJAU9fQeSa3vxt6wg0KvwZZ8Pss5U1ZCrW1b8p8vuw8r znwQthYGrCr5UXl+t3n/bj24Qi2gA1MrZARifTG4knchuCLLvOxUL/wMnLJ02AD2IpCLbVajGAi9 N9kiz2+zAbB2CFJ5T9GH6ZBvEn7TKBmemsarwEzJiVtIO6a9inu2WYuiReE6LU80xBtY9EJbevQC 9SCCYHvUr6B6LRE8NGEmoc+gabRUSQOpmef/qHnuhFNJCxXHu0uZ/P+Dld8PP5DpmnrHmRU9tehF jYF9hpEtYnUG5wtKenaUFkYKx8yo1LtHkL88s7DthG3VPSIMnRI1sZvHm9nV1QnHR5Bq+AY1PSP2 ARLQ2GAfAakYjNCpS8dLZyIVScHFTX77abnkTNLZzcflYrVMT4jifNuhD18U9CwaJUfqfEIXh0cf IhtRnFMSezC63mljkoNttTXIDoKmZJfWCd1fpxkbky3EaxNijCSZUdmkMYzVeCpbBfWRBCNMU0e/ hIwO8DdnA01cyS19Cc7MVxtLtsrzOKDJIQOvo9U5KqwkgJIHziZzG6Zh3jvUbUf45+bcU3l3OimP fZi4nNjSLKWCnOY+Duu1n7L+/s7NHwAAAP//AwBQSwMEFAAGAAgAAAAhAIfVBcbgAAAACgEAAA8A AABkcnMvZG93bnJldi54bWxMj8FOwzAQRO9I/IO1SNxaOyVENGRT0UicEKgtHDi68ZJExOsodtPA 12NOcFzN08zbYjPbXkw0+s4xQrJUIIhrZzpuEN5eHxd3IHzQbHTvmBC+yMOmvLwodG7cmfc0HUIj Ygn7XCO0IQy5lL5uyWq/dANxzD7caHWI59hIM+pzLLe9XCmVSas7jgutHqhqqf48nCxCtXu+3b9P Ojxtx++KppTCVr0gXl/ND/cgAs3hD4Zf/agOZXQ6uhMbL3qETKl1RBEWSZaAiMQ6S1cgjgjpjQJZ FvL/C+UPAAAA//8DAFBLAQItABQABgAIAAAAIQC2gziS/gAAAOEBAAATAAAAAAAAAAAAAAAAAAAA AABbQ29udGVudF9UeXBlc10ueG1sUEsBAi0AFAAGAAgAAAAhADj9If/WAAAAlAEAAAsAAAAAAAAA AAAAAAAALwEAAF9yZWxzLy5yZWxzUEsBAi0AFAAGAAgAAAAhADotA1T+AQAA5QMAAA4AAAAAAAAA AAAAAAAALgIAAGRycy9lMm9Eb2MueG1sUEsBAi0AFAAGAAgAAAAhAIfVBcbgAAAACgEAAA8AAAAA AAAAAAAAAAAAWAQAAGRycy9kb3ducmV2LnhtbFBLBQYAAAAABAAEAPMAAABlBQAAAAA= " stroked="f" strokecolor="#eeece1">
              <v:textbox style="mso-fit-shape-to-text:t" inset=".5mm,0,.5mm,0">
                <w:txbxContent>
                  <w:p w14:paraId="1E1D3455" w14:textId="54E2CC5E" w:rsidR="002C4A86" w:rsidRPr="00B00393" w:rsidRDefault="002C4A86" w:rsidP="002C4A86">
                    <w:pPr>
                      <w:rPr>
                        <w:lang w:val="en-US"/>
                      </w:rPr>
                    </w:pPr>
                    <w:r>
                      <w:rPr>
                        <w:lang w:val="en-US"/>
                      </w:rPr>
                      <w:t xml:space="preserve">                                       </w:t>
                    </w:r>
                    <w:r w:rsidR="00883886">
                      <w:rPr>
                        <w:noProof/>
                        <w:lang w:val="en-US"/>
                      </w:rPr>
                      <w:drawing>
                        <wp:inline distT="0" distB="0" distL="0" distR="0" wp14:anchorId="12F362AD" wp14:editId="47279743">
                          <wp:extent cx="786130" cy="37274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l="16042" t="13698" r="10921" b="19179"/>
                                  <a:stretch>
                                    <a:fillRect/>
                                  </a:stretch>
                                </pic:blipFill>
                                <pic:spPr bwMode="auto">
                                  <a:xfrm>
                                    <a:off x="0" y="0"/>
                                    <a:ext cx="786130" cy="372745"/>
                                  </a:xfrm>
                                  <a:prstGeom prst="rect">
                                    <a:avLst/>
                                  </a:prstGeom>
                                  <a:noFill/>
                                  <a:ln>
                                    <a:noFill/>
                                  </a:ln>
                                </pic:spPr>
                              </pic:pic>
                            </a:graphicData>
                          </a:graphic>
                        </wp:inline>
                      </w:drawing>
                    </w:r>
                  </w:p>
                </w:txbxContent>
              </v:textbox>
            </v:shape>
          </w:pict>
        </mc:Fallback>
      </mc:AlternateContent>
    </w:r>
    <w:r w:rsidR="009A4692">
      <w:rPr>
        <w:sz w:val="16"/>
      </w:rPr>
      <w:t>31152</w:t>
    </w:r>
    <w:r w:rsidR="00A1525D">
      <w:rPr>
        <w:sz w:val="16"/>
      </w:rPr>
      <w:t xml:space="preserve"> Visagino sav.</w:t>
    </w:r>
    <w:r w:rsidR="00A1525D">
      <w:rPr>
        <w:sz w:val="16"/>
      </w:rPr>
      <w:tab/>
    </w:r>
    <w:r w:rsidR="00A1525D">
      <w:rPr>
        <w:sz w:val="16"/>
      </w:rPr>
      <w:tab/>
    </w:r>
    <w:r w:rsidR="00A1525D">
      <w:rPr>
        <w:sz w:val="16"/>
      </w:rPr>
      <w:tab/>
      <w:t xml:space="preserve"> PVM mokėtojo kodas</w:t>
    </w:r>
    <w:r w:rsidR="00A1525D">
      <w:rPr>
        <w:sz w:val="16"/>
        <w:lang w:val="en-US"/>
      </w:rPr>
      <w:tab/>
    </w:r>
  </w:p>
  <w:p w14:paraId="30C7F6E0" w14:textId="77777777" w:rsidR="00A1525D" w:rsidRDefault="00A1525D">
    <w:pPr>
      <w:pStyle w:val="a6"/>
      <w:pBdr>
        <w:top w:val="single" w:sz="4" w:space="1" w:color="auto"/>
      </w:pBdr>
      <w:tabs>
        <w:tab w:val="clear" w:pos="4153"/>
        <w:tab w:val="clear" w:pos="8306"/>
        <w:tab w:val="left" w:pos="1134"/>
        <w:tab w:val="left" w:pos="1701"/>
        <w:tab w:val="left" w:pos="2127"/>
        <w:tab w:val="left" w:pos="3402"/>
        <w:tab w:val="left" w:pos="4111"/>
        <w:tab w:val="left" w:pos="4678"/>
        <w:tab w:val="left" w:pos="5387"/>
        <w:tab w:val="right" w:pos="9356"/>
      </w:tabs>
    </w:pPr>
    <w:r>
      <w:rPr>
        <w:sz w:val="16"/>
      </w:rPr>
      <w:tab/>
    </w:r>
    <w:r>
      <w:rPr>
        <w:sz w:val="16"/>
      </w:rPr>
      <w:tab/>
    </w:r>
    <w:r>
      <w:rPr>
        <w:sz w:val="16"/>
      </w:rPr>
      <w:tab/>
    </w:r>
    <w:r>
      <w:rPr>
        <w:sz w:val="16"/>
      </w:rPr>
      <w:tab/>
      <w:t xml:space="preserve"> </w:t>
    </w:r>
    <w:r>
      <w:rPr>
        <w:color w:val="000000"/>
        <w:sz w:val="16"/>
      </w:rPr>
      <w:t>LT 554500811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20572" w14:textId="77777777" w:rsidR="00AC3E28" w:rsidRDefault="00AC3E28">
      <w:r>
        <w:separator/>
      </w:r>
    </w:p>
  </w:footnote>
  <w:footnote w:type="continuationSeparator" w:id="0">
    <w:p w14:paraId="3EFAF827" w14:textId="77777777" w:rsidR="00AC3E28" w:rsidRDefault="00AC3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94F65" w14:textId="77777777" w:rsidR="00A1525D" w:rsidRDefault="00A1525D">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987B48E" w14:textId="77777777" w:rsidR="00A1525D" w:rsidRDefault="00A152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2823522"/>
      <w:docPartObj>
        <w:docPartGallery w:val="Page Numbers (Top of Page)"/>
        <w:docPartUnique/>
      </w:docPartObj>
    </w:sdtPr>
    <w:sdtContent>
      <w:p w14:paraId="12DA215C" w14:textId="5A472DAC" w:rsidR="009A61A2" w:rsidRDefault="009A61A2">
        <w:pPr>
          <w:pStyle w:val="a3"/>
          <w:jc w:val="center"/>
        </w:pPr>
        <w:r>
          <w:fldChar w:fldCharType="begin"/>
        </w:r>
        <w:r>
          <w:instrText>PAGE   \* MERGEFORMAT</w:instrText>
        </w:r>
        <w:r>
          <w:fldChar w:fldCharType="separate"/>
        </w:r>
        <w:r>
          <w:rPr>
            <w:lang w:val="ru-RU"/>
          </w:rPr>
          <w:t>2</w:t>
        </w:r>
        <w:r>
          <w:fldChar w:fldCharType="end"/>
        </w:r>
      </w:p>
    </w:sdtContent>
  </w:sdt>
  <w:p w14:paraId="3F608099" w14:textId="77777777" w:rsidR="009A61A2" w:rsidRDefault="009A61A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64CEB"/>
    <w:multiLevelType w:val="hybridMultilevel"/>
    <w:tmpl w:val="5A68D61E"/>
    <w:lvl w:ilvl="0" w:tplc="524A69AC">
      <w:start w:val="1"/>
      <w:numFmt w:val="decimal"/>
      <w:lvlText w:val="%1."/>
      <w:lvlJc w:val="left"/>
      <w:pPr>
        <w:tabs>
          <w:tab w:val="num" w:pos="2762"/>
        </w:tabs>
        <w:ind w:left="2762" w:hanging="1515"/>
      </w:pPr>
      <w:rPr>
        <w:rFonts w:hint="default"/>
      </w:rPr>
    </w:lvl>
    <w:lvl w:ilvl="1" w:tplc="04190019" w:tentative="1">
      <w:start w:val="1"/>
      <w:numFmt w:val="lowerLetter"/>
      <w:lvlText w:val="%2."/>
      <w:lvlJc w:val="left"/>
      <w:pPr>
        <w:tabs>
          <w:tab w:val="num" w:pos="2327"/>
        </w:tabs>
        <w:ind w:left="2327" w:hanging="360"/>
      </w:pPr>
    </w:lvl>
    <w:lvl w:ilvl="2" w:tplc="0419001B" w:tentative="1">
      <w:start w:val="1"/>
      <w:numFmt w:val="lowerRoman"/>
      <w:lvlText w:val="%3."/>
      <w:lvlJc w:val="right"/>
      <w:pPr>
        <w:tabs>
          <w:tab w:val="num" w:pos="3047"/>
        </w:tabs>
        <w:ind w:left="3047" w:hanging="180"/>
      </w:pPr>
    </w:lvl>
    <w:lvl w:ilvl="3" w:tplc="0419000F" w:tentative="1">
      <w:start w:val="1"/>
      <w:numFmt w:val="decimal"/>
      <w:lvlText w:val="%4."/>
      <w:lvlJc w:val="left"/>
      <w:pPr>
        <w:tabs>
          <w:tab w:val="num" w:pos="3767"/>
        </w:tabs>
        <w:ind w:left="3767" w:hanging="360"/>
      </w:pPr>
    </w:lvl>
    <w:lvl w:ilvl="4" w:tplc="04190019" w:tentative="1">
      <w:start w:val="1"/>
      <w:numFmt w:val="lowerLetter"/>
      <w:lvlText w:val="%5."/>
      <w:lvlJc w:val="left"/>
      <w:pPr>
        <w:tabs>
          <w:tab w:val="num" w:pos="4487"/>
        </w:tabs>
        <w:ind w:left="4487" w:hanging="360"/>
      </w:pPr>
    </w:lvl>
    <w:lvl w:ilvl="5" w:tplc="0419001B" w:tentative="1">
      <w:start w:val="1"/>
      <w:numFmt w:val="lowerRoman"/>
      <w:lvlText w:val="%6."/>
      <w:lvlJc w:val="right"/>
      <w:pPr>
        <w:tabs>
          <w:tab w:val="num" w:pos="5207"/>
        </w:tabs>
        <w:ind w:left="5207" w:hanging="180"/>
      </w:pPr>
    </w:lvl>
    <w:lvl w:ilvl="6" w:tplc="0419000F" w:tentative="1">
      <w:start w:val="1"/>
      <w:numFmt w:val="decimal"/>
      <w:lvlText w:val="%7."/>
      <w:lvlJc w:val="left"/>
      <w:pPr>
        <w:tabs>
          <w:tab w:val="num" w:pos="5927"/>
        </w:tabs>
        <w:ind w:left="5927" w:hanging="360"/>
      </w:pPr>
    </w:lvl>
    <w:lvl w:ilvl="7" w:tplc="04190019" w:tentative="1">
      <w:start w:val="1"/>
      <w:numFmt w:val="lowerLetter"/>
      <w:lvlText w:val="%8."/>
      <w:lvlJc w:val="left"/>
      <w:pPr>
        <w:tabs>
          <w:tab w:val="num" w:pos="6647"/>
        </w:tabs>
        <w:ind w:left="6647" w:hanging="360"/>
      </w:pPr>
    </w:lvl>
    <w:lvl w:ilvl="8" w:tplc="0419001B" w:tentative="1">
      <w:start w:val="1"/>
      <w:numFmt w:val="lowerRoman"/>
      <w:lvlText w:val="%9."/>
      <w:lvlJc w:val="right"/>
      <w:pPr>
        <w:tabs>
          <w:tab w:val="num" w:pos="7367"/>
        </w:tabs>
        <w:ind w:left="7367" w:hanging="180"/>
      </w:pPr>
    </w:lvl>
  </w:abstractNum>
  <w:abstractNum w:abstractNumId="1" w15:restartNumberingAfterBreak="0">
    <w:nsid w:val="0FE03A48"/>
    <w:multiLevelType w:val="hybridMultilevel"/>
    <w:tmpl w:val="B03C6AE0"/>
    <w:lvl w:ilvl="0" w:tplc="9216C0CA">
      <w:start w:val="1"/>
      <w:numFmt w:val="decimal"/>
      <w:lvlText w:val="%1."/>
      <w:lvlJc w:val="left"/>
      <w:pPr>
        <w:ind w:left="720" w:hanging="360"/>
      </w:pPr>
      <w:rPr>
        <w:rFonts w:ascii="Times New Roman Bold" w:hAnsi="Times New Roman Bold"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0C1EEB"/>
    <w:multiLevelType w:val="hybridMultilevel"/>
    <w:tmpl w:val="A9D03C22"/>
    <w:lvl w:ilvl="0" w:tplc="4F54DE46">
      <w:start w:val="1"/>
      <w:numFmt w:val="decimal"/>
      <w:lvlText w:val="%1."/>
      <w:lvlJc w:val="left"/>
      <w:pPr>
        <w:ind w:left="1607" w:hanging="360"/>
      </w:pPr>
      <w:rPr>
        <w:rFonts w:hint="default"/>
      </w:rPr>
    </w:lvl>
    <w:lvl w:ilvl="1" w:tplc="04190019" w:tentative="1">
      <w:start w:val="1"/>
      <w:numFmt w:val="lowerLetter"/>
      <w:lvlText w:val="%2."/>
      <w:lvlJc w:val="left"/>
      <w:pPr>
        <w:ind w:left="2327" w:hanging="360"/>
      </w:pPr>
    </w:lvl>
    <w:lvl w:ilvl="2" w:tplc="0419001B" w:tentative="1">
      <w:start w:val="1"/>
      <w:numFmt w:val="lowerRoman"/>
      <w:lvlText w:val="%3."/>
      <w:lvlJc w:val="right"/>
      <w:pPr>
        <w:ind w:left="3047" w:hanging="180"/>
      </w:pPr>
    </w:lvl>
    <w:lvl w:ilvl="3" w:tplc="0419000F" w:tentative="1">
      <w:start w:val="1"/>
      <w:numFmt w:val="decimal"/>
      <w:lvlText w:val="%4."/>
      <w:lvlJc w:val="left"/>
      <w:pPr>
        <w:ind w:left="3767" w:hanging="360"/>
      </w:pPr>
    </w:lvl>
    <w:lvl w:ilvl="4" w:tplc="04190019" w:tentative="1">
      <w:start w:val="1"/>
      <w:numFmt w:val="lowerLetter"/>
      <w:lvlText w:val="%5."/>
      <w:lvlJc w:val="left"/>
      <w:pPr>
        <w:ind w:left="4487" w:hanging="360"/>
      </w:pPr>
    </w:lvl>
    <w:lvl w:ilvl="5" w:tplc="0419001B" w:tentative="1">
      <w:start w:val="1"/>
      <w:numFmt w:val="lowerRoman"/>
      <w:lvlText w:val="%6."/>
      <w:lvlJc w:val="right"/>
      <w:pPr>
        <w:ind w:left="5207" w:hanging="180"/>
      </w:pPr>
    </w:lvl>
    <w:lvl w:ilvl="6" w:tplc="0419000F" w:tentative="1">
      <w:start w:val="1"/>
      <w:numFmt w:val="decimal"/>
      <w:lvlText w:val="%7."/>
      <w:lvlJc w:val="left"/>
      <w:pPr>
        <w:ind w:left="5927" w:hanging="360"/>
      </w:pPr>
    </w:lvl>
    <w:lvl w:ilvl="7" w:tplc="04190019" w:tentative="1">
      <w:start w:val="1"/>
      <w:numFmt w:val="lowerLetter"/>
      <w:lvlText w:val="%8."/>
      <w:lvlJc w:val="left"/>
      <w:pPr>
        <w:ind w:left="6647" w:hanging="360"/>
      </w:pPr>
    </w:lvl>
    <w:lvl w:ilvl="8" w:tplc="0419001B" w:tentative="1">
      <w:start w:val="1"/>
      <w:numFmt w:val="lowerRoman"/>
      <w:lvlText w:val="%9."/>
      <w:lvlJc w:val="right"/>
      <w:pPr>
        <w:ind w:left="7367" w:hanging="180"/>
      </w:pPr>
    </w:lvl>
  </w:abstractNum>
  <w:abstractNum w:abstractNumId="3" w15:restartNumberingAfterBreak="0">
    <w:nsid w:val="416D2D45"/>
    <w:multiLevelType w:val="hybridMultilevel"/>
    <w:tmpl w:val="ABB4C316"/>
    <w:lvl w:ilvl="0" w:tplc="B7BE72E2">
      <w:start w:val="1"/>
      <w:numFmt w:val="decimal"/>
      <w:lvlText w:val="%1."/>
      <w:lvlJc w:val="left"/>
      <w:pPr>
        <w:tabs>
          <w:tab w:val="num" w:pos="1607"/>
        </w:tabs>
        <w:ind w:left="1607" w:hanging="360"/>
      </w:pPr>
      <w:rPr>
        <w:rFonts w:hint="default"/>
      </w:rPr>
    </w:lvl>
    <w:lvl w:ilvl="1" w:tplc="04190019" w:tentative="1">
      <w:start w:val="1"/>
      <w:numFmt w:val="lowerLetter"/>
      <w:lvlText w:val="%2."/>
      <w:lvlJc w:val="left"/>
      <w:pPr>
        <w:tabs>
          <w:tab w:val="num" w:pos="2327"/>
        </w:tabs>
        <w:ind w:left="2327" w:hanging="360"/>
      </w:pPr>
    </w:lvl>
    <w:lvl w:ilvl="2" w:tplc="0419001B" w:tentative="1">
      <w:start w:val="1"/>
      <w:numFmt w:val="lowerRoman"/>
      <w:lvlText w:val="%3."/>
      <w:lvlJc w:val="right"/>
      <w:pPr>
        <w:tabs>
          <w:tab w:val="num" w:pos="3047"/>
        </w:tabs>
        <w:ind w:left="3047" w:hanging="180"/>
      </w:pPr>
    </w:lvl>
    <w:lvl w:ilvl="3" w:tplc="0419000F" w:tentative="1">
      <w:start w:val="1"/>
      <w:numFmt w:val="decimal"/>
      <w:lvlText w:val="%4."/>
      <w:lvlJc w:val="left"/>
      <w:pPr>
        <w:tabs>
          <w:tab w:val="num" w:pos="3767"/>
        </w:tabs>
        <w:ind w:left="3767" w:hanging="360"/>
      </w:pPr>
    </w:lvl>
    <w:lvl w:ilvl="4" w:tplc="04190019" w:tentative="1">
      <w:start w:val="1"/>
      <w:numFmt w:val="lowerLetter"/>
      <w:lvlText w:val="%5."/>
      <w:lvlJc w:val="left"/>
      <w:pPr>
        <w:tabs>
          <w:tab w:val="num" w:pos="4487"/>
        </w:tabs>
        <w:ind w:left="4487" w:hanging="360"/>
      </w:pPr>
    </w:lvl>
    <w:lvl w:ilvl="5" w:tplc="0419001B" w:tentative="1">
      <w:start w:val="1"/>
      <w:numFmt w:val="lowerRoman"/>
      <w:lvlText w:val="%6."/>
      <w:lvlJc w:val="right"/>
      <w:pPr>
        <w:tabs>
          <w:tab w:val="num" w:pos="5207"/>
        </w:tabs>
        <w:ind w:left="5207" w:hanging="180"/>
      </w:pPr>
    </w:lvl>
    <w:lvl w:ilvl="6" w:tplc="0419000F" w:tentative="1">
      <w:start w:val="1"/>
      <w:numFmt w:val="decimal"/>
      <w:lvlText w:val="%7."/>
      <w:lvlJc w:val="left"/>
      <w:pPr>
        <w:tabs>
          <w:tab w:val="num" w:pos="5927"/>
        </w:tabs>
        <w:ind w:left="5927" w:hanging="360"/>
      </w:pPr>
    </w:lvl>
    <w:lvl w:ilvl="7" w:tplc="04190019" w:tentative="1">
      <w:start w:val="1"/>
      <w:numFmt w:val="lowerLetter"/>
      <w:lvlText w:val="%8."/>
      <w:lvlJc w:val="left"/>
      <w:pPr>
        <w:tabs>
          <w:tab w:val="num" w:pos="6647"/>
        </w:tabs>
        <w:ind w:left="6647" w:hanging="360"/>
      </w:pPr>
    </w:lvl>
    <w:lvl w:ilvl="8" w:tplc="0419001B" w:tentative="1">
      <w:start w:val="1"/>
      <w:numFmt w:val="lowerRoman"/>
      <w:lvlText w:val="%9."/>
      <w:lvlJc w:val="right"/>
      <w:pPr>
        <w:tabs>
          <w:tab w:val="num" w:pos="7367"/>
        </w:tabs>
        <w:ind w:left="7367" w:hanging="180"/>
      </w:pPr>
    </w:lvl>
  </w:abstractNum>
  <w:abstractNum w:abstractNumId="4" w15:restartNumberingAfterBreak="0">
    <w:nsid w:val="45631EC5"/>
    <w:multiLevelType w:val="hybridMultilevel"/>
    <w:tmpl w:val="DC041CDA"/>
    <w:lvl w:ilvl="0" w:tplc="4F54DE46">
      <w:start w:val="1"/>
      <w:numFmt w:val="decimal"/>
      <w:lvlText w:val="%1."/>
      <w:lvlJc w:val="left"/>
      <w:pPr>
        <w:ind w:left="1607" w:hanging="360"/>
      </w:pPr>
      <w:rPr>
        <w:rFonts w:hint="default"/>
      </w:rPr>
    </w:lvl>
    <w:lvl w:ilvl="1" w:tplc="04190019" w:tentative="1">
      <w:start w:val="1"/>
      <w:numFmt w:val="lowerLetter"/>
      <w:lvlText w:val="%2."/>
      <w:lvlJc w:val="left"/>
      <w:pPr>
        <w:ind w:left="2327" w:hanging="360"/>
      </w:pPr>
    </w:lvl>
    <w:lvl w:ilvl="2" w:tplc="0419001B" w:tentative="1">
      <w:start w:val="1"/>
      <w:numFmt w:val="lowerRoman"/>
      <w:lvlText w:val="%3."/>
      <w:lvlJc w:val="right"/>
      <w:pPr>
        <w:ind w:left="3047" w:hanging="180"/>
      </w:pPr>
    </w:lvl>
    <w:lvl w:ilvl="3" w:tplc="0419000F" w:tentative="1">
      <w:start w:val="1"/>
      <w:numFmt w:val="decimal"/>
      <w:lvlText w:val="%4."/>
      <w:lvlJc w:val="left"/>
      <w:pPr>
        <w:ind w:left="3767" w:hanging="360"/>
      </w:pPr>
    </w:lvl>
    <w:lvl w:ilvl="4" w:tplc="04190019" w:tentative="1">
      <w:start w:val="1"/>
      <w:numFmt w:val="lowerLetter"/>
      <w:lvlText w:val="%5."/>
      <w:lvlJc w:val="left"/>
      <w:pPr>
        <w:ind w:left="4487" w:hanging="360"/>
      </w:pPr>
    </w:lvl>
    <w:lvl w:ilvl="5" w:tplc="0419001B" w:tentative="1">
      <w:start w:val="1"/>
      <w:numFmt w:val="lowerRoman"/>
      <w:lvlText w:val="%6."/>
      <w:lvlJc w:val="right"/>
      <w:pPr>
        <w:ind w:left="5207" w:hanging="180"/>
      </w:pPr>
    </w:lvl>
    <w:lvl w:ilvl="6" w:tplc="0419000F" w:tentative="1">
      <w:start w:val="1"/>
      <w:numFmt w:val="decimal"/>
      <w:lvlText w:val="%7."/>
      <w:lvlJc w:val="left"/>
      <w:pPr>
        <w:ind w:left="5927" w:hanging="360"/>
      </w:pPr>
    </w:lvl>
    <w:lvl w:ilvl="7" w:tplc="04190019" w:tentative="1">
      <w:start w:val="1"/>
      <w:numFmt w:val="lowerLetter"/>
      <w:lvlText w:val="%8."/>
      <w:lvlJc w:val="left"/>
      <w:pPr>
        <w:ind w:left="6647" w:hanging="360"/>
      </w:pPr>
    </w:lvl>
    <w:lvl w:ilvl="8" w:tplc="0419001B" w:tentative="1">
      <w:start w:val="1"/>
      <w:numFmt w:val="lowerRoman"/>
      <w:lvlText w:val="%9."/>
      <w:lvlJc w:val="right"/>
      <w:pPr>
        <w:ind w:left="7367" w:hanging="180"/>
      </w:pPr>
    </w:lvl>
  </w:abstractNum>
  <w:abstractNum w:abstractNumId="5" w15:restartNumberingAfterBreak="0">
    <w:nsid w:val="4C226862"/>
    <w:multiLevelType w:val="hybridMultilevel"/>
    <w:tmpl w:val="008A2560"/>
    <w:lvl w:ilvl="0" w:tplc="2154E580">
      <w:start w:val="1"/>
      <w:numFmt w:val="decimal"/>
      <w:lvlText w:val="%1."/>
      <w:lvlJc w:val="left"/>
      <w:pPr>
        <w:tabs>
          <w:tab w:val="num" w:pos="1607"/>
        </w:tabs>
        <w:ind w:left="1607" w:hanging="360"/>
      </w:pPr>
      <w:rPr>
        <w:rFonts w:ascii="Times New Roman" w:eastAsia="Times New Roman" w:hAnsi="Times New Roman" w:cs="Times New Roman"/>
      </w:rPr>
    </w:lvl>
    <w:lvl w:ilvl="1" w:tplc="04190019" w:tentative="1">
      <w:start w:val="1"/>
      <w:numFmt w:val="lowerLetter"/>
      <w:lvlText w:val="%2."/>
      <w:lvlJc w:val="left"/>
      <w:pPr>
        <w:tabs>
          <w:tab w:val="num" w:pos="2327"/>
        </w:tabs>
        <w:ind w:left="2327" w:hanging="360"/>
      </w:pPr>
    </w:lvl>
    <w:lvl w:ilvl="2" w:tplc="0419001B" w:tentative="1">
      <w:start w:val="1"/>
      <w:numFmt w:val="lowerRoman"/>
      <w:lvlText w:val="%3."/>
      <w:lvlJc w:val="right"/>
      <w:pPr>
        <w:tabs>
          <w:tab w:val="num" w:pos="3047"/>
        </w:tabs>
        <w:ind w:left="3047" w:hanging="180"/>
      </w:pPr>
    </w:lvl>
    <w:lvl w:ilvl="3" w:tplc="0419000F" w:tentative="1">
      <w:start w:val="1"/>
      <w:numFmt w:val="decimal"/>
      <w:lvlText w:val="%4."/>
      <w:lvlJc w:val="left"/>
      <w:pPr>
        <w:tabs>
          <w:tab w:val="num" w:pos="3767"/>
        </w:tabs>
        <w:ind w:left="3767" w:hanging="360"/>
      </w:pPr>
    </w:lvl>
    <w:lvl w:ilvl="4" w:tplc="04190019" w:tentative="1">
      <w:start w:val="1"/>
      <w:numFmt w:val="lowerLetter"/>
      <w:lvlText w:val="%5."/>
      <w:lvlJc w:val="left"/>
      <w:pPr>
        <w:tabs>
          <w:tab w:val="num" w:pos="4487"/>
        </w:tabs>
        <w:ind w:left="4487" w:hanging="360"/>
      </w:pPr>
    </w:lvl>
    <w:lvl w:ilvl="5" w:tplc="0419001B" w:tentative="1">
      <w:start w:val="1"/>
      <w:numFmt w:val="lowerRoman"/>
      <w:lvlText w:val="%6."/>
      <w:lvlJc w:val="right"/>
      <w:pPr>
        <w:tabs>
          <w:tab w:val="num" w:pos="5207"/>
        </w:tabs>
        <w:ind w:left="5207" w:hanging="180"/>
      </w:pPr>
    </w:lvl>
    <w:lvl w:ilvl="6" w:tplc="0419000F" w:tentative="1">
      <w:start w:val="1"/>
      <w:numFmt w:val="decimal"/>
      <w:lvlText w:val="%7."/>
      <w:lvlJc w:val="left"/>
      <w:pPr>
        <w:tabs>
          <w:tab w:val="num" w:pos="5927"/>
        </w:tabs>
        <w:ind w:left="5927" w:hanging="360"/>
      </w:pPr>
    </w:lvl>
    <w:lvl w:ilvl="7" w:tplc="04190019" w:tentative="1">
      <w:start w:val="1"/>
      <w:numFmt w:val="lowerLetter"/>
      <w:lvlText w:val="%8."/>
      <w:lvlJc w:val="left"/>
      <w:pPr>
        <w:tabs>
          <w:tab w:val="num" w:pos="6647"/>
        </w:tabs>
        <w:ind w:left="6647" w:hanging="360"/>
      </w:pPr>
    </w:lvl>
    <w:lvl w:ilvl="8" w:tplc="0419001B" w:tentative="1">
      <w:start w:val="1"/>
      <w:numFmt w:val="lowerRoman"/>
      <w:lvlText w:val="%9."/>
      <w:lvlJc w:val="right"/>
      <w:pPr>
        <w:tabs>
          <w:tab w:val="num" w:pos="7367"/>
        </w:tabs>
        <w:ind w:left="7367" w:hanging="180"/>
      </w:pPr>
    </w:lvl>
  </w:abstractNum>
  <w:abstractNum w:abstractNumId="6" w15:restartNumberingAfterBreak="0">
    <w:nsid w:val="4C74313D"/>
    <w:multiLevelType w:val="hybridMultilevel"/>
    <w:tmpl w:val="D452C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C330D3"/>
    <w:multiLevelType w:val="hybridMultilevel"/>
    <w:tmpl w:val="ACE20FF4"/>
    <w:lvl w:ilvl="0" w:tplc="0427000F">
      <w:start w:val="1"/>
      <w:numFmt w:val="decimal"/>
      <w:lvlText w:val="%1."/>
      <w:lvlJc w:val="left"/>
      <w:pPr>
        <w:ind w:left="1967" w:hanging="360"/>
      </w:p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8" w15:restartNumberingAfterBreak="0">
    <w:nsid w:val="6CA844C1"/>
    <w:multiLevelType w:val="hybridMultilevel"/>
    <w:tmpl w:val="CFA43F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178682F"/>
    <w:multiLevelType w:val="hybridMultilevel"/>
    <w:tmpl w:val="6090CCCA"/>
    <w:lvl w:ilvl="0" w:tplc="0409000F">
      <w:start w:val="1"/>
      <w:numFmt w:val="decimal"/>
      <w:lvlText w:val="%1."/>
      <w:lvlJc w:val="left"/>
      <w:pPr>
        <w:tabs>
          <w:tab w:val="num" w:pos="2030"/>
        </w:tabs>
        <w:ind w:left="2030" w:hanging="360"/>
      </w:pPr>
    </w:lvl>
    <w:lvl w:ilvl="1" w:tplc="04090019" w:tentative="1">
      <w:start w:val="1"/>
      <w:numFmt w:val="lowerLetter"/>
      <w:lvlText w:val="%2."/>
      <w:lvlJc w:val="left"/>
      <w:pPr>
        <w:tabs>
          <w:tab w:val="num" w:pos="2750"/>
        </w:tabs>
        <w:ind w:left="2750" w:hanging="360"/>
      </w:pPr>
    </w:lvl>
    <w:lvl w:ilvl="2" w:tplc="0409001B" w:tentative="1">
      <w:start w:val="1"/>
      <w:numFmt w:val="lowerRoman"/>
      <w:lvlText w:val="%3."/>
      <w:lvlJc w:val="right"/>
      <w:pPr>
        <w:tabs>
          <w:tab w:val="num" w:pos="3470"/>
        </w:tabs>
        <w:ind w:left="3470" w:hanging="180"/>
      </w:pPr>
    </w:lvl>
    <w:lvl w:ilvl="3" w:tplc="0409000F" w:tentative="1">
      <w:start w:val="1"/>
      <w:numFmt w:val="decimal"/>
      <w:lvlText w:val="%4."/>
      <w:lvlJc w:val="left"/>
      <w:pPr>
        <w:tabs>
          <w:tab w:val="num" w:pos="4190"/>
        </w:tabs>
        <w:ind w:left="4190" w:hanging="360"/>
      </w:pPr>
    </w:lvl>
    <w:lvl w:ilvl="4" w:tplc="04090019" w:tentative="1">
      <w:start w:val="1"/>
      <w:numFmt w:val="lowerLetter"/>
      <w:lvlText w:val="%5."/>
      <w:lvlJc w:val="left"/>
      <w:pPr>
        <w:tabs>
          <w:tab w:val="num" w:pos="4910"/>
        </w:tabs>
        <w:ind w:left="4910" w:hanging="360"/>
      </w:pPr>
    </w:lvl>
    <w:lvl w:ilvl="5" w:tplc="0409001B" w:tentative="1">
      <w:start w:val="1"/>
      <w:numFmt w:val="lowerRoman"/>
      <w:lvlText w:val="%6."/>
      <w:lvlJc w:val="right"/>
      <w:pPr>
        <w:tabs>
          <w:tab w:val="num" w:pos="5630"/>
        </w:tabs>
        <w:ind w:left="5630" w:hanging="180"/>
      </w:pPr>
    </w:lvl>
    <w:lvl w:ilvl="6" w:tplc="0409000F" w:tentative="1">
      <w:start w:val="1"/>
      <w:numFmt w:val="decimal"/>
      <w:lvlText w:val="%7."/>
      <w:lvlJc w:val="left"/>
      <w:pPr>
        <w:tabs>
          <w:tab w:val="num" w:pos="6350"/>
        </w:tabs>
        <w:ind w:left="6350" w:hanging="360"/>
      </w:pPr>
    </w:lvl>
    <w:lvl w:ilvl="7" w:tplc="04090019" w:tentative="1">
      <w:start w:val="1"/>
      <w:numFmt w:val="lowerLetter"/>
      <w:lvlText w:val="%8."/>
      <w:lvlJc w:val="left"/>
      <w:pPr>
        <w:tabs>
          <w:tab w:val="num" w:pos="7070"/>
        </w:tabs>
        <w:ind w:left="7070" w:hanging="360"/>
      </w:pPr>
    </w:lvl>
    <w:lvl w:ilvl="8" w:tplc="0409001B" w:tentative="1">
      <w:start w:val="1"/>
      <w:numFmt w:val="lowerRoman"/>
      <w:lvlText w:val="%9."/>
      <w:lvlJc w:val="right"/>
      <w:pPr>
        <w:tabs>
          <w:tab w:val="num" w:pos="7790"/>
        </w:tabs>
        <w:ind w:left="7790" w:hanging="180"/>
      </w:pPr>
    </w:lvl>
  </w:abstractNum>
  <w:num w:numId="1">
    <w:abstractNumId w:val="5"/>
  </w:num>
  <w:num w:numId="2">
    <w:abstractNumId w:val="0"/>
  </w:num>
  <w:num w:numId="3">
    <w:abstractNumId w:val="3"/>
  </w:num>
  <w:num w:numId="4">
    <w:abstractNumId w:val="8"/>
  </w:num>
  <w:num w:numId="5">
    <w:abstractNumId w:val="9"/>
  </w:num>
  <w:num w:numId="6">
    <w:abstractNumId w:val="6"/>
  </w:num>
  <w:num w:numId="7">
    <w:abstractNumId w:val="2"/>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10"/>
    <w:rsid w:val="00012234"/>
    <w:rsid w:val="00020F03"/>
    <w:rsid w:val="0006363C"/>
    <w:rsid w:val="00090F23"/>
    <w:rsid w:val="00091386"/>
    <w:rsid w:val="00094506"/>
    <w:rsid w:val="000B4C31"/>
    <w:rsid w:val="000C46C2"/>
    <w:rsid w:val="000D54DF"/>
    <w:rsid w:val="000F4602"/>
    <w:rsid w:val="0011644C"/>
    <w:rsid w:val="00137957"/>
    <w:rsid w:val="001452FF"/>
    <w:rsid w:val="001457AC"/>
    <w:rsid w:val="0015271A"/>
    <w:rsid w:val="001D1234"/>
    <w:rsid w:val="001F0BC6"/>
    <w:rsid w:val="002650F1"/>
    <w:rsid w:val="00270C55"/>
    <w:rsid w:val="00280912"/>
    <w:rsid w:val="002C4A86"/>
    <w:rsid w:val="00323CC4"/>
    <w:rsid w:val="003271D3"/>
    <w:rsid w:val="00344B97"/>
    <w:rsid w:val="003502D0"/>
    <w:rsid w:val="0035531C"/>
    <w:rsid w:val="00376D96"/>
    <w:rsid w:val="00391921"/>
    <w:rsid w:val="003A57BA"/>
    <w:rsid w:val="003B3522"/>
    <w:rsid w:val="003C2E0D"/>
    <w:rsid w:val="003C5624"/>
    <w:rsid w:val="003D0412"/>
    <w:rsid w:val="003D4A76"/>
    <w:rsid w:val="003E1921"/>
    <w:rsid w:val="003F6AA1"/>
    <w:rsid w:val="00421D79"/>
    <w:rsid w:val="00442267"/>
    <w:rsid w:val="00492D10"/>
    <w:rsid w:val="004A3543"/>
    <w:rsid w:val="004D0D6B"/>
    <w:rsid w:val="004D6AFB"/>
    <w:rsid w:val="004E1CE6"/>
    <w:rsid w:val="004F2275"/>
    <w:rsid w:val="005007DC"/>
    <w:rsid w:val="00501D9C"/>
    <w:rsid w:val="00511BDE"/>
    <w:rsid w:val="00562BFB"/>
    <w:rsid w:val="00574CB1"/>
    <w:rsid w:val="005B1BEC"/>
    <w:rsid w:val="005B30E7"/>
    <w:rsid w:val="005E4EB3"/>
    <w:rsid w:val="00601714"/>
    <w:rsid w:val="00602B74"/>
    <w:rsid w:val="00662284"/>
    <w:rsid w:val="006665DD"/>
    <w:rsid w:val="00670C66"/>
    <w:rsid w:val="0069328E"/>
    <w:rsid w:val="006A69F4"/>
    <w:rsid w:val="006E3E00"/>
    <w:rsid w:val="007024D2"/>
    <w:rsid w:val="00705835"/>
    <w:rsid w:val="00714196"/>
    <w:rsid w:val="00727012"/>
    <w:rsid w:val="007377C3"/>
    <w:rsid w:val="007735E2"/>
    <w:rsid w:val="007902DA"/>
    <w:rsid w:val="007C2750"/>
    <w:rsid w:val="007C4BB3"/>
    <w:rsid w:val="007E3FE8"/>
    <w:rsid w:val="007F2039"/>
    <w:rsid w:val="00814F7A"/>
    <w:rsid w:val="0081644F"/>
    <w:rsid w:val="0082092F"/>
    <w:rsid w:val="00842512"/>
    <w:rsid w:val="00883886"/>
    <w:rsid w:val="00896361"/>
    <w:rsid w:val="00916434"/>
    <w:rsid w:val="00922B1F"/>
    <w:rsid w:val="00926751"/>
    <w:rsid w:val="009326C4"/>
    <w:rsid w:val="00950FFC"/>
    <w:rsid w:val="00952306"/>
    <w:rsid w:val="009569A6"/>
    <w:rsid w:val="00962823"/>
    <w:rsid w:val="00977C5D"/>
    <w:rsid w:val="0098421E"/>
    <w:rsid w:val="00984E42"/>
    <w:rsid w:val="009A4692"/>
    <w:rsid w:val="009A4961"/>
    <w:rsid w:val="009A61A2"/>
    <w:rsid w:val="009B4539"/>
    <w:rsid w:val="009C47D1"/>
    <w:rsid w:val="009D75D1"/>
    <w:rsid w:val="00A0040D"/>
    <w:rsid w:val="00A033BC"/>
    <w:rsid w:val="00A1525D"/>
    <w:rsid w:val="00A179FB"/>
    <w:rsid w:val="00A227CD"/>
    <w:rsid w:val="00A31415"/>
    <w:rsid w:val="00A70AE7"/>
    <w:rsid w:val="00A85924"/>
    <w:rsid w:val="00A914CF"/>
    <w:rsid w:val="00A93124"/>
    <w:rsid w:val="00AC2B18"/>
    <w:rsid w:val="00AC3E28"/>
    <w:rsid w:val="00AD29D3"/>
    <w:rsid w:val="00AF2D0A"/>
    <w:rsid w:val="00B015D0"/>
    <w:rsid w:val="00B02D14"/>
    <w:rsid w:val="00B21F3B"/>
    <w:rsid w:val="00B22441"/>
    <w:rsid w:val="00B33B78"/>
    <w:rsid w:val="00B5499E"/>
    <w:rsid w:val="00B57E9F"/>
    <w:rsid w:val="00B671B4"/>
    <w:rsid w:val="00B753AB"/>
    <w:rsid w:val="00B80A9A"/>
    <w:rsid w:val="00B95680"/>
    <w:rsid w:val="00B97FF5"/>
    <w:rsid w:val="00BA4EBB"/>
    <w:rsid w:val="00BA7077"/>
    <w:rsid w:val="00BA7FD9"/>
    <w:rsid w:val="00BB1DD8"/>
    <w:rsid w:val="00BC1E18"/>
    <w:rsid w:val="00BD644F"/>
    <w:rsid w:val="00BE2831"/>
    <w:rsid w:val="00BE55E8"/>
    <w:rsid w:val="00C14B77"/>
    <w:rsid w:val="00C20EFC"/>
    <w:rsid w:val="00C42FE5"/>
    <w:rsid w:val="00C6133F"/>
    <w:rsid w:val="00C711C4"/>
    <w:rsid w:val="00C72684"/>
    <w:rsid w:val="00C72982"/>
    <w:rsid w:val="00C935B2"/>
    <w:rsid w:val="00CB217D"/>
    <w:rsid w:val="00CD27A2"/>
    <w:rsid w:val="00D05A57"/>
    <w:rsid w:val="00D10EED"/>
    <w:rsid w:val="00D17337"/>
    <w:rsid w:val="00D41C8E"/>
    <w:rsid w:val="00D45325"/>
    <w:rsid w:val="00D45980"/>
    <w:rsid w:val="00D6145B"/>
    <w:rsid w:val="00D77BFE"/>
    <w:rsid w:val="00DA3E0C"/>
    <w:rsid w:val="00DA5563"/>
    <w:rsid w:val="00DE1759"/>
    <w:rsid w:val="00DE1DD6"/>
    <w:rsid w:val="00E32C32"/>
    <w:rsid w:val="00E35045"/>
    <w:rsid w:val="00E37C4E"/>
    <w:rsid w:val="00E67DD8"/>
    <w:rsid w:val="00E71868"/>
    <w:rsid w:val="00EB1194"/>
    <w:rsid w:val="00EB6AE7"/>
    <w:rsid w:val="00EC00AD"/>
    <w:rsid w:val="00EE60C6"/>
    <w:rsid w:val="00EF3927"/>
    <w:rsid w:val="00F01F01"/>
    <w:rsid w:val="00F46FD6"/>
    <w:rsid w:val="00F72C65"/>
    <w:rsid w:val="00FA2C67"/>
    <w:rsid w:val="00FA3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7EEB00"/>
  <w15:chartTrackingRefBased/>
  <w15:docId w15:val="{736F9DD5-89C1-48D6-8C58-DF4CB504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jc w:val="center"/>
      <w:outlineLvl w:val="2"/>
    </w:pPr>
    <w:rPr>
      <w:bCs/>
      <w:caps/>
      <w:sz w:val="28"/>
      <w:lang w:val="en-US" w:eastAsia="en-US"/>
    </w:rPr>
  </w:style>
  <w:style w:type="paragraph" w:styleId="8">
    <w:name w:val="heading 8"/>
    <w:basedOn w:val="a"/>
    <w:next w:val="a"/>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overflowPunct w:val="0"/>
      <w:autoSpaceDE w:val="0"/>
      <w:autoSpaceDN w:val="0"/>
      <w:adjustRightInd w:val="0"/>
    </w:pPr>
    <w:rPr>
      <w:szCs w:val="20"/>
      <w:lang w:val="lt-LT" w:eastAsia="en-US"/>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lang w:val="lt-LT" w:eastAsia="en-US"/>
    </w:rPr>
  </w:style>
  <w:style w:type="paragraph" w:styleId="a5">
    <w:name w:val="Title"/>
    <w:basedOn w:val="a"/>
    <w:qFormat/>
    <w:pPr>
      <w:overflowPunct w:val="0"/>
      <w:autoSpaceDE w:val="0"/>
      <w:autoSpaceDN w:val="0"/>
      <w:adjustRightInd w:val="0"/>
      <w:jc w:val="center"/>
    </w:pPr>
    <w:rPr>
      <w:b/>
      <w:bCs/>
      <w:szCs w:val="20"/>
      <w:lang w:val="lt-LT" w:eastAsia="en-US"/>
    </w:rPr>
  </w:style>
  <w:style w:type="paragraph" w:styleId="a6">
    <w:name w:val="footer"/>
    <w:basedOn w:val="a"/>
    <w:semiHidden/>
    <w:pPr>
      <w:tabs>
        <w:tab w:val="center" w:pos="4153"/>
        <w:tab w:val="right" w:pos="8306"/>
      </w:tabs>
      <w:overflowPunct w:val="0"/>
      <w:autoSpaceDE w:val="0"/>
      <w:autoSpaceDN w:val="0"/>
      <w:adjustRightInd w:val="0"/>
    </w:pPr>
    <w:rPr>
      <w:szCs w:val="20"/>
      <w:lang w:val="lt-LT" w:eastAsia="en-US"/>
    </w:rPr>
  </w:style>
  <w:style w:type="paragraph" w:styleId="a7">
    <w:name w:val="caption"/>
    <w:basedOn w:val="a"/>
    <w:next w:val="a"/>
    <w:qFormat/>
    <w:pPr>
      <w:spacing w:before="600" w:after="360"/>
    </w:pPr>
    <w:rPr>
      <w:b/>
      <w:bCs/>
      <w:caps/>
      <w:szCs w:val="20"/>
      <w:lang w:val="lt-LT"/>
    </w:rPr>
  </w:style>
  <w:style w:type="paragraph" w:customStyle="1" w:styleId="Tekstas">
    <w:name w:val="Tekstas"/>
    <w:basedOn w:val="a"/>
    <w:pPr>
      <w:tabs>
        <w:tab w:val="left" w:pos="1418"/>
      </w:tabs>
      <w:spacing w:line="360" w:lineRule="auto"/>
      <w:jc w:val="both"/>
    </w:pPr>
    <w:rPr>
      <w:szCs w:val="20"/>
      <w:lang w:val="lt-LT"/>
    </w:rPr>
  </w:style>
  <w:style w:type="character" w:styleId="a8">
    <w:name w:val="page number"/>
    <w:basedOn w:val="a0"/>
    <w:semiHidden/>
  </w:style>
  <w:style w:type="paragraph" w:styleId="a9">
    <w:name w:val="Document Map"/>
    <w:basedOn w:val="a"/>
    <w:semiHidden/>
    <w:pPr>
      <w:shd w:val="clear" w:color="auto" w:fill="000080"/>
    </w:pPr>
    <w:rPr>
      <w:rFonts w:ascii="Tahoma" w:hAnsi="Tahoma" w:cs="Tahoma"/>
      <w:sz w:val="20"/>
      <w:szCs w:val="20"/>
    </w:rPr>
  </w:style>
  <w:style w:type="paragraph" w:customStyle="1" w:styleId="10">
    <w:name w:val="Текст выноски1"/>
    <w:basedOn w:val="a"/>
    <w:semiHidden/>
    <w:rPr>
      <w:rFonts w:ascii="Tahoma" w:hAnsi="Tahoma" w:cs="Tahoma"/>
      <w:sz w:val="16"/>
      <w:szCs w:val="16"/>
    </w:rPr>
  </w:style>
  <w:style w:type="paragraph" w:customStyle="1" w:styleId="20">
    <w:name w:val="Текст выноски2"/>
    <w:basedOn w:val="a"/>
    <w:semiHidden/>
    <w:rPr>
      <w:rFonts w:ascii="Tahoma" w:hAnsi="Tahoma" w:cs="Tahoma"/>
      <w:sz w:val="16"/>
      <w:szCs w:val="16"/>
    </w:rPr>
  </w:style>
  <w:style w:type="character" w:styleId="aa">
    <w:name w:val="Hyperlink"/>
    <w:semiHidden/>
    <w:rPr>
      <w:color w:val="616568"/>
      <w:u w:val="single"/>
    </w:rPr>
  </w:style>
  <w:style w:type="character" w:styleId="ab">
    <w:name w:val="Strong"/>
    <w:qFormat/>
    <w:rPr>
      <w:b/>
      <w:bCs/>
    </w:rPr>
  </w:style>
  <w:style w:type="paragraph" w:styleId="ac">
    <w:name w:val="Body Text Indent"/>
    <w:basedOn w:val="a"/>
    <w:link w:val="ad"/>
    <w:semiHidden/>
    <w:pPr>
      <w:tabs>
        <w:tab w:val="left" w:pos="1620"/>
      </w:tabs>
      <w:spacing w:line="360" w:lineRule="auto"/>
      <w:ind w:firstLine="1247"/>
      <w:jc w:val="both"/>
    </w:pPr>
    <w:rPr>
      <w:lang w:val="lt-LT"/>
    </w:rPr>
  </w:style>
  <w:style w:type="character" w:customStyle="1" w:styleId="ad">
    <w:name w:val="Основной текст с отступом Знак"/>
    <w:link w:val="ac"/>
    <w:semiHidden/>
    <w:rsid w:val="003C2E0D"/>
    <w:rPr>
      <w:sz w:val="24"/>
      <w:szCs w:val="24"/>
      <w:lang w:val="lt-LT"/>
    </w:rPr>
  </w:style>
  <w:style w:type="paragraph" w:styleId="ae">
    <w:name w:val="Balloon Text"/>
    <w:basedOn w:val="a"/>
    <w:link w:val="af"/>
    <w:uiPriority w:val="99"/>
    <w:semiHidden/>
    <w:unhideWhenUsed/>
    <w:rsid w:val="00977C5D"/>
    <w:rPr>
      <w:rFonts w:ascii="Segoe UI" w:hAnsi="Segoe UI" w:cs="Segoe UI"/>
      <w:sz w:val="18"/>
      <w:szCs w:val="18"/>
    </w:rPr>
  </w:style>
  <w:style w:type="character" w:customStyle="1" w:styleId="af">
    <w:name w:val="Текст выноски Знак"/>
    <w:basedOn w:val="a0"/>
    <w:link w:val="ae"/>
    <w:uiPriority w:val="99"/>
    <w:semiHidden/>
    <w:rsid w:val="00977C5D"/>
    <w:rPr>
      <w:rFonts w:ascii="Segoe UI" w:hAnsi="Segoe UI" w:cs="Segoe UI"/>
      <w:sz w:val="18"/>
      <w:szCs w:val="18"/>
    </w:rPr>
  </w:style>
  <w:style w:type="paragraph" w:styleId="af0">
    <w:name w:val="List Paragraph"/>
    <w:basedOn w:val="a"/>
    <w:uiPriority w:val="34"/>
    <w:qFormat/>
    <w:rsid w:val="0006363C"/>
    <w:pPr>
      <w:ind w:left="720"/>
      <w:contextualSpacing/>
    </w:pPr>
  </w:style>
  <w:style w:type="paragraph" w:customStyle="1" w:styleId="Default">
    <w:name w:val="Default"/>
    <w:rsid w:val="00D6145B"/>
    <w:pPr>
      <w:autoSpaceDE w:val="0"/>
      <w:autoSpaceDN w:val="0"/>
      <w:adjustRightInd w:val="0"/>
    </w:pPr>
    <w:rPr>
      <w:rFonts w:eastAsia="Calibri"/>
      <w:color w:val="000000"/>
      <w:sz w:val="24"/>
      <w:szCs w:val="24"/>
      <w:lang w:eastAsia="en-US"/>
    </w:rPr>
  </w:style>
  <w:style w:type="character" w:styleId="af1">
    <w:name w:val="Unresolved Mention"/>
    <w:basedOn w:val="a0"/>
    <w:uiPriority w:val="99"/>
    <w:semiHidden/>
    <w:unhideWhenUsed/>
    <w:rsid w:val="00D6145B"/>
    <w:rPr>
      <w:color w:val="605E5C"/>
      <w:shd w:val="clear" w:color="auto" w:fill="E1DFDD"/>
    </w:rPr>
  </w:style>
  <w:style w:type="character" w:customStyle="1" w:styleId="a4">
    <w:name w:val="Верхний колонтитул Знак"/>
    <w:basedOn w:val="a0"/>
    <w:link w:val="a3"/>
    <w:uiPriority w:val="99"/>
    <w:rsid w:val="009A61A2"/>
    <w:rPr>
      <w:sz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24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birute.purliene@vatesi.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_rels/footer1.xml.rels><?xml version="1.0" encoding="UTF-8" standalone="yes"?>
<Relationships xmlns="http://schemas.openxmlformats.org/package/2006/relationships">
   <Relationship Id="rId1" Target="media/image2.jpeg"
                 Type="http://schemas.openxmlformats.org/officeDocument/2006/relationships/image"/>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0F2F3-0E45-40CF-BAA9-0B8B4D69A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1004</Words>
  <Characters>5725</Characters>
  <Application>Microsoft Office Word</Application>
  <DocSecurity>0</DocSecurity>
  <Lines>47</Lines>
  <Paragraphs>13</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 </vt:lpstr>
      <vt:lpstr> </vt:lpstr>
    </vt:vector>
  </TitlesOfParts>
  <Company>INPP</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2020-11-10T06:15:00Z</dcterms:created>
  <dc:creator>Buzina</dc:creator>
  <cp:lastModifiedBy>Šumilienė, Violeta</cp:lastModifiedBy>
  <cp:lastPrinted>2018-07-12T12:56:00Z</cp:lastPrinted>
  <dcterms:modified xsi:type="dcterms:W3CDTF">2020-11-10T06:27:00Z</dcterms:modified>
  <cp:revision>6</cp:revision>
  <dc:title> </dc:title>
</cp:coreProperties>
</file>