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4CAD" w14:textId="0EFF8E44" w:rsidR="00D8452B" w:rsidRDefault="00E341FD" w:rsidP="00112D4A">
      <w:pPr>
        <w:pStyle w:val="Pagrindinistekstas"/>
        <w:spacing w:after="0"/>
        <w:jc w:val="center"/>
        <w:rPr>
          <w:b/>
        </w:rPr>
      </w:pPr>
      <w:r w:rsidRPr="00AE6B59">
        <w:rPr>
          <w:b/>
        </w:rPr>
        <w:t>DI</w:t>
      </w:r>
      <w:r>
        <w:rPr>
          <w:b/>
        </w:rPr>
        <w:t>REKTYVOS</w:t>
      </w:r>
      <w:r w:rsidRPr="00AE6B59">
        <w:rPr>
          <w:b/>
        </w:rPr>
        <w:t xml:space="preserve"> </w:t>
      </w:r>
      <w:r w:rsidR="00A151D0" w:rsidRPr="00A151D0">
        <w:rPr>
          <w:b/>
        </w:rPr>
        <w:t xml:space="preserve">(ES) </w:t>
      </w:r>
      <w:r w:rsidR="00A063A7">
        <w:rPr>
          <w:b/>
          <w:bCs/>
          <w:color w:val="000000"/>
        </w:rPr>
        <w:t xml:space="preserve">2020/1833 </w:t>
      </w:r>
      <w:r w:rsidRPr="0079114D">
        <w:rPr>
          <w:b/>
        </w:rPr>
        <w:t xml:space="preserve">IR LIETUVOS RESPUBLIKOS </w:t>
      </w:r>
      <w:r w:rsidR="00A37393">
        <w:rPr>
          <w:b/>
        </w:rPr>
        <w:t>NACIONALINIŲ TEISĖS AKTŲ</w:t>
      </w:r>
      <w:r w:rsidRPr="0079114D">
        <w:rPr>
          <w:b/>
        </w:rPr>
        <w:t xml:space="preserve"> ATITIKTIES LENTELĖ</w:t>
      </w:r>
    </w:p>
    <w:p w14:paraId="273E4CAE" w14:textId="77777777" w:rsidR="00266DE7" w:rsidRDefault="00266DE7" w:rsidP="00112D4A">
      <w:pPr>
        <w:pStyle w:val="Pagrindinistekstas"/>
        <w:spacing w:after="0"/>
        <w:jc w:val="center"/>
        <w:rPr>
          <w:b/>
        </w:rPr>
      </w:pP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6120"/>
        <w:gridCol w:w="2492"/>
      </w:tblGrid>
      <w:tr w:rsidR="00286A8E" w:rsidRPr="00E4338F" w14:paraId="273E4CB2" w14:textId="77777777" w:rsidTr="00FD6D3D">
        <w:tc>
          <w:tcPr>
            <w:tcW w:w="7061" w:type="dxa"/>
          </w:tcPr>
          <w:p w14:paraId="3463CFE6" w14:textId="3CEBB940" w:rsidR="00A063A7" w:rsidRDefault="00A063A7" w:rsidP="00A063A7">
            <w:pPr>
              <w:pStyle w:val="oj-doc-ti"/>
              <w:shd w:val="clear" w:color="auto" w:fill="FFFFFF"/>
              <w:spacing w:before="0" w:beforeAutospacing="0" w:after="0" w:afterAutospacing="0"/>
              <w:jc w:val="both"/>
              <w:rPr>
                <w:b/>
                <w:bCs/>
                <w:color w:val="000000"/>
              </w:rPr>
            </w:pPr>
            <w:r>
              <w:rPr>
                <w:b/>
                <w:bCs/>
                <w:color w:val="000000"/>
              </w:rPr>
              <w:t>2020 m. spalio 2 d. Komisijos deleguotoji direktyva (ES) 2020/1833, kuria derinant prie mokslo ir technikos pažangos iš dalies keičiami Europos Parlamento ir Tarybos direktyvos 2008/68/EB priedai</w:t>
            </w:r>
          </w:p>
          <w:p w14:paraId="273E4CAF" w14:textId="292C9DAE" w:rsidR="00A063A7" w:rsidRPr="00B1774E" w:rsidRDefault="00A063A7" w:rsidP="00B1774E">
            <w:pPr>
              <w:jc w:val="both"/>
              <w:rPr>
                <w:b/>
                <w:szCs w:val="24"/>
              </w:rPr>
            </w:pPr>
          </w:p>
        </w:tc>
        <w:tc>
          <w:tcPr>
            <w:tcW w:w="6120" w:type="dxa"/>
          </w:tcPr>
          <w:p w14:paraId="273E4CB0" w14:textId="04BF8182" w:rsidR="00665545" w:rsidRPr="00665545" w:rsidRDefault="008B4204" w:rsidP="008B4204">
            <w:pPr>
              <w:pStyle w:val="Paantrat"/>
              <w:jc w:val="both"/>
            </w:pPr>
            <w:r w:rsidRPr="008B4204">
              <w:rPr>
                <w:rFonts w:ascii="Times New Roman" w:hAnsi="Times New Roman"/>
                <w:b/>
              </w:rPr>
              <w:t>Lietuvos Respublikos Vyriausybės nutarim</w:t>
            </w:r>
            <w:r w:rsidR="005C6F13">
              <w:rPr>
                <w:rFonts w:ascii="Times New Roman" w:hAnsi="Times New Roman"/>
                <w:b/>
              </w:rPr>
              <w:t xml:space="preserve">o </w:t>
            </w:r>
            <w:r w:rsidRPr="008B4204">
              <w:rPr>
                <w:rFonts w:ascii="Times New Roman" w:hAnsi="Times New Roman"/>
                <w:b/>
              </w:rPr>
              <w:t>„Dėl Lietuvos Respublikos Vyriausybės 2017 m. gegužės 17 d. nutarimo Nr. 367 „Dėl pavojingųjų krovinių vežimo automobilių ir geležinkelių keliais Lietuvos Respublikoje“ pakeitimo“</w:t>
            </w:r>
            <w:r>
              <w:rPr>
                <w:rFonts w:ascii="Times New Roman" w:hAnsi="Times New Roman"/>
                <w:b/>
              </w:rPr>
              <w:t xml:space="preserve"> </w:t>
            </w:r>
            <w:r w:rsidR="005405F7">
              <w:rPr>
                <w:rFonts w:ascii="Times New Roman" w:hAnsi="Times New Roman"/>
                <w:b/>
              </w:rPr>
              <w:t xml:space="preserve">projektas </w:t>
            </w:r>
            <w:r>
              <w:rPr>
                <w:rFonts w:ascii="Times New Roman" w:hAnsi="Times New Roman"/>
                <w:b/>
              </w:rPr>
              <w:t>(toliau – Nutarim</w:t>
            </w:r>
            <w:r w:rsidR="005405F7">
              <w:rPr>
                <w:rFonts w:ascii="Times New Roman" w:hAnsi="Times New Roman"/>
                <w:b/>
              </w:rPr>
              <w:t>o projektas</w:t>
            </w:r>
            <w:r>
              <w:rPr>
                <w:rFonts w:ascii="Times New Roman" w:hAnsi="Times New Roman"/>
                <w:b/>
              </w:rPr>
              <w:t>)</w:t>
            </w:r>
          </w:p>
        </w:tc>
        <w:tc>
          <w:tcPr>
            <w:tcW w:w="2492" w:type="dxa"/>
          </w:tcPr>
          <w:p w14:paraId="273E4CB1" w14:textId="77777777" w:rsidR="00286A8E" w:rsidRPr="005E1EEF" w:rsidRDefault="00286A8E" w:rsidP="00DD404A">
            <w:pPr>
              <w:pStyle w:val="Pagrindinistekstas"/>
              <w:spacing w:after="0"/>
              <w:jc w:val="both"/>
              <w:rPr>
                <w:b/>
              </w:rPr>
            </w:pPr>
            <w:r w:rsidRPr="005E1EEF">
              <w:rPr>
                <w:b/>
              </w:rPr>
              <w:t>Direktyvos perkėlimo</w:t>
            </w:r>
            <w:r w:rsidR="00DD404A">
              <w:rPr>
                <w:b/>
              </w:rPr>
              <w:t xml:space="preserve"> ir</w:t>
            </w:r>
            <w:r w:rsidRPr="005E1EEF">
              <w:rPr>
                <w:b/>
              </w:rPr>
              <w:t xml:space="preserve"> įgyvendinimo lygis</w:t>
            </w:r>
          </w:p>
        </w:tc>
      </w:tr>
      <w:tr w:rsidR="008B4204" w:rsidRPr="00E4338F" w14:paraId="273E4CB9" w14:textId="77777777" w:rsidTr="00FD6D3D">
        <w:tc>
          <w:tcPr>
            <w:tcW w:w="7061" w:type="dxa"/>
          </w:tcPr>
          <w:p w14:paraId="7C7A138B" w14:textId="76E0DC4D" w:rsidR="003D16F8" w:rsidRDefault="00D97393" w:rsidP="00612FA8">
            <w:pPr>
              <w:spacing w:line="276" w:lineRule="auto"/>
              <w:jc w:val="center"/>
              <w:rPr>
                <w:i/>
                <w:iCs/>
                <w:szCs w:val="24"/>
              </w:rPr>
            </w:pPr>
            <w:r w:rsidRPr="003D16F8">
              <w:rPr>
                <w:i/>
                <w:iCs/>
                <w:szCs w:val="24"/>
              </w:rPr>
              <w:t>1 straipsnis</w:t>
            </w:r>
          </w:p>
          <w:p w14:paraId="7174486A" w14:textId="148F3B31" w:rsidR="003D16F8" w:rsidRDefault="00D97393" w:rsidP="00612FA8">
            <w:pPr>
              <w:spacing w:line="276" w:lineRule="auto"/>
              <w:jc w:val="both"/>
              <w:rPr>
                <w:szCs w:val="24"/>
              </w:rPr>
            </w:pPr>
            <w:r w:rsidRPr="003D16F8">
              <w:rPr>
                <w:szCs w:val="24"/>
              </w:rPr>
              <w:t xml:space="preserve">Direktyva 2008/68/EB iš dalies keičiama taip: </w:t>
            </w:r>
          </w:p>
          <w:tbl>
            <w:tblPr>
              <w:tblW w:w="5000" w:type="pct"/>
              <w:shd w:val="clear" w:color="auto" w:fill="FFFFFF"/>
              <w:tblCellMar>
                <w:left w:w="0" w:type="dxa"/>
                <w:right w:w="0" w:type="dxa"/>
              </w:tblCellMar>
              <w:tblLook w:val="04A0" w:firstRow="1" w:lastRow="0" w:firstColumn="1" w:lastColumn="0" w:noHBand="0" w:noVBand="1"/>
            </w:tblPr>
            <w:tblGrid>
              <w:gridCol w:w="6"/>
              <w:gridCol w:w="6839"/>
            </w:tblGrid>
            <w:tr w:rsidR="00EA71C0" w:rsidRPr="00EA71C0" w14:paraId="76F6C608" w14:textId="77777777" w:rsidTr="00EA71C0">
              <w:tc>
                <w:tcPr>
                  <w:tcW w:w="0" w:type="auto"/>
                  <w:shd w:val="clear" w:color="auto" w:fill="FFFFFF"/>
                  <w:hideMark/>
                </w:tcPr>
                <w:p w14:paraId="4782E63C" w14:textId="2E20E50C" w:rsidR="00EA71C0" w:rsidRPr="00EA71C0" w:rsidRDefault="00EA71C0" w:rsidP="00EA71C0">
                  <w:pPr>
                    <w:spacing w:line="276" w:lineRule="auto"/>
                    <w:jc w:val="both"/>
                    <w:rPr>
                      <w:szCs w:val="24"/>
                    </w:rPr>
                  </w:pPr>
                </w:p>
              </w:tc>
              <w:tc>
                <w:tcPr>
                  <w:tcW w:w="0" w:type="auto"/>
                  <w:shd w:val="clear" w:color="auto" w:fill="FFFFFF"/>
                  <w:hideMark/>
                </w:tcPr>
                <w:p w14:paraId="7DFB127F" w14:textId="77777777" w:rsidR="00EA71C0" w:rsidRDefault="00EA71C0" w:rsidP="00EA71C0">
                  <w:pPr>
                    <w:spacing w:line="276" w:lineRule="auto"/>
                    <w:jc w:val="both"/>
                    <w:rPr>
                      <w:szCs w:val="24"/>
                    </w:rPr>
                  </w:pPr>
                  <w:r>
                    <w:rPr>
                      <w:szCs w:val="24"/>
                    </w:rPr>
                    <w:t xml:space="preserve"> </w:t>
                  </w:r>
                  <w:r>
                    <w:rPr>
                      <w:szCs w:val="24"/>
                      <w:lang w:val="en-US"/>
                    </w:rPr>
                    <w:t xml:space="preserve">1) </w:t>
                  </w:r>
                  <w:r w:rsidRPr="00EA71C0">
                    <w:rPr>
                      <w:szCs w:val="24"/>
                    </w:rPr>
                    <w:t>I priedo I.1 skirsnis pakeičiamas taip:</w:t>
                  </w:r>
                  <w:r>
                    <w:rPr>
                      <w:szCs w:val="24"/>
                    </w:rPr>
                    <w:t xml:space="preserve"> </w:t>
                  </w:r>
                  <w:r w:rsidRPr="00EA71C0">
                    <w:rPr>
                      <w:szCs w:val="24"/>
                    </w:rPr>
                    <w:t>„I.1. ADR</w:t>
                  </w:r>
                  <w:r>
                    <w:rPr>
                      <w:szCs w:val="24"/>
                    </w:rPr>
                    <w:t xml:space="preserve"> </w:t>
                  </w:r>
                </w:p>
                <w:p w14:paraId="521B28BD" w14:textId="7068C283" w:rsidR="00EA71C0" w:rsidRPr="00EA71C0" w:rsidRDefault="00EA71C0" w:rsidP="00EA71C0">
                  <w:pPr>
                    <w:spacing w:line="276" w:lineRule="auto"/>
                    <w:jc w:val="both"/>
                    <w:rPr>
                      <w:szCs w:val="24"/>
                    </w:rPr>
                  </w:pPr>
                  <w:r w:rsidRPr="00EA71C0">
                    <w:rPr>
                      <w:szCs w:val="24"/>
                    </w:rPr>
                    <w:t>ADR A ir B priedai, taikytini nuo 2021 m. sausio 1 d.; susitariama, kad žodžių junginys „Susitariančioji Šalis“, kur tinka, pakeičiamas žodžių junginiu „valstybė narė“.“;</w:t>
                  </w:r>
                </w:p>
              </w:tc>
            </w:tr>
          </w:tbl>
          <w:p w14:paraId="29A1C543" w14:textId="77777777" w:rsidR="00BA0D93" w:rsidRDefault="00BA0D93" w:rsidP="00612FA8">
            <w:pPr>
              <w:spacing w:line="276" w:lineRule="auto"/>
              <w:jc w:val="both"/>
              <w:rPr>
                <w:szCs w:val="24"/>
              </w:rPr>
            </w:pPr>
          </w:p>
          <w:p w14:paraId="2AEF4707" w14:textId="77777777" w:rsidR="005C6150" w:rsidRDefault="005C6150" w:rsidP="00612FA8">
            <w:pPr>
              <w:spacing w:line="276" w:lineRule="auto"/>
              <w:jc w:val="both"/>
              <w:rPr>
                <w:szCs w:val="24"/>
              </w:rPr>
            </w:pPr>
          </w:p>
          <w:p w14:paraId="50E72434" w14:textId="77777777" w:rsidR="005C6150" w:rsidRDefault="005C6150" w:rsidP="00612FA8">
            <w:pPr>
              <w:spacing w:line="276" w:lineRule="auto"/>
              <w:jc w:val="both"/>
              <w:rPr>
                <w:szCs w:val="24"/>
              </w:rPr>
            </w:pPr>
          </w:p>
          <w:p w14:paraId="07D09DF7" w14:textId="77777777" w:rsidR="005C6150" w:rsidRDefault="005C6150" w:rsidP="00612FA8">
            <w:pPr>
              <w:spacing w:line="276" w:lineRule="auto"/>
              <w:jc w:val="both"/>
              <w:rPr>
                <w:szCs w:val="24"/>
              </w:rPr>
            </w:pPr>
          </w:p>
          <w:p w14:paraId="268128BF" w14:textId="77777777" w:rsidR="005C6150" w:rsidRDefault="005C6150" w:rsidP="00612FA8">
            <w:pPr>
              <w:spacing w:line="276" w:lineRule="auto"/>
              <w:jc w:val="both"/>
              <w:rPr>
                <w:szCs w:val="24"/>
              </w:rPr>
            </w:pPr>
          </w:p>
          <w:p w14:paraId="0E074B84" w14:textId="77777777" w:rsidR="005C6150" w:rsidRDefault="005C6150" w:rsidP="00612FA8">
            <w:pPr>
              <w:spacing w:line="276" w:lineRule="auto"/>
              <w:jc w:val="both"/>
              <w:rPr>
                <w:szCs w:val="24"/>
              </w:rPr>
            </w:pPr>
          </w:p>
          <w:p w14:paraId="21E90F49" w14:textId="77777777" w:rsidR="005C6150" w:rsidRDefault="005C6150" w:rsidP="00612FA8">
            <w:pPr>
              <w:spacing w:line="276" w:lineRule="auto"/>
              <w:jc w:val="both"/>
              <w:rPr>
                <w:szCs w:val="24"/>
              </w:rPr>
            </w:pPr>
          </w:p>
          <w:p w14:paraId="07240D7C" w14:textId="77777777" w:rsidR="001B6CAB" w:rsidRPr="001B6CAB" w:rsidRDefault="00D97393" w:rsidP="001B6CAB">
            <w:pPr>
              <w:spacing w:line="276" w:lineRule="auto"/>
              <w:jc w:val="both"/>
              <w:rPr>
                <w:szCs w:val="24"/>
              </w:rPr>
            </w:pPr>
            <w:r w:rsidRPr="003D16F8">
              <w:rPr>
                <w:szCs w:val="24"/>
              </w:rPr>
              <w:t xml:space="preserve">2) </w:t>
            </w:r>
            <w:r w:rsidR="001B6CAB" w:rsidRPr="001B6CAB">
              <w:rPr>
                <w:szCs w:val="24"/>
              </w:rPr>
              <w:t>II priedo II.1 skirsnis pakeičiamas taip:</w:t>
            </w:r>
          </w:p>
          <w:p w14:paraId="4F702CC2" w14:textId="37C317C9" w:rsidR="001B6CAB" w:rsidRPr="001B6CAB" w:rsidRDefault="001B6CAB" w:rsidP="001B6CAB">
            <w:pPr>
              <w:spacing w:line="276" w:lineRule="auto"/>
              <w:jc w:val="both"/>
              <w:rPr>
                <w:szCs w:val="24"/>
              </w:rPr>
            </w:pPr>
            <w:r w:rsidRPr="001B6CAB">
              <w:rPr>
                <w:szCs w:val="24"/>
              </w:rPr>
              <w:t>„II.1. RID</w:t>
            </w:r>
          </w:p>
          <w:p w14:paraId="13D0840F" w14:textId="1D71F4A5" w:rsidR="00BA0D93" w:rsidRDefault="001B6CAB" w:rsidP="001B6CAB">
            <w:pPr>
              <w:spacing w:line="276" w:lineRule="auto"/>
              <w:jc w:val="both"/>
              <w:rPr>
                <w:szCs w:val="24"/>
              </w:rPr>
            </w:pPr>
            <w:r w:rsidRPr="001B6CAB">
              <w:rPr>
                <w:szCs w:val="24"/>
              </w:rPr>
              <w:t>RID priedas, taikytinas nuo 2021 m. sausio 1 d.; susitariama, kad žodžių junginys „RID Susitariančioji Šalis“, kur tinka, pakeičiamas žodžių junginiu „valstybė narė“.“;</w:t>
            </w:r>
          </w:p>
          <w:p w14:paraId="656FA3A2" w14:textId="77777777" w:rsidR="00612FA8" w:rsidRDefault="00612FA8" w:rsidP="00612FA8">
            <w:pPr>
              <w:spacing w:line="276" w:lineRule="auto"/>
              <w:jc w:val="both"/>
              <w:rPr>
                <w:szCs w:val="24"/>
              </w:rPr>
            </w:pPr>
          </w:p>
          <w:p w14:paraId="278D1109" w14:textId="77777777" w:rsidR="00612FA8" w:rsidRDefault="00612FA8" w:rsidP="00612FA8">
            <w:pPr>
              <w:spacing w:line="276" w:lineRule="auto"/>
              <w:jc w:val="both"/>
              <w:rPr>
                <w:szCs w:val="24"/>
              </w:rPr>
            </w:pPr>
          </w:p>
          <w:p w14:paraId="6985ED19" w14:textId="77777777" w:rsidR="00612FA8" w:rsidRDefault="00612FA8" w:rsidP="00612FA8">
            <w:pPr>
              <w:spacing w:line="276" w:lineRule="auto"/>
              <w:jc w:val="both"/>
              <w:rPr>
                <w:szCs w:val="24"/>
              </w:rPr>
            </w:pPr>
          </w:p>
          <w:p w14:paraId="75600B76" w14:textId="77777777" w:rsidR="00612FA8" w:rsidRDefault="00612FA8" w:rsidP="00612FA8">
            <w:pPr>
              <w:spacing w:line="276" w:lineRule="auto"/>
              <w:jc w:val="both"/>
              <w:rPr>
                <w:szCs w:val="24"/>
              </w:rPr>
            </w:pPr>
          </w:p>
          <w:p w14:paraId="483B1FC6" w14:textId="77777777" w:rsidR="00612FA8" w:rsidRDefault="00612FA8" w:rsidP="00612FA8">
            <w:pPr>
              <w:spacing w:line="276" w:lineRule="auto"/>
              <w:jc w:val="both"/>
              <w:rPr>
                <w:szCs w:val="24"/>
              </w:rPr>
            </w:pPr>
          </w:p>
          <w:p w14:paraId="446744B2" w14:textId="77777777" w:rsidR="00612FA8" w:rsidRDefault="00612FA8" w:rsidP="00612FA8">
            <w:pPr>
              <w:spacing w:line="276" w:lineRule="auto"/>
              <w:jc w:val="both"/>
              <w:rPr>
                <w:szCs w:val="24"/>
              </w:rPr>
            </w:pPr>
          </w:p>
          <w:p w14:paraId="06CA5FF8" w14:textId="77777777" w:rsidR="00612FA8" w:rsidRDefault="00612FA8" w:rsidP="00612FA8">
            <w:pPr>
              <w:spacing w:line="276" w:lineRule="auto"/>
              <w:jc w:val="both"/>
              <w:rPr>
                <w:szCs w:val="24"/>
              </w:rPr>
            </w:pPr>
          </w:p>
          <w:p w14:paraId="7EA8AEA4" w14:textId="77777777" w:rsidR="00612FA8" w:rsidRDefault="00612FA8" w:rsidP="00612FA8">
            <w:pPr>
              <w:spacing w:line="276" w:lineRule="auto"/>
              <w:jc w:val="both"/>
              <w:rPr>
                <w:szCs w:val="24"/>
              </w:rPr>
            </w:pPr>
          </w:p>
          <w:p w14:paraId="59A382BA" w14:textId="77777777" w:rsidR="00612FA8" w:rsidRDefault="00612FA8" w:rsidP="00612FA8">
            <w:pPr>
              <w:spacing w:line="276" w:lineRule="auto"/>
              <w:jc w:val="both"/>
              <w:rPr>
                <w:szCs w:val="24"/>
              </w:rPr>
            </w:pPr>
          </w:p>
          <w:p w14:paraId="7D534222" w14:textId="77777777" w:rsidR="00A349E6" w:rsidRDefault="00A349E6" w:rsidP="00612FA8">
            <w:pPr>
              <w:spacing w:line="276" w:lineRule="auto"/>
              <w:jc w:val="both"/>
              <w:rPr>
                <w:szCs w:val="24"/>
              </w:rPr>
            </w:pPr>
          </w:p>
          <w:p w14:paraId="06E6509B" w14:textId="77777777" w:rsidR="001F40DE" w:rsidRDefault="00D97393" w:rsidP="001F40DE">
            <w:pPr>
              <w:pStyle w:val="oj-normal"/>
              <w:shd w:val="clear" w:color="auto" w:fill="FFFFFF"/>
              <w:spacing w:before="120" w:beforeAutospacing="0" w:after="0" w:afterAutospacing="0"/>
              <w:jc w:val="both"/>
              <w:rPr>
                <w:color w:val="000000"/>
              </w:rPr>
            </w:pPr>
            <w:r w:rsidRPr="003D16F8">
              <w:t xml:space="preserve">3) </w:t>
            </w:r>
            <w:r w:rsidR="001F40DE">
              <w:rPr>
                <w:color w:val="000000"/>
              </w:rPr>
              <w:t>III priedo III.1 skirsnis pakeičiamas taip:</w:t>
            </w:r>
          </w:p>
          <w:p w14:paraId="4CAF0C52" w14:textId="77777777" w:rsidR="001F40DE" w:rsidRDefault="001F40DE" w:rsidP="001F40DE">
            <w:pPr>
              <w:pStyle w:val="oj-normal"/>
              <w:shd w:val="clear" w:color="auto" w:fill="FFFFFF"/>
              <w:spacing w:before="0" w:beforeAutospacing="0" w:after="0" w:afterAutospacing="0"/>
              <w:jc w:val="both"/>
              <w:rPr>
                <w:color w:val="000000"/>
              </w:rPr>
            </w:pPr>
            <w:r>
              <w:rPr>
                <w:color w:val="000000"/>
              </w:rPr>
              <w:t>„III.1. ADN</w:t>
            </w:r>
          </w:p>
          <w:p w14:paraId="273E4CB4" w14:textId="35BE4C39" w:rsidR="003D16F8" w:rsidRPr="00EB2302" w:rsidRDefault="001F40DE" w:rsidP="00EB2302">
            <w:pPr>
              <w:pStyle w:val="oj-normal"/>
              <w:shd w:val="clear" w:color="auto" w:fill="FFFFFF"/>
              <w:spacing w:before="0" w:beforeAutospacing="0" w:after="0" w:afterAutospacing="0"/>
              <w:jc w:val="both"/>
              <w:rPr>
                <w:color w:val="000000"/>
              </w:rPr>
            </w:pPr>
            <w:r>
              <w:rPr>
                <w:color w:val="000000"/>
              </w:rPr>
              <w:t>Prie ADN pridėtos taisyklės, taikytinos nuo 2021 m. sausio 1 d., ir ADN 3 straipsnio f ir h punktai ir 8 straipsnio 1 ir 3 dalys; susitariama, kad žodžių junginys „Susitariančioji Šalis“, kur tinka, pakeičiamas žodžių junginiu „valstybė narė“.“</w:t>
            </w:r>
          </w:p>
        </w:tc>
        <w:tc>
          <w:tcPr>
            <w:tcW w:w="6120" w:type="dxa"/>
          </w:tcPr>
          <w:p w14:paraId="273E4CB5" w14:textId="0C1F3633" w:rsidR="00CA73C9" w:rsidRDefault="00CA73C9" w:rsidP="00612FA8">
            <w:pPr>
              <w:pStyle w:val="Pagrindinistekstas"/>
              <w:spacing w:after="0" w:line="276" w:lineRule="auto"/>
            </w:pPr>
            <w:r>
              <w:rPr>
                <w:b/>
              </w:rPr>
              <w:lastRenderedPageBreak/>
              <w:t xml:space="preserve">Nutarimo </w:t>
            </w:r>
            <w:r w:rsidR="005C6150">
              <w:rPr>
                <w:b/>
              </w:rPr>
              <w:t>projekt</w:t>
            </w:r>
            <w:r w:rsidR="00612FA8">
              <w:rPr>
                <w:b/>
              </w:rPr>
              <w:t>o 1.2 papunktis</w:t>
            </w:r>
          </w:p>
          <w:p w14:paraId="273E4CB6" w14:textId="7E14C06E" w:rsidR="00CA73C9" w:rsidRPr="00CA73C9" w:rsidRDefault="00CA73C9" w:rsidP="00612FA8">
            <w:pPr>
              <w:pStyle w:val="Pagrindinistekstas"/>
              <w:spacing w:after="0" w:line="276" w:lineRule="auto"/>
              <w:jc w:val="both"/>
            </w:pPr>
            <w:r w:rsidRPr="00CA73C9">
              <w:t>Pakeisti 1.1 papunktį ir jį išdėstyti taip:</w:t>
            </w:r>
          </w:p>
          <w:p w14:paraId="55F6E736" w14:textId="0EC52AEC" w:rsidR="008B4204" w:rsidRDefault="00CA73C9" w:rsidP="00612FA8">
            <w:pPr>
              <w:pStyle w:val="Paantrat"/>
              <w:spacing w:after="0" w:line="276" w:lineRule="auto"/>
              <w:jc w:val="both"/>
              <w:rPr>
                <w:rFonts w:ascii="Times New Roman" w:hAnsi="Times New Roman"/>
              </w:rPr>
            </w:pPr>
            <w:r w:rsidRPr="00CA73C9">
              <w:rPr>
                <w:rFonts w:ascii="Times New Roman" w:hAnsi="Times New Roman"/>
              </w:rPr>
              <w:t>„1.1. pavojingųjų krovinių vežimas automobilių keliais išimtinai Lietuvos Respublikos teritorijoje ir tarptautinis vežimas Lietuvos Respublikos ir kitos Europos Sąjungos valstybės narės ar Europos ekonominės erdvės valstybės teritorijoje ir su tuo susijusi veikla vykdomi laikantis Europos sutarties dėl pavojingų krovinių tarptautinio vežimo keliais (ADR) A ir B techniniuose prieduose (20</w:t>
            </w:r>
            <w:r w:rsidR="004C5E20">
              <w:rPr>
                <w:rFonts w:ascii="Times New Roman" w:hAnsi="Times New Roman"/>
              </w:rPr>
              <w:t>21</w:t>
            </w:r>
            <w:r w:rsidRPr="00CA73C9">
              <w:rPr>
                <w:rFonts w:ascii="Times New Roman" w:hAnsi="Times New Roman"/>
              </w:rPr>
              <w:t xml:space="preserve"> m. sausio </w:t>
            </w:r>
            <w:r w:rsidR="005C6150">
              <w:rPr>
                <w:rFonts w:ascii="Times New Roman" w:hAnsi="Times New Roman"/>
              </w:rPr>
              <w:t>1</w:t>
            </w:r>
            <w:r w:rsidRPr="00CA73C9">
              <w:rPr>
                <w:rFonts w:ascii="Times New Roman" w:hAnsi="Times New Roman"/>
              </w:rPr>
              <w:t xml:space="preserve"> d. redakcija) nustatytų sąlygų ir Įstatymo ir jo įgyvendinamųjų teisės aktų reikalavimų;“.</w:t>
            </w:r>
          </w:p>
          <w:p w14:paraId="3227B52A" w14:textId="2F7A8BC0" w:rsidR="005C6150" w:rsidRDefault="005C6150" w:rsidP="00612FA8">
            <w:pPr>
              <w:spacing w:line="276" w:lineRule="auto"/>
              <w:jc w:val="both"/>
            </w:pPr>
          </w:p>
          <w:p w14:paraId="0B5005CB" w14:textId="77777777" w:rsidR="004A7983" w:rsidRDefault="004A7983" w:rsidP="00612FA8">
            <w:pPr>
              <w:spacing w:line="276" w:lineRule="auto"/>
              <w:jc w:val="both"/>
            </w:pPr>
          </w:p>
          <w:p w14:paraId="4377F502" w14:textId="4C92C256" w:rsidR="00A349E6" w:rsidRDefault="00A349E6" w:rsidP="00A349E6">
            <w:pPr>
              <w:pStyle w:val="Pagrindinistekstas"/>
              <w:spacing w:after="0" w:line="276" w:lineRule="auto"/>
            </w:pPr>
            <w:r>
              <w:rPr>
                <w:b/>
              </w:rPr>
              <w:t>Nutarimo projekto 1.3 papunktis</w:t>
            </w:r>
          </w:p>
          <w:p w14:paraId="4B385EF3" w14:textId="4AD0B336" w:rsidR="005C6150" w:rsidRPr="00CA73C9" w:rsidRDefault="005C6150" w:rsidP="00612FA8">
            <w:pPr>
              <w:pStyle w:val="Pagrindinistekstas"/>
              <w:spacing w:after="0" w:line="276" w:lineRule="auto"/>
              <w:jc w:val="both"/>
            </w:pPr>
            <w:r w:rsidRPr="00CA73C9">
              <w:t>Pakeisti 1.</w:t>
            </w:r>
            <w:r>
              <w:t>3</w:t>
            </w:r>
            <w:r w:rsidRPr="00CA73C9">
              <w:t xml:space="preserve"> papunktį ir jį išdėstyti taip:</w:t>
            </w:r>
          </w:p>
          <w:p w14:paraId="1E6A8A45" w14:textId="19A3508B" w:rsidR="005C6150" w:rsidRDefault="005C6150" w:rsidP="00612FA8">
            <w:pPr>
              <w:spacing w:line="276" w:lineRule="auto"/>
              <w:jc w:val="both"/>
            </w:pPr>
            <w:r>
              <w:t>1.3. pavojingųjų krovinių vežimas geležinkelių keliais išimtinai Lietuvos Respublikos teritorijoje ir tarptautinis vežimas Lietuvos Respublikos ir kitos Europos Sąjungos valstybės narės ar Europos ekonominės erdvės valstybės teritorijoje ir su tuo susijusi veikla vykdomi laikantis Tarptautinio vežimo geležinkeliais sutarties (COTIF) C priedėlio „Pavojingų krovinių tarptautinio vežimo geležinkeliais taisyklės (RID)“ priede (20</w:t>
            </w:r>
            <w:r w:rsidR="004C5E20">
              <w:t>21</w:t>
            </w:r>
            <w:r>
              <w:t xml:space="preserve"> m. sausio 1 d. redakcija) nustatytų sąlygų, atsižvelgiant į šio nutarimo 1.5 papunktyje nurodytą papildomą pereinamojo laikotarpio </w:t>
            </w:r>
            <w:r>
              <w:lastRenderedPageBreak/>
              <w:t>nuostatą, ir Įstatymo ir jo įgyvendinamųjų teisės aktų reikalavimų;</w:t>
            </w:r>
          </w:p>
          <w:p w14:paraId="613EF73B" w14:textId="77777777" w:rsidR="00612FA8" w:rsidRDefault="00612FA8" w:rsidP="00612FA8">
            <w:pPr>
              <w:spacing w:line="276" w:lineRule="auto"/>
              <w:jc w:val="both"/>
            </w:pPr>
          </w:p>
          <w:p w14:paraId="273E4CB7" w14:textId="158ABD4B" w:rsidR="00612FA8" w:rsidRPr="005C6150" w:rsidRDefault="00D1011A" w:rsidP="006544BB">
            <w:pPr>
              <w:widowControl/>
              <w:suppressAutoHyphens w:val="0"/>
              <w:autoSpaceDE w:val="0"/>
              <w:autoSpaceDN w:val="0"/>
              <w:adjustRightInd w:val="0"/>
              <w:spacing w:line="276" w:lineRule="auto"/>
              <w:jc w:val="both"/>
            </w:pPr>
            <w:r>
              <w:rPr>
                <w:szCs w:val="24"/>
              </w:rPr>
              <w:t>Atsižvelgiant į</w:t>
            </w:r>
            <w:r w:rsidR="006544BB" w:rsidRPr="006544BB">
              <w:rPr>
                <w:szCs w:val="24"/>
              </w:rPr>
              <w:t xml:space="preserve"> </w:t>
            </w:r>
            <w:r w:rsidR="006544BB" w:rsidRPr="006544BB">
              <w:rPr>
                <w:rFonts w:eastAsia="Times New Roman"/>
                <w:bCs/>
                <w:szCs w:val="24"/>
              </w:rPr>
              <w:t>2008 m. rugsėjo 24 d.</w:t>
            </w:r>
            <w:r w:rsidR="006544BB">
              <w:rPr>
                <w:rFonts w:eastAsia="Times New Roman"/>
                <w:bCs/>
                <w:szCs w:val="24"/>
              </w:rPr>
              <w:t xml:space="preserve"> E</w:t>
            </w:r>
            <w:r w:rsidR="006544BB" w:rsidRPr="006544BB">
              <w:rPr>
                <w:rFonts w:eastAsia="Times New Roman"/>
                <w:bCs/>
                <w:szCs w:val="24"/>
              </w:rPr>
              <w:t xml:space="preserve">uropos </w:t>
            </w:r>
            <w:r w:rsidR="006544BB">
              <w:rPr>
                <w:rFonts w:eastAsia="Times New Roman"/>
                <w:bCs/>
                <w:szCs w:val="24"/>
              </w:rPr>
              <w:t>P</w:t>
            </w:r>
            <w:r w:rsidR="006544BB" w:rsidRPr="006544BB">
              <w:rPr>
                <w:rFonts w:eastAsia="Times New Roman"/>
                <w:bCs/>
                <w:szCs w:val="24"/>
              </w:rPr>
              <w:t xml:space="preserve">arlamento ir </w:t>
            </w:r>
            <w:r w:rsidR="006544BB">
              <w:rPr>
                <w:rFonts w:eastAsia="Times New Roman"/>
                <w:bCs/>
                <w:szCs w:val="24"/>
              </w:rPr>
              <w:t>T</w:t>
            </w:r>
            <w:r w:rsidR="006544BB" w:rsidRPr="006544BB">
              <w:rPr>
                <w:rFonts w:eastAsia="Times New Roman"/>
                <w:bCs/>
                <w:szCs w:val="24"/>
              </w:rPr>
              <w:t>arybos direktyv</w:t>
            </w:r>
            <w:r>
              <w:rPr>
                <w:rFonts w:eastAsia="Times New Roman"/>
                <w:bCs/>
                <w:szCs w:val="24"/>
              </w:rPr>
              <w:t>os</w:t>
            </w:r>
            <w:r w:rsidR="006544BB" w:rsidRPr="006544BB">
              <w:rPr>
                <w:rFonts w:eastAsia="Times New Roman"/>
                <w:bCs/>
                <w:szCs w:val="24"/>
              </w:rPr>
              <w:t xml:space="preserve"> 2008/68/</w:t>
            </w:r>
            <w:r w:rsidR="006544BB">
              <w:rPr>
                <w:rFonts w:eastAsia="Times New Roman"/>
                <w:bCs/>
                <w:szCs w:val="24"/>
              </w:rPr>
              <w:t xml:space="preserve">EB </w:t>
            </w:r>
            <w:r w:rsidR="006544BB" w:rsidRPr="006544BB">
              <w:rPr>
                <w:rFonts w:eastAsia="Times New Roman"/>
                <w:bCs/>
                <w:szCs w:val="24"/>
              </w:rPr>
              <w:t>dėl pavojingų krovinių vežimo vidaus keliais</w:t>
            </w:r>
            <w:r w:rsidR="006544BB" w:rsidRPr="006544BB">
              <w:rPr>
                <w:bCs/>
                <w:szCs w:val="24"/>
              </w:rPr>
              <w:t xml:space="preserve"> 1 straipsnio 3 dalies nuostatas, </w:t>
            </w:r>
            <w:r w:rsidR="006544BB">
              <w:rPr>
                <w:bCs/>
                <w:szCs w:val="24"/>
              </w:rPr>
              <w:t xml:space="preserve">šios </w:t>
            </w:r>
            <w:r w:rsidR="006544BB" w:rsidRPr="006544BB">
              <w:rPr>
                <w:bCs/>
                <w:szCs w:val="24"/>
              </w:rPr>
              <w:t>d</w:t>
            </w:r>
            <w:r w:rsidR="006544BB" w:rsidRPr="006544BB">
              <w:rPr>
                <w:szCs w:val="24"/>
              </w:rPr>
              <w:t>irektyvos nuostat</w:t>
            </w:r>
            <w:r w:rsidR="006544BB">
              <w:rPr>
                <w:szCs w:val="24"/>
              </w:rPr>
              <w:t>os</w:t>
            </w:r>
            <w:r w:rsidR="006544BB" w:rsidRPr="006544BB">
              <w:rPr>
                <w:szCs w:val="24"/>
              </w:rPr>
              <w:t xml:space="preserve"> perkelti ir įgyvendinti nereikia</w:t>
            </w:r>
            <w:r w:rsidR="006544BB">
              <w:rPr>
                <w:szCs w:val="24"/>
              </w:rPr>
              <w:t>.</w:t>
            </w:r>
          </w:p>
        </w:tc>
        <w:tc>
          <w:tcPr>
            <w:tcW w:w="2492" w:type="dxa"/>
          </w:tcPr>
          <w:p w14:paraId="273E4CB8" w14:textId="4EA42443" w:rsidR="008B4204" w:rsidRPr="008B4204" w:rsidRDefault="008B4204" w:rsidP="00DD404A">
            <w:pPr>
              <w:pStyle w:val="Pagrindinistekstas"/>
              <w:spacing w:after="0"/>
              <w:jc w:val="both"/>
            </w:pPr>
            <w:r w:rsidRPr="008B4204">
              <w:lastRenderedPageBreak/>
              <w:t>Visiškas</w:t>
            </w:r>
          </w:p>
        </w:tc>
      </w:tr>
      <w:tr w:rsidR="008B4204" w:rsidRPr="00E4338F" w14:paraId="273E4CE3" w14:textId="77777777" w:rsidTr="00FD6D3D">
        <w:tc>
          <w:tcPr>
            <w:tcW w:w="7061" w:type="dxa"/>
          </w:tcPr>
          <w:p w14:paraId="273E4CBA" w14:textId="4166F769" w:rsidR="008B4204" w:rsidRDefault="008B4204" w:rsidP="008B4204">
            <w:pPr>
              <w:jc w:val="center"/>
              <w:rPr>
                <w:i/>
                <w:szCs w:val="24"/>
              </w:rPr>
            </w:pPr>
            <w:r>
              <w:rPr>
                <w:i/>
                <w:szCs w:val="24"/>
              </w:rPr>
              <w:t>2 straipsnis</w:t>
            </w:r>
          </w:p>
          <w:p w14:paraId="262E4752" w14:textId="77777777" w:rsidR="00BA0D93" w:rsidRDefault="00BA0D93" w:rsidP="008B4204">
            <w:pPr>
              <w:jc w:val="center"/>
              <w:rPr>
                <w:szCs w:val="24"/>
              </w:rPr>
            </w:pPr>
          </w:p>
          <w:p w14:paraId="57FC802E" w14:textId="6A34B4C8" w:rsidR="004C5E20" w:rsidRDefault="008B4204" w:rsidP="004C5E20">
            <w:pPr>
              <w:jc w:val="both"/>
              <w:rPr>
                <w:rFonts w:eastAsia="Times New Roman"/>
                <w:color w:val="000000"/>
              </w:rPr>
            </w:pPr>
            <w:r w:rsidRPr="00BA0D93">
              <w:rPr>
                <w:szCs w:val="24"/>
              </w:rPr>
              <w:t>1.</w:t>
            </w:r>
            <w:r w:rsidR="00BA0D93" w:rsidRPr="00BA0D93">
              <w:rPr>
                <w:szCs w:val="24"/>
              </w:rPr>
              <w:t xml:space="preserve"> </w:t>
            </w:r>
            <w:r w:rsidR="004C5E20">
              <w:rPr>
                <w:szCs w:val="24"/>
              </w:rPr>
              <w:t>V</w:t>
            </w:r>
            <w:r w:rsidR="004C5E20">
              <w:rPr>
                <w:color w:val="000000"/>
              </w:rPr>
              <w:t>alstybės narės užtikrina, kad įsigaliotų įstatymai ir kiti teisės aktai, būtini, kad šios direktyvos būtų laikomasi ne vėliau kaip nuo 2021 m. birželio 30 d. Jos nedelsdamos pateikia Komisijai tų teisės aktų nuostatų tekstą.</w:t>
            </w:r>
          </w:p>
          <w:p w14:paraId="0CCE45E5" w14:textId="77777777" w:rsidR="004C5E20" w:rsidRDefault="004C5E20" w:rsidP="004C5E20">
            <w:pPr>
              <w:pStyle w:val="oj-normal"/>
              <w:shd w:val="clear" w:color="auto" w:fill="FFFFFF"/>
              <w:spacing w:before="120" w:beforeAutospacing="0" w:after="0" w:afterAutospacing="0"/>
              <w:jc w:val="both"/>
              <w:rPr>
                <w:color w:val="000000"/>
              </w:rPr>
            </w:pPr>
            <w:r>
              <w:rPr>
                <w:color w:val="000000"/>
              </w:rPr>
              <w:t>Valstybės narės, priimdamos tas nuostatas, daro jose nuorodą į šią direktyvą arba tokia nuoroda daroma jas oficialiai skelbiant. Nuorodos darymo tvarką nustato valstybės narės.</w:t>
            </w:r>
          </w:p>
          <w:p w14:paraId="273E4CBD" w14:textId="77777777" w:rsidR="00311943" w:rsidRDefault="00311943" w:rsidP="008B4204">
            <w:pPr>
              <w:jc w:val="both"/>
              <w:rPr>
                <w:szCs w:val="24"/>
              </w:rPr>
            </w:pPr>
          </w:p>
          <w:p w14:paraId="273E4CBE" w14:textId="77777777" w:rsidR="00311943" w:rsidRDefault="00311943" w:rsidP="008B4204">
            <w:pPr>
              <w:jc w:val="both"/>
              <w:rPr>
                <w:szCs w:val="24"/>
              </w:rPr>
            </w:pPr>
          </w:p>
          <w:p w14:paraId="273E4CBF" w14:textId="77777777" w:rsidR="00311943" w:rsidRDefault="00311943" w:rsidP="008B4204">
            <w:pPr>
              <w:jc w:val="both"/>
              <w:rPr>
                <w:szCs w:val="24"/>
              </w:rPr>
            </w:pPr>
          </w:p>
          <w:p w14:paraId="273E4CC0" w14:textId="77777777" w:rsidR="00311943" w:rsidRDefault="00311943" w:rsidP="008B4204">
            <w:pPr>
              <w:jc w:val="both"/>
              <w:rPr>
                <w:szCs w:val="24"/>
              </w:rPr>
            </w:pPr>
          </w:p>
          <w:p w14:paraId="273E4CC1" w14:textId="77777777" w:rsidR="00311943" w:rsidRDefault="00311943" w:rsidP="008B4204">
            <w:pPr>
              <w:jc w:val="both"/>
              <w:rPr>
                <w:szCs w:val="24"/>
              </w:rPr>
            </w:pPr>
          </w:p>
          <w:p w14:paraId="273E4CC2" w14:textId="77777777" w:rsidR="00311943" w:rsidRDefault="00311943" w:rsidP="008B4204">
            <w:pPr>
              <w:jc w:val="both"/>
              <w:rPr>
                <w:szCs w:val="24"/>
              </w:rPr>
            </w:pPr>
          </w:p>
          <w:p w14:paraId="273E4CC3" w14:textId="77777777" w:rsidR="00311943" w:rsidRDefault="00311943" w:rsidP="008B4204">
            <w:pPr>
              <w:jc w:val="both"/>
              <w:rPr>
                <w:szCs w:val="24"/>
              </w:rPr>
            </w:pPr>
          </w:p>
          <w:p w14:paraId="273E4CC4" w14:textId="77777777" w:rsidR="00311943" w:rsidRDefault="00311943" w:rsidP="008B4204">
            <w:pPr>
              <w:jc w:val="both"/>
              <w:rPr>
                <w:szCs w:val="24"/>
              </w:rPr>
            </w:pPr>
          </w:p>
          <w:p w14:paraId="273E4CC5" w14:textId="77777777" w:rsidR="00CA73C9" w:rsidRDefault="00CA73C9" w:rsidP="008B4204">
            <w:pPr>
              <w:jc w:val="both"/>
              <w:rPr>
                <w:szCs w:val="24"/>
              </w:rPr>
            </w:pPr>
          </w:p>
          <w:p w14:paraId="273E4CC6" w14:textId="7E9A82CF" w:rsidR="00BA0D93" w:rsidRPr="008B4204" w:rsidRDefault="008B4204" w:rsidP="008B4204">
            <w:pPr>
              <w:jc w:val="both"/>
              <w:rPr>
                <w:szCs w:val="24"/>
              </w:rPr>
            </w:pPr>
            <w:r w:rsidRPr="008B4204">
              <w:rPr>
                <w:szCs w:val="24"/>
              </w:rPr>
              <w:t>2.Valstybės narės pateikia Komisijai šios direktyvos taikymo srityje priimtų nacionalinės teisės aktų pagrindinių nuostatų tekstus.</w:t>
            </w:r>
          </w:p>
        </w:tc>
        <w:tc>
          <w:tcPr>
            <w:tcW w:w="6120" w:type="dxa"/>
          </w:tcPr>
          <w:p w14:paraId="273E4CC7" w14:textId="77777777" w:rsidR="0081195E" w:rsidRDefault="0081195E" w:rsidP="00311943">
            <w:pPr>
              <w:pStyle w:val="Pagrindinistekstas"/>
              <w:spacing w:after="0"/>
              <w:rPr>
                <w:b/>
              </w:rPr>
            </w:pPr>
          </w:p>
          <w:p w14:paraId="3BCFC8ED" w14:textId="77777777" w:rsidR="00612FA8" w:rsidRDefault="00612FA8" w:rsidP="00311943">
            <w:pPr>
              <w:pStyle w:val="Pagrindinistekstas"/>
              <w:spacing w:after="0"/>
              <w:rPr>
                <w:b/>
              </w:rPr>
            </w:pPr>
          </w:p>
          <w:p w14:paraId="273E4CC8" w14:textId="4927DC01" w:rsidR="00311943" w:rsidRDefault="00311943" w:rsidP="003357BD">
            <w:pPr>
              <w:pStyle w:val="Pagrindinistekstas"/>
              <w:spacing w:after="0" w:line="276" w:lineRule="auto"/>
              <w:rPr>
                <w:b/>
              </w:rPr>
            </w:pPr>
            <w:r>
              <w:rPr>
                <w:b/>
              </w:rPr>
              <w:t xml:space="preserve">Nutarimo </w:t>
            </w:r>
            <w:r w:rsidR="00612FA8">
              <w:rPr>
                <w:b/>
              </w:rPr>
              <w:t xml:space="preserve">projekto </w:t>
            </w:r>
            <w:r>
              <w:rPr>
                <w:b/>
              </w:rPr>
              <w:t>2 punktas.</w:t>
            </w:r>
          </w:p>
          <w:p w14:paraId="273E4CC9" w14:textId="10BC90AC" w:rsidR="00311943" w:rsidRDefault="00311943" w:rsidP="003357BD">
            <w:pPr>
              <w:pStyle w:val="Pagrindinistekstas"/>
              <w:spacing w:after="0" w:line="276" w:lineRule="auto"/>
              <w:rPr>
                <w:b/>
              </w:rPr>
            </w:pPr>
            <w:r>
              <w:t xml:space="preserve">2. Šis nutarimas įsigalioja </w:t>
            </w:r>
            <w:r w:rsidRPr="001F7987">
              <w:t>20</w:t>
            </w:r>
            <w:r w:rsidR="004C5E20">
              <w:t>21</w:t>
            </w:r>
            <w:r w:rsidRPr="001F7987">
              <w:t xml:space="preserve"> m. </w:t>
            </w:r>
            <w:r w:rsidR="003357BD">
              <w:t>birželio 30</w:t>
            </w:r>
            <w:r w:rsidRPr="001F7987">
              <w:t xml:space="preserve"> d</w:t>
            </w:r>
            <w:r>
              <w:t>.</w:t>
            </w:r>
          </w:p>
          <w:p w14:paraId="273E4CCA" w14:textId="77777777" w:rsidR="00311943" w:rsidRDefault="00311943" w:rsidP="003357BD">
            <w:pPr>
              <w:pStyle w:val="Pagrindinistekstas"/>
              <w:spacing w:after="0" w:line="276" w:lineRule="auto"/>
              <w:rPr>
                <w:b/>
              </w:rPr>
            </w:pPr>
          </w:p>
          <w:p w14:paraId="0EF022A0" w14:textId="77777777" w:rsidR="004A7983" w:rsidRDefault="004A7983" w:rsidP="003357BD">
            <w:pPr>
              <w:pStyle w:val="Pagrindinistekstas"/>
              <w:spacing w:after="0" w:line="276" w:lineRule="auto"/>
              <w:rPr>
                <w:b/>
              </w:rPr>
            </w:pPr>
          </w:p>
          <w:p w14:paraId="273E4CCB" w14:textId="17FAE356" w:rsidR="00311943" w:rsidRDefault="00311943" w:rsidP="003357BD">
            <w:pPr>
              <w:pStyle w:val="Pagrindinistekstas"/>
              <w:spacing w:after="0" w:line="276" w:lineRule="auto"/>
            </w:pPr>
            <w:r>
              <w:rPr>
                <w:b/>
              </w:rPr>
              <w:t>Nutarimo 1.1 papunktis.</w:t>
            </w:r>
          </w:p>
          <w:p w14:paraId="67AC4DD1" w14:textId="510B8F71" w:rsidR="007A7BA0" w:rsidRPr="007A7BA0" w:rsidRDefault="007A7BA0" w:rsidP="007A7BA0">
            <w:pPr>
              <w:widowControl/>
              <w:tabs>
                <w:tab w:val="left" w:pos="720"/>
              </w:tabs>
              <w:suppressAutoHyphens w:val="0"/>
              <w:jc w:val="both"/>
              <w:rPr>
                <w:rFonts w:eastAsia="Times New Roman"/>
                <w:szCs w:val="24"/>
              </w:rPr>
            </w:pPr>
            <w:r>
              <w:rPr>
                <w:rFonts w:eastAsia="Times New Roman"/>
                <w:szCs w:val="24"/>
              </w:rPr>
              <w:t xml:space="preserve">1.1. </w:t>
            </w:r>
            <w:r w:rsidRPr="007A7BA0">
              <w:rPr>
                <w:rFonts w:eastAsia="Times New Roman"/>
                <w:szCs w:val="24"/>
              </w:rPr>
              <w:t>Pakeisti preambulę ir ją išdėstyti taip:</w:t>
            </w:r>
          </w:p>
          <w:p w14:paraId="273E4CCE" w14:textId="789A97F4" w:rsidR="008B4204" w:rsidRPr="00487D90" w:rsidRDefault="007A7BA0" w:rsidP="00487D90">
            <w:pPr>
              <w:widowControl/>
              <w:shd w:val="clear" w:color="auto" w:fill="FFFFFF"/>
              <w:suppressAutoHyphens w:val="0"/>
              <w:jc w:val="both"/>
              <w:rPr>
                <w:rFonts w:eastAsia="Times New Roman"/>
                <w:szCs w:val="24"/>
              </w:rPr>
            </w:pPr>
            <w:r w:rsidRPr="007A7BA0">
              <w:rPr>
                <w:rFonts w:eastAsia="Times New Roman"/>
                <w:szCs w:val="24"/>
              </w:rPr>
              <w:t xml:space="preserve">„Vadovaudamasi Lietuvos Respublikos pavojingųjų krovinių vežimo automobilių, geležinkelių ir vidaus vandenų keliais įstatymo (toliau – Įstatymas) 1 straipsnio 2 dalies 1 punktu ir 7 straipsnio 1 dalies 1 ir 2 punktais ir įgyvendindama 2008 m. rugsėjo 24 d. Europos Parlamento ir Tarybos direktyvą 2008/68/EB dėl pavojingų krovinių vežimo vidaus keliais </w:t>
            </w:r>
            <w:r>
              <w:rPr>
                <w:rFonts w:eastAsia="Times New Roman"/>
                <w:szCs w:val="24"/>
              </w:rPr>
              <w:t xml:space="preserve"> </w:t>
            </w:r>
            <w:r w:rsidRPr="007A7BA0">
              <w:rPr>
                <w:rFonts w:eastAsia="Times New Roman"/>
                <w:szCs w:val="24"/>
              </w:rPr>
              <w:t xml:space="preserve">su paskutiniais pakeitimais, padarytais </w:t>
            </w:r>
            <w:r w:rsidRPr="007A7BA0">
              <w:rPr>
                <w:rFonts w:eastAsia="Times New Roman"/>
                <w:color w:val="000000"/>
                <w:szCs w:val="24"/>
              </w:rPr>
              <w:t>2020 m. spalio 2 d. Komisijos deleguotąja direktyva (ES) 2020/1833</w:t>
            </w:r>
            <w:r w:rsidR="00487D90">
              <w:rPr>
                <w:rFonts w:eastAsia="Times New Roman"/>
                <w:szCs w:val="24"/>
              </w:rPr>
              <w:t xml:space="preserve">, </w:t>
            </w:r>
            <w:r w:rsidRPr="007A7BA0">
              <w:rPr>
                <w:rFonts w:eastAsia="Times New Roman"/>
                <w:szCs w:val="24"/>
              </w:rPr>
              <w:t>Lietuvos Respublikos Vyriausybė n u t a r i a:“.</w:t>
            </w:r>
          </w:p>
          <w:p w14:paraId="4D7591D6" w14:textId="77777777" w:rsidR="004A7983" w:rsidRDefault="004A7983" w:rsidP="00311943">
            <w:pPr>
              <w:jc w:val="both"/>
            </w:pPr>
          </w:p>
          <w:p w14:paraId="273E4CCF" w14:textId="2D6D196F" w:rsidR="008B4204" w:rsidRPr="008B4204" w:rsidRDefault="008B4204" w:rsidP="00311943">
            <w:pPr>
              <w:jc w:val="both"/>
            </w:pPr>
            <w:r w:rsidRPr="006A3826">
              <w:t xml:space="preserve">Direktyvos </w:t>
            </w:r>
            <w:r>
              <w:t>straipsnio nuostatų perkelti ir įgyvendinti nereikia.</w:t>
            </w:r>
          </w:p>
        </w:tc>
        <w:tc>
          <w:tcPr>
            <w:tcW w:w="2492" w:type="dxa"/>
          </w:tcPr>
          <w:p w14:paraId="273E4CD1" w14:textId="21259FEF" w:rsidR="008B4204" w:rsidRPr="00311943" w:rsidRDefault="00311943" w:rsidP="00DD404A">
            <w:pPr>
              <w:pStyle w:val="Pagrindinistekstas"/>
              <w:spacing w:after="0"/>
              <w:jc w:val="both"/>
            </w:pPr>
            <w:r w:rsidRPr="00311943">
              <w:t>Visiškas</w:t>
            </w:r>
          </w:p>
          <w:p w14:paraId="273E4CD2" w14:textId="77777777" w:rsidR="008B4204" w:rsidRDefault="008B4204" w:rsidP="00DD404A">
            <w:pPr>
              <w:pStyle w:val="Pagrindinistekstas"/>
              <w:spacing w:after="0"/>
              <w:jc w:val="both"/>
              <w:rPr>
                <w:b/>
              </w:rPr>
            </w:pPr>
          </w:p>
          <w:p w14:paraId="273E4CD3" w14:textId="77777777" w:rsidR="008B4204" w:rsidRDefault="008B4204" w:rsidP="00DD404A">
            <w:pPr>
              <w:pStyle w:val="Pagrindinistekstas"/>
              <w:spacing w:after="0"/>
              <w:jc w:val="both"/>
              <w:rPr>
                <w:b/>
              </w:rPr>
            </w:pPr>
          </w:p>
          <w:p w14:paraId="273E4CD4" w14:textId="77777777" w:rsidR="008B4204" w:rsidRDefault="008B4204" w:rsidP="00DD404A">
            <w:pPr>
              <w:pStyle w:val="Pagrindinistekstas"/>
              <w:spacing w:after="0"/>
              <w:jc w:val="both"/>
              <w:rPr>
                <w:b/>
              </w:rPr>
            </w:pPr>
          </w:p>
          <w:p w14:paraId="273E4CD5" w14:textId="77777777" w:rsidR="008B4204" w:rsidRDefault="008B4204" w:rsidP="00DD404A">
            <w:pPr>
              <w:pStyle w:val="Pagrindinistekstas"/>
              <w:spacing w:after="0"/>
              <w:jc w:val="both"/>
              <w:rPr>
                <w:b/>
              </w:rPr>
            </w:pPr>
          </w:p>
          <w:p w14:paraId="273E4CD6" w14:textId="77777777" w:rsidR="008B4204" w:rsidRDefault="008B4204" w:rsidP="00DD404A">
            <w:pPr>
              <w:pStyle w:val="Pagrindinistekstas"/>
              <w:spacing w:after="0"/>
              <w:jc w:val="both"/>
              <w:rPr>
                <w:b/>
              </w:rPr>
            </w:pPr>
          </w:p>
          <w:p w14:paraId="273E4CD7" w14:textId="77777777" w:rsidR="00311943" w:rsidRDefault="00311943" w:rsidP="00DD404A">
            <w:pPr>
              <w:pStyle w:val="Pagrindinistekstas"/>
              <w:spacing w:after="0"/>
              <w:jc w:val="both"/>
              <w:rPr>
                <w:b/>
              </w:rPr>
            </w:pPr>
          </w:p>
          <w:p w14:paraId="273E4CD8" w14:textId="77777777" w:rsidR="00311943" w:rsidRDefault="00311943" w:rsidP="00DD404A">
            <w:pPr>
              <w:pStyle w:val="Pagrindinistekstas"/>
              <w:spacing w:after="0"/>
              <w:jc w:val="both"/>
              <w:rPr>
                <w:b/>
              </w:rPr>
            </w:pPr>
          </w:p>
          <w:p w14:paraId="273E4CD9" w14:textId="77777777" w:rsidR="00311943" w:rsidRDefault="00311943" w:rsidP="00DD404A">
            <w:pPr>
              <w:pStyle w:val="Pagrindinistekstas"/>
              <w:spacing w:after="0"/>
              <w:jc w:val="both"/>
              <w:rPr>
                <w:b/>
              </w:rPr>
            </w:pPr>
          </w:p>
          <w:p w14:paraId="273E4CDA" w14:textId="77777777" w:rsidR="00311943" w:rsidRDefault="00311943" w:rsidP="00DD404A">
            <w:pPr>
              <w:pStyle w:val="Pagrindinistekstas"/>
              <w:spacing w:after="0"/>
              <w:jc w:val="both"/>
              <w:rPr>
                <w:b/>
              </w:rPr>
            </w:pPr>
          </w:p>
          <w:p w14:paraId="273E4CDB" w14:textId="77777777" w:rsidR="00311943" w:rsidRDefault="00311943" w:rsidP="00DD404A">
            <w:pPr>
              <w:pStyle w:val="Pagrindinistekstas"/>
              <w:spacing w:after="0"/>
              <w:jc w:val="both"/>
              <w:rPr>
                <w:b/>
              </w:rPr>
            </w:pPr>
          </w:p>
          <w:p w14:paraId="273E4CDC" w14:textId="77777777" w:rsidR="008B4204" w:rsidRDefault="008B4204" w:rsidP="00DD404A">
            <w:pPr>
              <w:pStyle w:val="Pagrindinistekstas"/>
              <w:spacing w:after="0"/>
              <w:jc w:val="both"/>
              <w:rPr>
                <w:b/>
              </w:rPr>
            </w:pPr>
          </w:p>
          <w:p w14:paraId="273E4CDD" w14:textId="77777777" w:rsidR="008B4204" w:rsidRDefault="008B4204" w:rsidP="00DD404A">
            <w:pPr>
              <w:pStyle w:val="Pagrindinistekstas"/>
              <w:spacing w:after="0"/>
              <w:jc w:val="both"/>
              <w:rPr>
                <w:b/>
              </w:rPr>
            </w:pPr>
          </w:p>
          <w:p w14:paraId="273E4CDE" w14:textId="77777777" w:rsidR="00311943" w:rsidRDefault="00311943" w:rsidP="00DD404A">
            <w:pPr>
              <w:pStyle w:val="Pagrindinistekstas"/>
              <w:spacing w:after="0"/>
              <w:jc w:val="both"/>
              <w:rPr>
                <w:b/>
              </w:rPr>
            </w:pPr>
          </w:p>
          <w:p w14:paraId="273E4CDF" w14:textId="77777777" w:rsidR="00311943" w:rsidRDefault="00311943" w:rsidP="00DD404A">
            <w:pPr>
              <w:pStyle w:val="Pagrindinistekstas"/>
              <w:spacing w:after="0"/>
              <w:jc w:val="both"/>
              <w:rPr>
                <w:b/>
              </w:rPr>
            </w:pPr>
          </w:p>
          <w:p w14:paraId="273E4CE0" w14:textId="77777777" w:rsidR="00CA73C9" w:rsidRDefault="00CA73C9" w:rsidP="00DD404A">
            <w:pPr>
              <w:pStyle w:val="Pagrindinistekstas"/>
              <w:spacing w:after="0"/>
              <w:jc w:val="both"/>
              <w:rPr>
                <w:b/>
              </w:rPr>
            </w:pPr>
          </w:p>
          <w:p w14:paraId="2C44DC64" w14:textId="77777777" w:rsidR="00EC234E" w:rsidRDefault="00EC234E" w:rsidP="00DD404A">
            <w:pPr>
              <w:pStyle w:val="Pagrindinistekstas"/>
              <w:spacing w:after="0"/>
              <w:jc w:val="both"/>
              <w:rPr>
                <w:b/>
              </w:rPr>
            </w:pPr>
          </w:p>
          <w:p w14:paraId="4A458BDA" w14:textId="77777777" w:rsidR="00E26083" w:rsidRDefault="00E26083" w:rsidP="00DD404A">
            <w:pPr>
              <w:pStyle w:val="Pagrindinistekstas"/>
              <w:spacing w:after="0"/>
              <w:jc w:val="both"/>
              <w:rPr>
                <w:b/>
              </w:rPr>
            </w:pPr>
          </w:p>
          <w:p w14:paraId="1BFE62E1" w14:textId="77777777" w:rsidR="00E26083" w:rsidRDefault="00E26083" w:rsidP="00DD404A">
            <w:pPr>
              <w:pStyle w:val="Pagrindinistekstas"/>
              <w:spacing w:after="0"/>
              <w:jc w:val="both"/>
              <w:rPr>
                <w:b/>
              </w:rPr>
            </w:pPr>
          </w:p>
          <w:p w14:paraId="273E4CE2" w14:textId="796BB6D3" w:rsidR="008B4204" w:rsidRPr="00E26083" w:rsidRDefault="008B4204" w:rsidP="00DD404A">
            <w:pPr>
              <w:pStyle w:val="Pagrindinistekstas"/>
              <w:spacing w:after="0"/>
              <w:jc w:val="both"/>
              <w:rPr>
                <w:bCs/>
              </w:rPr>
            </w:pPr>
            <w:r w:rsidRPr="00E26083">
              <w:rPr>
                <w:bCs/>
              </w:rPr>
              <w:t>–</w:t>
            </w:r>
          </w:p>
        </w:tc>
      </w:tr>
      <w:tr w:rsidR="008B4204" w:rsidRPr="00E4338F" w14:paraId="273E4CE8" w14:textId="77777777" w:rsidTr="00FD6D3D">
        <w:tc>
          <w:tcPr>
            <w:tcW w:w="7061" w:type="dxa"/>
          </w:tcPr>
          <w:p w14:paraId="273E4CE4" w14:textId="77777777" w:rsidR="008B4204" w:rsidRDefault="008B4204" w:rsidP="008B4204">
            <w:pPr>
              <w:jc w:val="center"/>
              <w:rPr>
                <w:szCs w:val="24"/>
              </w:rPr>
            </w:pPr>
            <w:r>
              <w:rPr>
                <w:i/>
                <w:szCs w:val="24"/>
              </w:rPr>
              <w:t>3 straipsnis</w:t>
            </w:r>
          </w:p>
          <w:p w14:paraId="273E4CE5" w14:textId="77777777" w:rsidR="008B4204" w:rsidRPr="008B4204" w:rsidRDefault="008B4204" w:rsidP="008B4204">
            <w:pPr>
              <w:jc w:val="both"/>
              <w:rPr>
                <w:szCs w:val="24"/>
              </w:rPr>
            </w:pPr>
            <w:r w:rsidRPr="008B4204">
              <w:rPr>
                <w:szCs w:val="24"/>
              </w:rPr>
              <w:t xml:space="preserve">Ši direktyva įsigalioja dvidešimtą dieną po jos paskelbimo </w:t>
            </w:r>
            <w:r w:rsidRPr="008B4204">
              <w:rPr>
                <w:i/>
                <w:szCs w:val="24"/>
              </w:rPr>
              <w:t>Europos Sąjungos oficialiajame leidinyje</w:t>
            </w:r>
            <w:r w:rsidRPr="008B4204">
              <w:rPr>
                <w:szCs w:val="24"/>
              </w:rPr>
              <w:t>.</w:t>
            </w:r>
          </w:p>
        </w:tc>
        <w:tc>
          <w:tcPr>
            <w:tcW w:w="6120" w:type="dxa"/>
          </w:tcPr>
          <w:p w14:paraId="741F41DD" w14:textId="77777777" w:rsidR="004A7983" w:rsidRDefault="004A7983" w:rsidP="008B4204">
            <w:pPr>
              <w:jc w:val="both"/>
              <w:rPr>
                <w:color w:val="000000"/>
              </w:rPr>
            </w:pPr>
          </w:p>
          <w:p w14:paraId="273E4CE6" w14:textId="3268A8C4" w:rsidR="008B4204" w:rsidRPr="006A3826" w:rsidRDefault="008B4204" w:rsidP="008B4204">
            <w:pPr>
              <w:jc w:val="both"/>
            </w:pPr>
            <w:r w:rsidRPr="006C54C4">
              <w:rPr>
                <w:color w:val="000000"/>
              </w:rPr>
              <w:t>Direktyvos straipsnio perkelti ir įgyvendinti nereikia.</w:t>
            </w:r>
          </w:p>
        </w:tc>
        <w:tc>
          <w:tcPr>
            <w:tcW w:w="2492" w:type="dxa"/>
          </w:tcPr>
          <w:p w14:paraId="61FD8443" w14:textId="77777777" w:rsidR="00E26083" w:rsidRDefault="00E26083" w:rsidP="008B4204">
            <w:pPr>
              <w:pStyle w:val="Pagrindinistekstas"/>
              <w:spacing w:after="0"/>
              <w:jc w:val="both"/>
            </w:pPr>
          </w:p>
          <w:p w14:paraId="273E4CE7" w14:textId="3347BBD4" w:rsidR="008B4204" w:rsidRDefault="008B4204" w:rsidP="008B4204">
            <w:pPr>
              <w:pStyle w:val="Pagrindinistekstas"/>
              <w:spacing w:after="0"/>
              <w:jc w:val="both"/>
            </w:pPr>
            <w:r>
              <w:t>–</w:t>
            </w:r>
          </w:p>
        </w:tc>
      </w:tr>
      <w:tr w:rsidR="008B4204" w:rsidRPr="00E4338F" w14:paraId="273E4CED" w14:textId="77777777" w:rsidTr="00FD6D3D">
        <w:tc>
          <w:tcPr>
            <w:tcW w:w="7061" w:type="dxa"/>
          </w:tcPr>
          <w:p w14:paraId="273E4CE9" w14:textId="77777777" w:rsidR="008B4204" w:rsidRDefault="008B4204" w:rsidP="008B4204">
            <w:pPr>
              <w:jc w:val="center"/>
              <w:rPr>
                <w:szCs w:val="24"/>
              </w:rPr>
            </w:pPr>
            <w:r>
              <w:rPr>
                <w:i/>
                <w:szCs w:val="24"/>
              </w:rPr>
              <w:t>4 straipsnis</w:t>
            </w:r>
          </w:p>
          <w:p w14:paraId="273E4CEA" w14:textId="77777777" w:rsidR="008B4204" w:rsidRPr="008B4204" w:rsidRDefault="008B4204" w:rsidP="008B4204">
            <w:pPr>
              <w:rPr>
                <w:szCs w:val="24"/>
              </w:rPr>
            </w:pPr>
            <w:r w:rsidRPr="008B4204">
              <w:rPr>
                <w:szCs w:val="24"/>
              </w:rPr>
              <w:t>Ši direktyva skirta valstybėms narėms.</w:t>
            </w:r>
          </w:p>
        </w:tc>
        <w:tc>
          <w:tcPr>
            <w:tcW w:w="6120" w:type="dxa"/>
          </w:tcPr>
          <w:p w14:paraId="1D9645C8" w14:textId="77777777" w:rsidR="004A7983" w:rsidRDefault="004A7983" w:rsidP="008B4204">
            <w:pPr>
              <w:jc w:val="both"/>
            </w:pPr>
          </w:p>
          <w:p w14:paraId="273E4CEB" w14:textId="4E2C8926" w:rsidR="008B4204" w:rsidRPr="00323C5C" w:rsidRDefault="008B4204" w:rsidP="008B4204">
            <w:pPr>
              <w:jc w:val="both"/>
              <w:rPr>
                <w:b/>
              </w:rPr>
            </w:pPr>
            <w:r w:rsidRPr="006A3826">
              <w:t xml:space="preserve">Direktyvos </w:t>
            </w:r>
            <w:r>
              <w:t>straipsnio perkelti ir įgyvendinti nereikia.</w:t>
            </w:r>
          </w:p>
        </w:tc>
        <w:tc>
          <w:tcPr>
            <w:tcW w:w="2492" w:type="dxa"/>
          </w:tcPr>
          <w:p w14:paraId="71D3AAD1" w14:textId="77777777" w:rsidR="00E26083" w:rsidRDefault="00E26083" w:rsidP="008B4204">
            <w:pPr>
              <w:pStyle w:val="Pagrindinistekstas"/>
              <w:spacing w:after="0"/>
            </w:pPr>
          </w:p>
          <w:p w14:paraId="273E4CEC" w14:textId="55C7ECC8" w:rsidR="008B4204" w:rsidRPr="007336BF" w:rsidRDefault="008B4204" w:rsidP="008B4204">
            <w:pPr>
              <w:pStyle w:val="Pagrindinistekstas"/>
              <w:spacing w:after="0"/>
            </w:pPr>
            <w:r>
              <w:t>–</w:t>
            </w:r>
          </w:p>
        </w:tc>
      </w:tr>
    </w:tbl>
    <w:p w14:paraId="273E4CEE" w14:textId="77777777" w:rsidR="00286A8E" w:rsidRPr="0079114D" w:rsidRDefault="00286A8E" w:rsidP="00112D4A">
      <w:pPr>
        <w:pStyle w:val="Pagrindinistekstas"/>
        <w:spacing w:after="0"/>
        <w:rPr>
          <w:b/>
        </w:rPr>
      </w:pPr>
    </w:p>
    <w:sectPr w:rsidR="00286A8E" w:rsidRPr="0079114D" w:rsidSect="00B50804">
      <w:headerReference w:type="even" r:id="rId7"/>
      <w:headerReference w:type="default" r:id="rId8"/>
      <w:headerReference w:type="first" r:id="rId9"/>
      <w:footnotePr>
        <w:pos w:val="beneathText"/>
      </w:footnotePr>
      <w:pgSz w:w="16837" w:h="11905" w:orient="landscape"/>
      <w:pgMar w:top="993"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9937" w14:textId="77777777" w:rsidR="00E865D9" w:rsidRDefault="00E865D9">
      <w:r>
        <w:separator/>
      </w:r>
    </w:p>
  </w:endnote>
  <w:endnote w:type="continuationSeparator" w:id="0">
    <w:p w14:paraId="290FD158" w14:textId="77777777" w:rsidR="00E865D9" w:rsidRDefault="00E8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2826" w14:textId="77777777" w:rsidR="00E865D9" w:rsidRDefault="00E865D9">
      <w:r>
        <w:separator/>
      </w:r>
    </w:p>
  </w:footnote>
  <w:footnote w:type="continuationSeparator" w:id="0">
    <w:p w14:paraId="5E760F10" w14:textId="77777777" w:rsidR="00E865D9" w:rsidRDefault="00E86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4CF3" w14:textId="77777777" w:rsidR="009E0DAA" w:rsidRDefault="00025115" w:rsidP="001A0C70">
    <w:pPr>
      <w:pStyle w:val="Antrats"/>
      <w:framePr w:wrap="around" w:vAnchor="text" w:hAnchor="margin" w:xAlign="center" w:y="1"/>
      <w:rPr>
        <w:rStyle w:val="Puslapionumeris"/>
      </w:rPr>
    </w:pPr>
    <w:r>
      <w:rPr>
        <w:rStyle w:val="Puslapionumeris"/>
      </w:rPr>
      <w:fldChar w:fldCharType="begin"/>
    </w:r>
    <w:r w:rsidR="009E0DAA">
      <w:rPr>
        <w:rStyle w:val="Puslapionumeris"/>
      </w:rPr>
      <w:instrText xml:space="preserve">PAGE  </w:instrText>
    </w:r>
    <w:r>
      <w:rPr>
        <w:rStyle w:val="Puslapionumeris"/>
      </w:rPr>
      <w:fldChar w:fldCharType="end"/>
    </w:r>
  </w:p>
  <w:p w14:paraId="273E4CF4" w14:textId="77777777" w:rsidR="009E0DAA" w:rsidRDefault="009E0D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4CF5" w14:textId="77777777" w:rsidR="009E0DAA" w:rsidRDefault="00025115" w:rsidP="001A0C70">
    <w:pPr>
      <w:pStyle w:val="Antrats"/>
      <w:framePr w:wrap="around" w:vAnchor="text" w:hAnchor="margin" w:xAlign="center" w:y="1"/>
      <w:rPr>
        <w:rStyle w:val="Puslapionumeris"/>
      </w:rPr>
    </w:pPr>
    <w:r>
      <w:rPr>
        <w:rStyle w:val="Puslapionumeris"/>
      </w:rPr>
      <w:fldChar w:fldCharType="begin"/>
    </w:r>
    <w:r w:rsidR="009E0DAA">
      <w:rPr>
        <w:rStyle w:val="Puslapionumeris"/>
      </w:rPr>
      <w:instrText xml:space="preserve">PAGE  </w:instrText>
    </w:r>
    <w:r>
      <w:rPr>
        <w:rStyle w:val="Puslapionumeris"/>
      </w:rPr>
      <w:fldChar w:fldCharType="separate"/>
    </w:r>
    <w:r w:rsidR="00934ABC">
      <w:rPr>
        <w:rStyle w:val="Puslapionumeris"/>
        <w:noProof/>
      </w:rPr>
      <w:t>3</w:t>
    </w:r>
    <w:r>
      <w:rPr>
        <w:rStyle w:val="Puslapionumeris"/>
      </w:rPr>
      <w:fldChar w:fldCharType="end"/>
    </w:r>
  </w:p>
  <w:p w14:paraId="273E4CF6" w14:textId="77777777" w:rsidR="009E0DAA" w:rsidRDefault="009E0D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4CF7" w14:textId="77777777" w:rsidR="00890AA0" w:rsidRPr="00A13DE2" w:rsidRDefault="00890AA0" w:rsidP="00A13DE2">
    <w:pPr>
      <w:pStyle w:val="Antrats"/>
      <w:jc w:val="right"/>
      <w:rPr>
        <w:b/>
      </w:rPr>
    </w:pPr>
  </w:p>
  <w:p w14:paraId="273E4CF8" w14:textId="77777777" w:rsidR="00A13DE2" w:rsidRDefault="00A13D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81792"/>
    <w:multiLevelType w:val="hybridMultilevel"/>
    <w:tmpl w:val="28DCE368"/>
    <w:lvl w:ilvl="0" w:tplc="678831DE">
      <w:start w:val="1"/>
      <w:numFmt w:val="decimal"/>
      <w:lvlText w:val="%1."/>
      <w:lvlJc w:val="left"/>
      <w:pPr>
        <w:tabs>
          <w:tab w:val="num" w:pos="0"/>
        </w:tabs>
        <w:ind w:left="0" w:firstLine="1298"/>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E5C4B7E"/>
    <w:multiLevelType w:val="hybridMultilevel"/>
    <w:tmpl w:val="A81A9092"/>
    <w:lvl w:ilvl="0" w:tplc="006C682A">
      <w:start w:val="2"/>
      <w:numFmt w:val="decimal"/>
      <w:lvlText w:val="%1."/>
      <w:lvlJc w:val="left"/>
      <w:pPr>
        <w:tabs>
          <w:tab w:val="num" w:pos="77"/>
        </w:tabs>
        <w:ind w:left="77" w:hanging="855"/>
      </w:pPr>
      <w:rPr>
        <w:rFonts w:hint="default"/>
        <w:b w:val="0"/>
      </w:rPr>
    </w:lvl>
    <w:lvl w:ilvl="1" w:tplc="04270019" w:tentative="1">
      <w:start w:val="1"/>
      <w:numFmt w:val="lowerLetter"/>
      <w:lvlText w:val="%2."/>
      <w:lvlJc w:val="left"/>
      <w:pPr>
        <w:tabs>
          <w:tab w:val="num" w:pos="302"/>
        </w:tabs>
        <w:ind w:left="302" w:hanging="360"/>
      </w:pPr>
    </w:lvl>
    <w:lvl w:ilvl="2" w:tplc="0427001B" w:tentative="1">
      <w:start w:val="1"/>
      <w:numFmt w:val="lowerRoman"/>
      <w:lvlText w:val="%3."/>
      <w:lvlJc w:val="right"/>
      <w:pPr>
        <w:tabs>
          <w:tab w:val="num" w:pos="1022"/>
        </w:tabs>
        <w:ind w:left="1022" w:hanging="180"/>
      </w:pPr>
    </w:lvl>
    <w:lvl w:ilvl="3" w:tplc="0427000F" w:tentative="1">
      <w:start w:val="1"/>
      <w:numFmt w:val="decimal"/>
      <w:lvlText w:val="%4."/>
      <w:lvlJc w:val="left"/>
      <w:pPr>
        <w:tabs>
          <w:tab w:val="num" w:pos="1742"/>
        </w:tabs>
        <w:ind w:left="1742" w:hanging="360"/>
      </w:pPr>
    </w:lvl>
    <w:lvl w:ilvl="4" w:tplc="04270019" w:tentative="1">
      <w:start w:val="1"/>
      <w:numFmt w:val="lowerLetter"/>
      <w:lvlText w:val="%5."/>
      <w:lvlJc w:val="left"/>
      <w:pPr>
        <w:tabs>
          <w:tab w:val="num" w:pos="2462"/>
        </w:tabs>
        <w:ind w:left="2462" w:hanging="360"/>
      </w:pPr>
    </w:lvl>
    <w:lvl w:ilvl="5" w:tplc="0427001B" w:tentative="1">
      <w:start w:val="1"/>
      <w:numFmt w:val="lowerRoman"/>
      <w:lvlText w:val="%6."/>
      <w:lvlJc w:val="right"/>
      <w:pPr>
        <w:tabs>
          <w:tab w:val="num" w:pos="3182"/>
        </w:tabs>
        <w:ind w:left="3182" w:hanging="180"/>
      </w:pPr>
    </w:lvl>
    <w:lvl w:ilvl="6" w:tplc="0427000F" w:tentative="1">
      <w:start w:val="1"/>
      <w:numFmt w:val="decimal"/>
      <w:lvlText w:val="%7."/>
      <w:lvlJc w:val="left"/>
      <w:pPr>
        <w:tabs>
          <w:tab w:val="num" w:pos="3902"/>
        </w:tabs>
        <w:ind w:left="3902" w:hanging="360"/>
      </w:pPr>
    </w:lvl>
    <w:lvl w:ilvl="7" w:tplc="04270019" w:tentative="1">
      <w:start w:val="1"/>
      <w:numFmt w:val="lowerLetter"/>
      <w:lvlText w:val="%8."/>
      <w:lvlJc w:val="left"/>
      <w:pPr>
        <w:tabs>
          <w:tab w:val="num" w:pos="4622"/>
        </w:tabs>
        <w:ind w:left="4622" w:hanging="360"/>
      </w:pPr>
    </w:lvl>
    <w:lvl w:ilvl="8" w:tplc="0427001B" w:tentative="1">
      <w:start w:val="1"/>
      <w:numFmt w:val="lowerRoman"/>
      <w:lvlText w:val="%9."/>
      <w:lvlJc w:val="right"/>
      <w:pPr>
        <w:tabs>
          <w:tab w:val="num" w:pos="5342"/>
        </w:tabs>
        <w:ind w:left="5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52B"/>
    <w:rsid w:val="000000F1"/>
    <w:rsid w:val="00007CF7"/>
    <w:rsid w:val="00010907"/>
    <w:rsid w:val="000163B9"/>
    <w:rsid w:val="000204C6"/>
    <w:rsid w:val="00022B7F"/>
    <w:rsid w:val="00023BF9"/>
    <w:rsid w:val="000246A1"/>
    <w:rsid w:val="000246DB"/>
    <w:rsid w:val="00025115"/>
    <w:rsid w:val="000257B4"/>
    <w:rsid w:val="00027A42"/>
    <w:rsid w:val="00033354"/>
    <w:rsid w:val="00034A36"/>
    <w:rsid w:val="00042A4A"/>
    <w:rsid w:val="00043745"/>
    <w:rsid w:val="00050AA8"/>
    <w:rsid w:val="00053EEB"/>
    <w:rsid w:val="000547D7"/>
    <w:rsid w:val="000630CE"/>
    <w:rsid w:val="000644D5"/>
    <w:rsid w:val="00065DB9"/>
    <w:rsid w:val="00070A16"/>
    <w:rsid w:val="000712A5"/>
    <w:rsid w:val="000730D5"/>
    <w:rsid w:val="0007548C"/>
    <w:rsid w:val="00076402"/>
    <w:rsid w:val="00080191"/>
    <w:rsid w:val="00084D29"/>
    <w:rsid w:val="000910BF"/>
    <w:rsid w:val="00091824"/>
    <w:rsid w:val="000924E2"/>
    <w:rsid w:val="000952F6"/>
    <w:rsid w:val="00095680"/>
    <w:rsid w:val="0009712B"/>
    <w:rsid w:val="000A05E4"/>
    <w:rsid w:val="000A5D81"/>
    <w:rsid w:val="000A604C"/>
    <w:rsid w:val="000A6390"/>
    <w:rsid w:val="000A7501"/>
    <w:rsid w:val="000A7FF4"/>
    <w:rsid w:val="000B53EB"/>
    <w:rsid w:val="000B681C"/>
    <w:rsid w:val="000C36F1"/>
    <w:rsid w:val="000C4B2F"/>
    <w:rsid w:val="000C5269"/>
    <w:rsid w:val="000C77D0"/>
    <w:rsid w:val="000D5ED9"/>
    <w:rsid w:val="000D6827"/>
    <w:rsid w:val="000E3657"/>
    <w:rsid w:val="000E5AED"/>
    <w:rsid w:val="000E6C1E"/>
    <w:rsid w:val="000E6CC3"/>
    <w:rsid w:val="000E72B9"/>
    <w:rsid w:val="000F2F80"/>
    <w:rsid w:val="000F55A8"/>
    <w:rsid w:val="00103EC5"/>
    <w:rsid w:val="00110B02"/>
    <w:rsid w:val="00111C1C"/>
    <w:rsid w:val="00112D4A"/>
    <w:rsid w:val="00116684"/>
    <w:rsid w:val="001221A1"/>
    <w:rsid w:val="001338F8"/>
    <w:rsid w:val="00136387"/>
    <w:rsid w:val="0014050A"/>
    <w:rsid w:val="00147370"/>
    <w:rsid w:val="00147C3D"/>
    <w:rsid w:val="00150245"/>
    <w:rsid w:val="001503CF"/>
    <w:rsid w:val="001509CD"/>
    <w:rsid w:val="00151999"/>
    <w:rsid w:val="0015267C"/>
    <w:rsid w:val="00154E19"/>
    <w:rsid w:val="0015591E"/>
    <w:rsid w:val="001575A4"/>
    <w:rsid w:val="001600A5"/>
    <w:rsid w:val="0016092B"/>
    <w:rsid w:val="00163665"/>
    <w:rsid w:val="001642D2"/>
    <w:rsid w:val="00164A7C"/>
    <w:rsid w:val="001835E4"/>
    <w:rsid w:val="00186DAD"/>
    <w:rsid w:val="001910CB"/>
    <w:rsid w:val="00193CB3"/>
    <w:rsid w:val="00194800"/>
    <w:rsid w:val="0019747D"/>
    <w:rsid w:val="001A0C70"/>
    <w:rsid w:val="001A2837"/>
    <w:rsid w:val="001A2AC0"/>
    <w:rsid w:val="001A340A"/>
    <w:rsid w:val="001A5ACB"/>
    <w:rsid w:val="001B16F7"/>
    <w:rsid w:val="001B1847"/>
    <w:rsid w:val="001B5ED3"/>
    <w:rsid w:val="001B6CAB"/>
    <w:rsid w:val="001C1892"/>
    <w:rsid w:val="001C4310"/>
    <w:rsid w:val="001C4712"/>
    <w:rsid w:val="001C66DA"/>
    <w:rsid w:val="001D004E"/>
    <w:rsid w:val="001E22F8"/>
    <w:rsid w:val="001E3E7B"/>
    <w:rsid w:val="001E5970"/>
    <w:rsid w:val="001F0F24"/>
    <w:rsid w:val="001F40DE"/>
    <w:rsid w:val="001F5518"/>
    <w:rsid w:val="001F745C"/>
    <w:rsid w:val="00200E59"/>
    <w:rsid w:val="00201E26"/>
    <w:rsid w:val="002045E8"/>
    <w:rsid w:val="002055CD"/>
    <w:rsid w:val="00206DE0"/>
    <w:rsid w:val="00217BBC"/>
    <w:rsid w:val="00223700"/>
    <w:rsid w:val="002248D2"/>
    <w:rsid w:val="002272A0"/>
    <w:rsid w:val="002304C1"/>
    <w:rsid w:val="00232130"/>
    <w:rsid w:val="00232661"/>
    <w:rsid w:val="002355DB"/>
    <w:rsid w:val="002441FD"/>
    <w:rsid w:val="00245472"/>
    <w:rsid w:val="00246FC1"/>
    <w:rsid w:val="00253A53"/>
    <w:rsid w:val="00256608"/>
    <w:rsid w:val="00257181"/>
    <w:rsid w:val="00263632"/>
    <w:rsid w:val="0026472E"/>
    <w:rsid w:val="00264A21"/>
    <w:rsid w:val="00266DE7"/>
    <w:rsid w:val="00271BF1"/>
    <w:rsid w:val="002724A6"/>
    <w:rsid w:val="00274A18"/>
    <w:rsid w:val="00275AD9"/>
    <w:rsid w:val="00275F61"/>
    <w:rsid w:val="00282F14"/>
    <w:rsid w:val="00286A8E"/>
    <w:rsid w:val="00294457"/>
    <w:rsid w:val="00296837"/>
    <w:rsid w:val="002A07A0"/>
    <w:rsid w:val="002A679E"/>
    <w:rsid w:val="002B00F0"/>
    <w:rsid w:val="002B1709"/>
    <w:rsid w:val="002B7677"/>
    <w:rsid w:val="002C0B37"/>
    <w:rsid w:val="002C4A25"/>
    <w:rsid w:val="002C4FE8"/>
    <w:rsid w:val="002C6794"/>
    <w:rsid w:val="002D67AA"/>
    <w:rsid w:val="002D7635"/>
    <w:rsid w:val="002D76DB"/>
    <w:rsid w:val="002D7CDF"/>
    <w:rsid w:val="002E0104"/>
    <w:rsid w:val="002E3A06"/>
    <w:rsid w:val="002E53BA"/>
    <w:rsid w:val="002E7757"/>
    <w:rsid w:val="002F0C5A"/>
    <w:rsid w:val="002F1BBF"/>
    <w:rsid w:val="002F52DB"/>
    <w:rsid w:val="00303E25"/>
    <w:rsid w:val="00305DFE"/>
    <w:rsid w:val="00311943"/>
    <w:rsid w:val="0031318C"/>
    <w:rsid w:val="00315689"/>
    <w:rsid w:val="00323C5C"/>
    <w:rsid w:val="003277A6"/>
    <w:rsid w:val="00330EB8"/>
    <w:rsid w:val="003357BD"/>
    <w:rsid w:val="003423B5"/>
    <w:rsid w:val="00352275"/>
    <w:rsid w:val="00352773"/>
    <w:rsid w:val="003529B1"/>
    <w:rsid w:val="00361F3D"/>
    <w:rsid w:val="00375AAB"/>
    <w:rsid w:val="0038171D"/>
    <w:rsid w:val="00381D9D"/>
    <w:rsid w:val="00383531"/>
    <w:rsid w:val="00384E75"/>
    <w:rsid w:val="003866F3"/>
    <w:rsid w:val="00386B2A"/>
    <w:rsid w:val="00387312"/>
    <w:rsid w:val="00390F2A"/>
    <w:rsid w:val="00391656"/>
    <w:rsid w:val="00394BF8"/>
    <w:rsid w:val="003A2DC8"/>
    <w:rsid w:val="003A622E"/>
    <w:rsid w:val="003A7BB3"/>
    <w:rsid w:val="003B6106"/>
    <w:rsid w:val="003C0A13"/>
    <w:rsid w:val="003C14D2"/>
    <w:rsid w:val="003C77D1"/>
    <w:rsid w:val="003D0592"/>
    <w:rsid w:val="003D16F8"/>
    <w:rsid w:val="003D23E3"/>
    <w:rsid w:val="003D732E"/>
    <w:rsid w:val="003E4F22"/>
    <w:rsid w:val="003E6477"/>
    <w:rsid w:val="003F5F8C"/>
    <w:rsid w:val="00402F42"/>
    <w:rsid w:val="00406C76"/>
    <w:rsid w:val="00407CA3"/>
    <w:rsid w:val="0041154B"/>
    <w:rsid w:val="00413C08"/>
    <w:rsid w:val="00414F3E"/>
    <w:rsid w:val="00420573"/>
    <w:rsid w:val="00426548"/>
    <w:rsid w:val="00434BEB"/>
    <w:rsid w:val="00440A8E"/>
    <w:rsid w:val="00445A40"/>
    <w:rsid w:val="00447DFB"/>
    <w:rsid w:val="0045559F"/>
    <w:rsid w:val="0046213C"/>
    <w:rsid w:val="0046427B"/>
    <w:rsid w:val="00464319"/>
    <w:rsid w:val="00464E7C"/>
    <w:rsid w:val="00465961"/>
    <w:rsid w:val="004765C5"/>
    <w:rsid w:val="00485D97"/>
    <w:rsid w:val="00486759"/>
    <w:rsid w:val="0048715E"/>
    <w:rsid w:val="00487D90"/>
    <w:rsid w:val="00487FEA"/>
    <w:rsid w:val="00490A76"/>
    <w:rsid w:val="00491F04"/>
    <w:rsid w:val="004928A5"/>
    <w:rsid w:val="00494B7B"/>
    <w:rsid w:val="00497970"/>
    <w:rsid w:val="00497A55"/>
    <w:rsid w:val="004A1E40"/>
    <w:rsid w:val="004A7983"/>
    <w:rsid w:val="004C50BE"/>
    <w:rsid w:val="004C5E20"/>
    <w:rsid w:val="004D13CE"/>
    <w:rsid w:val="004D3178"/>
    <w:rsid w:val="004E0AD1"/>
    <w:rsid w:val="004E2121"/>
    <w:rsid w:val="004E3492"/>
    <w:rsid w:val="004F0EBE"/>
    <w:rsid w:val="004F1473"/>
    <w:rsid w:val="004F2022"/>
    <w:rsid w:val="004F28BB"/>
    <w:rsid w:val="004F380E"/>
    <w:rsid w:val="004F44CB"/>
    <w:rsid w:val="004F45B1"/>
    <w:rsid w:val="004F7657"/>
    <w:rsid w:val="004F7987"/>
    <w:rsid w:val="004F7C16"/>
    <w:rsid w:val="0050510D"/>
    <w:rsid w:val="005053F4"/>
    <w:rsid w:val="005072B8"/>
    <w:rsid w:val="00511ABB"/>
    <w:rsid w:val="00513242"/>
    <w:rsid w:val="00514018"/>
    <w:rsid w:val="0051459B"/>
    <w:rsid w:val="00514A11"/>
    <w:rsid w:val="005165FA"/>
    <w:rsid w:val="005167A5"/>
    <w:rsid w:val="00525162"/>
    <w:rsid w:val="005251B8"/>
    <w:rsid w:val="005277EE"/>
    <w:rsid w:val="0053305E"/>
    <w:rsid w:val="0053493B"/>
    <w:rsid w:val="00536651"/>
    <w:rsid w:val="00537F77"/>
    <w:rsid w:val="005405F7"/>
    <w:rsid w:val="00550472"/>
    <w:rsid w:val="00553189"/>
    <w:rsid w:val="00554A37"/>
    <w:rsid w:val="00555D48"/>
    <w:rsid w:val="00555E15"/>
    <w:rsid w:val="00557E92"/>
    <w:rsid w:val="005601F5"/>
    <w:rsid w:val="00560BAD"/>
    <w:rsid w:val="00562432"/>
    <w:rsid w:val="00562644"/>
    <w:rsid w:val="0056641B"/>
    <w:rsid w:val="005669FA"/>
    <w:rsid w:val="00571149"/>
    <w:rsid w:val="005916BF"/>
    <w:rsid w:val="00592D9E"/>
    <w:rsid w:val="0059705B"/>
    <w:rsid w:val="005B093F"/>
    <w:rsid w:val="005B1C34"/>
    <w:rsid w:val="005B2584"/>
    <w:rsid w:val="005B416C"/>
    <w:rsid w:val="005B565A"/>
    <w:rsid w:val="005C1EBC"/>
    <w:rsid w:val="005C2718"/>
    <w:rsid w:val="005C46ED"/>
    <w:rsid w:val="005C6150"/>
    <w:rsid w:val="005C6F13"/>
    <w:rsid w:val="005D34D5"/>
    <w:rsid w:val="005D36DF"/>
    <w:rsid w:val="005D524A"/>
    <w:rsid w:val="005E1EEF"/>
    <w:rsid w:val="005E45B5"/>
    <w:rsid w:val="005F18B1"/>
    <w:rsid w:val="005F3608"/>
    <w:rsid w:val="00601AF2"/>
    <w:rsid w:val="00601F92"/>
    <w:rsid w:val="00602014"/>
    <w:rsid w:val="006072D9"/>
    <w:rsid w:val="00610E06"/>
    <w:rsid w:val="00612FA8"/>
    <w:rsid w:val="00621313"/>
    <w:rsid w:val="0062322D"/>
    <w:rsid w:val="006249BF"/>
    <w:rsid w:val="0062675C"/>
    <w:rsid w:val="00630346"/>
    <w:rsid w:val="00634FC8"/>
    <w:rsid w:val="006362C1"/>
    <w:rsid w:val="00642327"/>
    <w:rsid w:val="00650F66"/>
    <w:rsid w:val="00652FC8"/>
    <w:rsid w:val="0065336F"/>
    <w:rsid w:val="006544BB"/>
    <w:rsid w:val="006554CF"/>
    <w:rsid w:val="00655A35"/>
    <w:rsid w:val="00662A4E"/>
    <w:rsid w:val="00663E99"/>
    <w:rsid w:val="00665545"/>
    <w:rsid w:val="00666FC3"/>
    <w:rsid w:val="00690F55"/>
    <w:rsid w:val="00691B06"/>
    <w:rsid w:val="00691FE5"/>
    <w:rsid w:val="006923F3"/>
    <w:rsid w:val="006937AE"/>
    <w:rsid w:val="006A0DA7"/>
    <w:rsid w:val="006A1E91"/>
    <w:rsid w:val="006A23FD"/>
    <w:rsid w:val="006A3826"/>
    <w:rsid w:val="006B5107"/>
    <w:rsid w:val="006B5164"/>
    <w:rsid w:val="006C1973"/>
    <w:rsid w:val="006C54C4"/>
    <w:rsid w:val="006D0BE4"/>
    <w:rsid w:val="006D4072"/>
    <w:rsid w:val="006D502F"/>
    <w:rsid w:val="006D7F35"/>
    <w:rsid w:val="006E036E"/>
    <w:rsid w:val="006E0394"/>
    <w:rsid w:val="006E0D86"/>
    <w:rsid w:val="006E29C2"/>
    <w:rsid w:val="006E2D01"/>
    <w:rsid w:val="006E6353"/>
    <w:rsid w:val="006F123E"/>
    <w:rsid w:val="006F4A96"/>
    <w:rsid w:val="006F52EA"/>
    <w:rsid w:val="006F586F"/>
    <w:rsid w:val="00701624"/>
    <w:rsid w:val="007049A2"/>
    <w:rsid w:val="007050C8"/>
    <w:rsid w:val="007062BC"/>
    <w:rsid w:val="00710167"/>
    <w:rsid w:val="00712FCD"/>
    <w:rsid w:val="007151D1"/>
    <w:rsid w:val="00715FA4"/>
    <w:rsid w:val="007217C2"/>
    <w:rsid w:val="00721AC8"/>
    <w:rsid w:val="0072327B"/>
    <w:rsid w:val="007238BB"/>
    <w:rsid w:val="00724099"/>
    <w:rsid w:val="00731BFA"/>
    <w:rsid w:val="007336BF"/>
    <w:rsid w:val="00734E54"/>
    <w:rsid w:val="0073619D"/>
    <w:rsid w:val="00743992"/>
    <w:rsid w:val="00743AAA"/>
    <w:rsid w:val="007446D0"/>
    <w:rsid w:val="00745A3E"/>
    <w:rsid w:val="00746074"/>
    <w:rsid w:val="00757C40"/>
    <w:rsid w:val="00760426"/>
    <w:rsid w:val="007645E2"/>
    <w:rsid w:val="007664C5"/>
    <w:rsid w:val="007744A9"/>
    <w:rsid w:val="00774EB1"/>
    <w:rsid w:val="00777CEC"/>
    <w:rsid w:val="007805C1"/>
    <w:rsid w:val="0078388C"/>
    <w:rsid w:val="007845D5"/>
    <w:rsid w:val="00787A3E"/>
    <w:rsid w:val="0079114D"/>
    <w:rsid w:val="00791488"/>
    <w:rsid w:val="00791718"/>
    <w:rsid w:val="00795889"/>
    <w:rsid w:val="00796552"/>
    <w:rsid w:val="00796C59"/>
    <w:rsid w:val="00797D45"/>
    <w:rsid w:val="007A0145"/>
    <w:rsid w:val="007A0DBE"/>
    <w:rsid w:val="007A7568"/>
    <w:rsid w:val="007A7BA0"/>
    <w:rsid w:val="007B6EB8"/>
    <w:rsid w:val="007C0841"/>
    <w:rsid w:val="007C1143"/>
    <w:rsid w:val="007C3414"/>
    <w:rsid w:val="007C6157"/>
    <w:rsid w:val="007D1C24"/>
    <w:rsid w:val="007D5276"/>
    <w:rsid w:val="007D6088"/>
    <w:rsid w:val="007E3717"/>
    <w:rsid w:val="007E3A8E"/>
    <w:rsid w:val="007E60CC"/>
    <w:rsid w:val="007F02C5"/>
    <w:rsid w:val="0081195E"/>
    <w:rsid w:val="00812993"/>
    <w:rsid w:val="008166F5"/>
    <w:rsid w:val="008169D5"/>
    <w:rsid w:val="00817375"/>
    <w:rsid w:val="0082043B"/>
    <w:rsid w:val="00820571"/>
    <w:rsid w:val="008211E9"/>
    <w:rsid w:val="00825F46"/>
    <w:rsid w:val="00826E1A"/>
    <w:rsid w:val="008307E3"/>
    <w:rsid w:val="008309B7"/>
    <w:rsid w:val="00831F5A"/>
    <w:rsid w:val="00834358"/>
    <w:rsid w:val="008359A2"/>
    <w:rsid w:val="00837EDF"/>
    <w:rsid w:val="008442D0"/>
    <w:rsid w:val="00846044"/>
    <w:rsid w:val="008563C4"/>
    <w:rsid w:val="00860654"/>
    <w:rsid w:val="00876EAE"/>
    <w:rsid w:val="008839B6"/>
    <w:rsid w:val="00885B0D"/>
    <w:rsid w:val="00890AA0"/>
    <w:rsid w:val="00894C4A"/>
    <w:rsid w:val="008966FD"/>
    <w:rsid w:val="008A2DEE"/>
    <w:rsid w:val="008A4990"/>
    <w:rsid w:val="008B0AE8"/>
    <w:rsid w:val="008B298C"/>
    <w:rsid w:val="008B2EEC"/>
    <w:rsid w:val="008B4204"/>
    <w:rsid w:val="008C1AD2"/>
    <w:rsid w:val="008D0B09"/>
    <w:rsid w:val="008D218E"/>
    <w:rsid w:val="008D6C51"/>
    <w:rsid w:val="008D7F88"/>
    <w:rsid w:val="008E3043"/>
    <w:rsid w:val="008E793B"/>
    <w:rsid w:val="008F2FAA"/>
    <w:rsid w:val="00900094"/>
    <w:rsid w:val="00901B3D"/>
    <w:rsid w:val="00902D12"/>
    <w:rsid w:val="00913427"/>
    <w:rsid w:val="00914022"/>
    <w:rsid w:val="009144DE"/>
    <w:rsid w:val="00915F14"/>
    <w:rsid w:val="0092352D"/>
    <w:rsid w:val="0092579D"/>
    <w:rsid w:val="00933F66"/>
    <w:rsid w:val="00934ABC"/>
    <w:rsid w:val="009422E9"/>
    <w:rsid w:val="0094345E"/>
    <w:rsid w:val="009434E4"/>
    <w:rsid w:val="00946761"/>
    <w:rsid w:val="0094796D"/>
    <w:rsid w:val="00954074"/>
    <w:rsid w:val="00956873"/>
    <w:rsid w:val="009573D9"/>
    <w:rsid w:val="0096296E"/>
    <w:rsid w:val="00962EF2"/>
    <w:rsid w:val="009640CE"/>
    <w:rsid w:val="00967221"/>
    <w:rsid w:val="00970474"/>
    <w:rsid w:val="00970AE9"/>
    <w:rsid w:val="009772EE"/>
    <w:rsid w:val="00983EDA"/>
    <w:rsid w:val="00987639"/>
    <w:rsid w:val="00997367"/>
    <w:rsid w:val="009A2069"/>
    <w:rsid w:val="009A5A0D"/>
    <w:rsid w:val="009B1F1E"/>
    <w:rsid w:val="009B201A"/>
    <w:rsid w:val="009B2E3A"/>
    <w:rsid w:val="009C0AB0"/>
    <w:rsid w:val="009C31C8"/>
    <w:rsid w:val="009D033A"/>
    <w:rsid w:val="009D154C"/>
    <w:rsid w:val="009D2466"/>
    <w:rsid w:val="009D506A"/>
    <w:rsid w:val="009D5D1F"/>
    <w:rsid w:val="009E0DAA"/>
    <w:rsid w:val="009E3B47"/>
    <w:rsid w:val="009E474E"/>
    <w:rsid w:val="009E642F"/>
    <w:rsid w:val="009F39C9"/>
    <w:rsid w:val="009F41FF"/>
    <w:rsid w:val="009F637A"/>
    <w:rsid w:val="00A00D80"/>
    <w:rsid w:val="00A02AAC"/>
    <w:rsid w:val="00A02EA9"/>
    <w:rsid w:val="00A034F9"/>
    <w:rsid w:val="00A063A7"/>
    <w:rsid w:val="00A126EC"/>
    <w:rsid w:val="00A13DE2"/>
    <w:rsid w:val="00A151D0"/>
    <w:rsid w:val="00A15D3A"/>
    <w:rsid w:val="00A17540"/>
    <w:rsid w:val="00A2049F"/>
    <w:rsid w:val="00A22536"/>
    <w:rsid w:val="00A23758"/>
    <w:rsid w:val="00A23BC6"/>
    <w:rsid w:val="00A23E43"/>
    <w:rsid w:val="00A3056D"/>
    <w:rsid w:val="00A31682"/>
    <w:rsid w:val="00A332C2"/>
    <w:rsid w:val="00A33ABF"/>
    <w:rsid w:val="00A349E6"/>
    <w:rsid w:val="00A36B66"/>
    <w:rsid w:val="00A37393"/>
    <w:rsid w:val="00A420AC"/>
    <w:rsid w:val="00A47BA3"/>
    <w:rsid w:val="00A50DF0"/>
    <w:rsid w:val="00A60EBD"/>
    <w:rsid w:val="00A646AB"/>
    <w:rsid w:val="00A64C25"/>
    <w:rsid w:val="00A730D9"/>
    <w:rsid w:val="00A75D5A"/>
    <w:rsid w:val="00A82348"/>
    <w:rsid w:val="00A843CF"/>
    <w:rsid w:val="00A91784"/>
    <w:rsid w:val="00AA0082"/>
    <w:rsid w:val="00AA3DCA"/>
    <w:rsid w:val="00AA60F5"/>
    <w:rsid w:val="00AB1125"/>
    <w:rsid w:val="00AB3A3E"/>
    <w:rsid w:val="00AB4A66"/>
    <w:rsid w:val="00AB7374"/>
    <w:rsid w:val="00AC141D"/>
    <w:rsid w:val="00AC2702"/>
    <w:rsid w:val="00AC3BB6"/>
    <w:rsid w:val="00AC5316"/>
    <w:rsid w:val="00AD3E4A"/>
    <w:rsid w:val="00AD437A"/>
    <w:rsid w:val="00AE2BC4"/>
    <w:rsid w:val="00AE30F0"/>
    <w:rsid w:val="00AE641C"/>
    <w:rsid w:val="00AE6B59"/>
    <w:rsid w:val="00AF5F00"/>
    <w:rsid w:val="00B06E00"/>
    <w:rsid w:val="00B11AA3"/>
    <w:rsid w:val="00B12CD6"/>
    <w:rsid w:val="00B142C2"/>
    <w:rsid w:val="00B1774E"/>
    <w:rsid w:val="00B1778A"/>
    <w:rsid w:val="00B21290"/>
    <w:rsid w:val="00B25CBB"/>
    <w:rsid w:val="00B41368"/>
    <w:rsid w:val="00B41E39"/>
    <w:rsid w:val="00B45B03"/>
    <w:rsid w:val="00B470B7"/>
    <w:rsid w:val="00B50804"/>
    <w:rsid w:val="00B52A01"/>
    <w:rsid w:val="00B55857"/>
    <w:rsid w:val="00B61669"/>
    <w:rsid w:val="00B64165"/>
    <w:rsid w:val="00B647BF"/>
    <w:rsid w:val="00B65108"/>
    <w:rsid w:val="00B65239"/>
    <w:rsid w:val="00B70E67"/>
    <w:rsid w:val="00B7538F"/>
    <w:rsid w:val="00B81C76"/>
    <w:rsid w:val="00B91FCE"/>
    <w:rsid w:val="00B92241"/>
    <w:rsid w:val="00B93BF1"/>
    <w:rsid w:val="00B93EC6"/>
    <w:rsid w:val="00B946C2"/>
    <w:rsid w:val="00B96B57"/>
    <w:rsid w:val="00BA0D93"/>
    <w:rsid w:val="00BB183B"/>
    <w:rsid w:val="00BC0F2A"/>
    <w:rsid w:val="00BC1C47"/>
    <w:rsid w:val="00BD0547"/>
    <w:rsid w:val="00BE1B39"/>
    <w:rsid w:val="00BE511A"/>
    <w:rsid w:val="00BE6486"/>
    <w:rsid w:val="00BE7E7D"/>
    <w:rsid w:val="00BF5A9A"/>
    <w:rsid w:val="00BF5ACC"/>
    <w:rsid w:val="00C00FBB"/>
    <w:rsid w:val="00C0186A"/>
    <w:rsid w:val="00C02197"/>
    <w:rsid w:val="00C0274A"/>
    <w:rsid w:val="00C03C00"/>
    <w:rsid w:val="00C0454A"/>
    <w:rsid w:val="00C055AF"/>
    <w:rsid w:val="00C05FE5"/>
    <w:rsid w:val="00C06950"/>
    <w:rsid w:val="00C0784C"/>
    <w:rsid w:val="00C115C5"/>
    <w:rsid w:val="00C12DA3"/>
    <w:rsid w:val="00C13C0D"/>
    <w:rsid w:val="00C17AFF"/>
    <w:rsid w:val="00C206F6"/>
    <w:rsid w:val="00C24209"/>
    <w:rsid w:val="00C263B3"/>
    <w:rsid w:val="00C30B8D"/>
    <w:rsid w:val="00C310A3"/>
    <w:rsid w:val="00C359FC"/>
    <w:rsid w:val="00C35CD3"/>
    <w:rsid w:val="00C36398"/>
    <w:rsid w:val="00C369B2"/>
    <w:rsid w:val="00C4027F"/>
    <w:rsid w:val="00C423A2"/>
    <w:rsid w:val="00C442F0"/>
    <w:rsid w:val="00C476D1"/>
    <w:rsid w:val="00C540A0"/>
    <w:rsid w:val="00C54D4D"/>
    <w:rsid w:val="00C60FFA"/>
    <w:rsid w:val="00C621A5"/>
    <w:rsid w:val="00C6229B"/>
    <w:rsid w:val="00C63B21"/>
    <w:rsid w:val="00C65D7A"/>
    <w:rsid w:val="00C66475"/>
    <w:rsid w:val="00C712DB"/>
    <w:rsid w:val="00C721B8"/>
    <w:rsid w:val="00C74C19"/>
    <w:rsid w:val="00C74F08"/>
    <w:rsid w:val="00C76ED6"/>
    <w:rsid w:val="00C77634"/>
    <w:rsid w:val="00C804DD"/>
    <w:rsid w:val="00C8146D"/>
    <w:rsid w:val="00C82DE7"/>
    <w:rsid w:val="00C84637"/>
    <w:rsid w:val="00C92C8D"/>
    <w:rsid w:val="00C964AB"/>
    <w:rsid w:val="00C97C75"/>
    <w:rsid w:val="00CA2820"/>
    <w:rsid w:val="00CA4C87"/>
    <w:rsid w:val="00CA73C9"/>
    <w:rsid w:val="00CB0045"/>
    <w:rsid w:val="00CB01C7"/>
    <w:rsid w:val="00CB1BAE"/>
    <w:rsid w:val="00CB4C44"/>
    <w:rsid w:val="00CB74B4"/>
    <w:rsid w:val="00CB7CF0"/>
    <w:rsid w:val="00CC052F"/>
    <w:rsid w:val="00CC08BF"/>
    <w:rsid w:val="00CC1E0B"/>
    <w:rsid w:val="00CC2698"/>
    <w:rsid w:val="00CC2F94"/>
    <w:rsid w:val="00CC390A"/>
    <w:rsid w:val="00CD146E"/>
    <w:rsid w:val="00CE1D2B"/>
    <w:rsid w:val="00CE317A"/>
    <w:rsid w:val="00CE4287"/>
    <w:rsid w:val="00CE4480"/>
    <w:rsid w:val="00CE4C1E"/>
    <w:rsid w:val="00CE6FAA"/>
    <w:rsid w:val="00CE7CBD"/>
    <w:rsid w:val="00CF0BC0"/>
    <w:rsid w:val="00CF17B2"/>
    <w:rsid w:val="00CF546D"/>
    <w:rsid w:val="00CF5769"/>
    <w:rsid w:val="00CF734B"/>
    <w:rsid w:val="00D00D0F"/>
    <w:rsid w:val="00D0564C"/>
    <w:rsid w:val="00D05C6B"/>
    <w:rsid w:val="00D061DA"/>
    <w:rsid w:val="00D1011A"/>
    <w:rsid w:val="00D13554"/>
    <w:rsid w:val="00D1519B"/>
    <w:rsid w:val="00D20C1D"/>
    <w:rsid w:val="00D2191E"/>
    <w:rsid w:val="00D23106"/>
    <w:rsid w:val="00D24C2A"/>
    <w:rsid w:val="00D26234"/>
    <w:rsid w:val="00D26305"/>
    <w:rsid w:val="00D26B41"/>
    <w:rsid w:val="00D26ECB"/>
    <w:rsid w:val="00D344E8"/>
    <w:rsid w:val="00D35DED"/>
    <w:rsid w:val="00D36A8E"/>
    <w:rsid w:val="00D41ACD"/>
    <w:rsid w:val="00D4509E"/>
    <w:rsid w:val="00D459D8"/>
    <w:rsid w:val="00D62B56"/>
    <w:rsid w:val="00D64073"/>
    <w:rsid w:val="00D65A3B"/>
    <w:rsid w:val="00D7027A"/>
    <w:rsid w:val="00D72D1B"/>
    <w:rsid w:val="00D762D6"/>
    <w:rsid w:val="00D76BD3"/>
    <w:rsid w:val="00D806CC"/>
    <w:rsid w:val="00D8229F"/>
    <w:rsid w:val="00D829FC"/>
    <w:rsid w:val="00D8452B"/>
    <w:rsid w:val="00D8591D"/>
    <w:rsid w:val="00D87D13"/>
    <w:rsid w:val="00D919D2"/>
    <w:rsid w:val="00D97393"/>
    <w:rsid w:val="00DA3B85"/>
    <w:rsid w:val="00DA6B8B"/>
    <w:rsid w:val="00DA7999"/>
    <w:rsid w:val="00DB00EF"/>
    <w:rsid w:val="00DB13EE"/>
    <w:rsid w:val="00DB355A"/>
    <w:rsid w:val="00DB3782"/>
    <w:rsid w:val="00DB38FF"/>
    <w:rsid w:val="00DB4165"/>
    <w:rsid w:val="00DB46E1"/>
    <w:rsid w:val="00DB51DF"/>
    <w:rsid w:val="00DC1C79"/>
    <w:rsid w:val="00DC2A0C"/>
    <w:rsid w:val="00DC47E3"/>
    <w:rsid w:val="00DD3DEC"/>
    <w:rsid w:val="00DD404A"/>
    <w:rsid w:val="00DD4EBE"/>
    <w:rsid w:val="00DD770F"/>
    <w:rsid w:val="00DE1600"/>
    <w:rsid w:val="00DE2F12"/>
    <w:rsid w:val="00DE4248"/>
    <w:rsid w:val="00DE4B68"/>
    <w:rsid w:val="00DE50C1"/>
    <w:rsid w:val="00DF584B"/>
    <w:rsid w:val="00DF5C96"/>
    <w:rsid w:val="00E13895"/>
    <w:rsid w:val="00E14FF8"/>
    <w:rsid w:val="00E15129"/>
    <w:rsid w:val="00E16866"/>
    <w:rsid w:val="00E16E59"/>
    <w:rsid w:val="00E16ECD"/>
    <w:rsid w:val="00E17177"/>
    <w:rsid w:val="00E24351"/>
    <w:rsid w:val="00E26083"/>
    <w:rsid w:val="00E26EE3"/>
    <w:rsid w:val="00E341FD"/>
    <w:rsid w:val="00E37092"/>
    <w:rsid w:val="00E41472"/>
    <w:rsid w:val="00E4338F"/>
    <w:rsid w:val="00E435CC"/>
    <w:rsid w:val="00E45600"/>
    <w:rsid w:val="00E466D0"/>
    <w:rsid w:val="00E5020D"/>
    <w:rsid w:val="00E56E4B"/>
    <w:rsid w:val="00E611F4"/>
    <w:rsid w:val="00E61E98"/>
    <w:rsid w:val="00E63A91"/>
    <w:rsid w:val="00E65728"/>
    <w:rsid w:val="00E66502"/>
    <w:rsid w:val="00E73080"/>
    <w:rsid w:val="00E73C4D"/>
    <w:rsid w:val="00E815B9"/>
    <w:rsid w:val="00E819DF"/>
    <w:rsid w:val="00E83176"/>
    <w:rsid w:val="00E865D9"/>
    <w:rsid w:val="00E94553"/>
    <w:rsid w:val="00E959FB"/>
    <w:rsid w:val="00EA0A8C"/>
    <w:rsid w:val="00EA106B"/>
    <w:rsid w:val="00EA12CE"/>
    <w:rsid w:val="00EA1399"/>
    <w:rsid w:val="00EA48EE"/>
    <w:rsid w:val="00EA4D5A"/>
    <w:rsid w:val="00EA71C0"/>
    <w:rsid w:val="00EB12E9"/>
    <w:rsid w:val="00EB1BD7"/>
    <w:rsid w:val="00EB2302"/>
    <w:rsid w:val="00EB2D96"/>
    <w:rsid w:val="00EB37CB"/>
    <w:rsid w:val="00EB4F4F"/>
    <w:rsid w:val="00EB6561"/>
    <w:rsid w:val="00EB67E2"/>
    <w:rsid w:val="00EB79B2"/>
    <w:rsid w:val="00EC0071"/>
    <w:rsid w:val="00EC1B6D"/>
    <w:rsid w:val="00EC20AD"/>
    <w:rsid w:val="00EC234E"/>
    <w:rsid w:val="00EC67D3"/>
    <w:rsid w:val="00EE1DFE"/>
    <w:rsid w:val="00EE2F1E"/>
    <w:rsid w:val="00EE3E97"/>
    <w:rsid w:val="00EE68DB"/>
    <w:rsid w:val="00EF0FAE"/>
    <w:rsid w:val="00EF1930"/>
    <w:rsid w:val="00EF1DB1"/>
    <w:rsid w:val="00EF2251"/>
    <w:rsid w:val="00EF4A4E"/>
    <w:rsid w:val="00EF4C31"/>
    <w:rsid w:val="00EF5BD3"/>
    <w:rsid w:val="00EF6D22"/>
    <w:rsid w:val="00F00483"/>
    <w:rsid w:val="00F07829"/>
    <w:rsid w:val="00F15630"/>
    <w:rsid w:val="00F1714F"/>
    <w:rsid w:val="00F259A2"/>
    <w:rsid w:val="00F271A8"/>
    <w:rsid w:val="00F32D3C"/>
    <w:rsid w:val="00F3434B"/>
    <w:rsid w:val="00F35065"/>
    <w:rsid w:val="00F37ED8"/>
    <w:rsid w:val="00F4140F"/>
    <w:rsid w:val="00F42D8B"/>
    <w:rsid w:val="00F4621B"/>
    <w:rsid w:val="00F50A5C"/>
    <w:rsid w:val="00F53388"/>
    <w:rsid w:val="00F53BF8"/>
    <w:rsid w:val="00F54892"/>
    <w:rsid w:val="00F57CA8"/>
    <w:rsid w:val="00F610B2"/>
    <w:rsid w:val="00F61752"/>
    <w:rsid w:val="00F62426"/>
    <w:rsid w:val="00F63CE6"/>
    <w:rsid w:val="00F665FB"/>
    <w:rsid w:val="00F66940"/>
    <w:rsid w:val="00F81905"/>
    <w:rsid w:val="00F81958"/>
    <w:rsid w:val="00F83835"/>
    <w:rsid w:val="00F84323"/>
    <w:rsid w:val="00F86707"/>
    <w:rsid w:val="00F900C4"/>
    <w:rsid w:val="00F9207C"/>
    <w:rsid w:val="00F92116"/>
    <w:rsid w:val="00F95C93"/>
    <w:rsid w:val="00F96664"/>
    <w:rsid w:val="00F96A70"/>
    <w:rsid w:val="00FA1868"/>
    <w:rsid w:val="00FA1F96"/>
    <w:rsid w:val="00FA4FFC"/>
    <w:rsid w:val="00FA502A"/>
    <w:rsid w:val="00FB0ECB"/>
    <w:rsid w:val="00FB2D12"/>
    <w:rsid w:val="00FD177E"/>
    <w:rsid w:val="00FD22E0"/>
    <w:rsid w:val="00FD5663"/>
    <w:rsid w:val="00FD6D3D"/>
    <w:rsid w:val="00FE68F0"/>
    <w:rsid w:val="00FF31A0"/>
    <w:rsid w:val="00FF35B0"/>
    <w:rsid w:val="00FF606F"/>
    <w:rsid w:val="00FF6D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E4CAD"/>
  <w15:docId w15:val="{E0272325-1099-4102-A695-DEEE8BFE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452B"/>
    <w:pPr>
      <w:widowControl w:val="0"/>
      <w:suppressAutoHyphens/>
    </w:pPr>
    <w:rPr>
      <w:rFonts w:eastAsia="Lucida Sans Unicode"/>
      <w:sz w:val="24"/>
    </w:rPr>
  </w:style>
  <w:style w:type="paragraph" w:styleId="Antrat1">
    <w:name w:val="heading 1"/>
    <w:basedOn w:val="prastasis"/>
    <w:link w:val="Antrat1Diagrama"/>
    <w:uiPriority w:val="9"/>
    <w:qFormat/>
    <w:rsid w:val="00257181"/>
    <w:pPr>
      <w:widowControl/>
      <w:suppressAutoHyphens w:val="0"/>
      <w:spacing w:before="150" w:after="150"/>
      <w:ind w:left="450" w:right="450"/>
      <w:outlineLvl w:val="0"/>
    </w:pPr>
    <w:rPr>
      <w:rFonts w:eastAsia="Times New Roman"/>
      <w:b/>
      <w:bCs/>
      <w:color w:val="757D8D"/>
      <w:kern w:val="36"/>
      <w:sz w:val="26"/>
      <w:szCs w:val="26"/>
    </w:rPr>
  </w:style>
  <w:style w:type="paragraph" w:styleId="Antrat2">
    <w:name w:val="heading 2"/>
    <w:basedOn w:val="prastasis"/>
    <w:link w:val="Antrat2Diagrama"/>
    <w:uiPriority w:val="9"/>
    <w:qFormat/>
    <w:rsid w:val="00257181"/>
    <w:pPr>
      <w:widowControl/>
      <w:suppressAutoHyphens w:val="0"/>
      <w:spacing w:before="525" w:after="75"/>
      <w:ind w:left="525" w:right="525"/>
      <w:outlineLvl w:val="1"/>
    </w:pPr>
    <w:rPr>
      <w:rFonts w:eastAsia="Times New Roman"/>
      <w:b/>
      <w:bCs/>
      <w:color w:val="3B4662"/>
      <w:sz w:val="22"/>
      <w:szCs w:val="22"/>
    </w:rPr>
  </w:style>
  <w:style w:type="paragraph" w:styleId="Antrat3">
    <w:name w:val="heading 3"/>
    <w:basedOn w:val="prastasis"/>
    <w:link w:val="Antrat3Diagrama"/>
    <w:uiPriority w:val="9"/>
    <w:qFormat/>
    <w:rsid w:val="00257181"/>
    <w:pPr>
      <w:widowControl/>
      <w:suppressAutoHyphens w:val="0"/>
      <w:outlineLvl w:val="2"/>
    </w:pPr>
    <w:rPr>
      <w:rFonts w:eastAsia="Times New Roman"/>
      <w:b/>
      <w:bCs/>
      <w:sz w:val="19"/>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D8452B"/>
    <w:pPr>
      <w:spacing w:after="120"/>
    </w:pPr>
  </w:style>
  <w:style w:type="character" w:styleId="Grietas">
    <w:name w:val="Strong"/>
    <w:qFormat/>
    <w:rsid w:val="00D8452B"/>
    <w:rPr>
      <w:b/>
      <w:bCs/>
    </w:rPr>
  </w:style>
  <w:style w:type="table" w:styleId="Lentelstinklelis">
    <w:name w:val="Table Grid"/>
    <w:basedOn w:val="prastojilentel"/>
    <w:rsid w:val="00D8452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prastasis"/>
    <w:rsid w:val="0079114D"/>
    <w:pPr>
      <w:widowControl/>
      <w:suppressAutoHyphens w:val="0"/>
      <w:spacing w:after="160" w:line="240" w:lineRule="exact"/>
    </w:pPr>
    <w:rPr>
      <w:rFonts w:ascii="Tahoma" w:eastAsia="Times New Roman" w:hAnsi="Tahoma"/>
      <w:sz w:val="20"/>
      <w:lang w:val="en-US" w:eastAsia="en-US"/>
    </w:rPr>
  </w:style>
  <w:style w:type="paragraph" w:customStyle="1" w:styleId="Text1">
    <w:name w:val="Text 1"/>
    <w:basedOn w:val="prastasis"/>
    <w:rsid w:val="000246A1"/>
    <w:pPr>
      <w:widowControl/>
      <w:suppressAutoHyphens w:val="0"/>
      <w:spacing w:before="120" w:after="120" w:line="360" w:lineRule="auto"/>
      <w:ind w:left="850"/>
    </w:pPr>
    <w:rPr>
      <w:rFonts w:eastAsia="Times New Roman"/>
      <w:lang w:eastAsia="en-US"/>
    </w:rPr>
  </w:style>
  <w:style w:type="paragraph" w:customStyle="1" w:styleId="Point0">
    <w:name w:val="Point 0"/>
    <w:basedOn w:val="prastasis"/>
    <w:link w:val="Point0Char"/>
    <w:rsid w:val="000246A1"/>
    <w:pPr>
      <w:widowControl/>
      <w:suppressAutoHyphens w:val="0"/>
      <w:spacing w:before="120" w:after="120" w:line="360" w:lineRule="auto"/>
      <w:ind w:left="850" w:hanging="850"/>
    </w:pPr>
    <w:rPr>
      <w:rFonts w:eastAsia="Times New Roman"/>
      <w:lang w:eastAsia="en-US"/>
    </w:rPr>
  </w:style>
  <w:style w:type="character" w:customStyle="1" w:styleId="Point0Char">
    <w:name w:val="Point 0 Char"/>
    <w:link w:val="Point0"/>
    <w:rsid w:val="000246A1"/>
    <w:rPr>
      <w:sz w:val="24"/>
      <w:lang w:val="lt-LT" w:eastAsia="en-US" w:bidi="ar-SA"/>
    </w:rPr>
  </w:style>
  <w:style w:type="paragraph" w:customStyle="1" w:styleId="Point1">
    <w:name w:val="Point 1"/>
    <w:basedOn w:val="prastasis"/>
    <w:rsid w:val="000246A1"/>
    <w:pPr>
      <w:widowControl/>
      <w:suppressAutoHyphens w:val="0"/>
      <w:spacing w:before="120" w:after="120" w:line="360" w:lineRule="auto"/>
      <w:ind w:left="1417" w:hanging="567"/>
    </w:pPr>
    <w:rPr>
      <w:rFonts w:eastAsia="Times New Roman"/>
      <w:lang w:eastAsia="en-US"/>
    </w:rPr>
  </w:style>
  <w:style w:type="paragraph" w:customStyle="1" w:styleId="statymopavad">
    <w:name w:val="Ástatymo pavad."/>
    <w:basedOn w:val="prastasis"/>
    <w:rsid w:val="00E56E4B"/>
    <w:pPr>
      <w:widowControl/>
      <w:suppressAutoHyphens w:val="0"/>
      <w:jc w:val="center"/>
    </w:pPr>
    <w:rPr>
      <w:rFonts w:eastAsia="Times New Roman"/>
      <w:caps/>
      <w:szCs w:val="24"/>
      <w:lang w:eastAsia="en-US"/>
    </w:rPr>
  </w:style>
  <w:style w:type="paragraph" w:customStyle="1" w:styleId="Titrearticle">
    <w:name w:val="Titre article"/>
    <w:basedOn w:val="prastasis"/>
    <w:next w:val="prastasis"/>
    <w:link w:val="TitrearticleChar"/>
    <w:rsid w:val="00D64073"/>
    <w:pPr>
      <w:keepNext/>
      <w:widowControl/>
      <w:suppressAutoHyphens w:val="0"/>
      <w:spacing w:before="360" w:after="120" w:line="360" w:lineRule="auto"/>
      <w:jc w:val="center"/>
    </w:pPr>
    <w:rPr>
      <w:rFonts w:eastAsia="Times New Roman"/>
      <w:i/>
      <w:lang w:eastAsia="en-US"/>
    </w:rPr>
  </w:style>
  <w:style w:type="character" w:customStyle="1" w:styleId="TitrearticleChar">
    <w:name w:val="Titre article Char"/>
    <w:link w:val="Titrearticle"/>
    <w:rsid w:val="00D64073"/>
    <w:rPr>
      <w:i/>
      <w:sz w:val="24"/>
      <w:lang w:val="lt-LT" w:eastAsia="en-US" w:bidi="ar-SA"/>
    </w:rPr>
  </w:style>
  <w:style w:type="paragraph" w:customStyle="1" w:styleId="Text2">
    <w:name w:val="Text 2"/>
    <w:basedOn w:val="prastasis"/>
    <w:link w:val="Text2Char"/>
    <w:rsid w:val="006249BF"/>
    <w:pPr>
      <w:widowControl/>
      <w:suppressAutoHyphens w:val="0"/>
      <w:spacing w:before="120" w:after="120" w:line="360" w:lineRule="auto"/>
      <w:ind w:left="850"/>
    </w:pPr>
    <w:rPr>
      <w:rFonts w:eastAsia="Times New Roman"/>
      <w:lang w:eastAsia="en-US"/>
    </w:rPr>
  </w:style>
  <w:style w:type="character" w:customStyle="1" w:styleId="Text2Char">
    <w:name w:val="Text 2 Char"/>
    <w:link w:val="Text2"/>
    <w:rsid w:val="006249BF"/>
    <w:rPr>
      <w:sz w:val="24"/>
      <w:lang w:val="lt-LT" w:eastAsia="en-US" w:bidi="ar-SA"/>
    </w:rPr>
  </w:style>
  <w:style w:type="paragraph" w:customStyle="1" w:styleId="Point2">
    <w:name w:val="Point 2"/>
    <w:basedOn w:val="prastasis"/>
    <w:rsid w:val="006249BF"/>
    <w:pPr>
      <w:widowControl/>
      <w:suppressAutoHyphens w:val="0"/>
      <w:spacing w:before="120" w:after="120" w:line="360" w:lineRule="auto"/>
      <w:ind w:left="1984" w:hanging="567"/>
    </w:pPr>
    <w:rPr>
      <w:rFonts w:eastAsia="Times New Roman"/>
      <w:lang w:eastAsia="en-US"/>
    </w:rPr>
  </w:style>
  <w:style w:type="paragraph" w:customStyle="1" w:styleId="PointDouble0">
    <w:name w:val="PointDouble 0"/>
    <w:basedOn w:val="prastasis"/>
    <w:rsid w:val="006249BF"/>
    <w:pPr>
      <w:widowControl/>
      <w:tabs>
        <w:tab w:val="left" w:pos="850"/>
      </w:tabs>
      <w:suppressAutoHyphens w:val="0"/>
      <w:spacing w:before="120" w:after="120" w:line="360" w:lineRule="auto"/>
      <w:ind w:left="1417" w:hanging="1417"/>
    </w:pPr>
    <w:rPr>
      <w:rFonts w:eastAsia="Times New Roman"/>
      <w:lang w:eastAsia="en-US"/>
    </w:rPr>
  </w:style>
  <w:style w:type="paragraph" w:customStyle="1" w:styleId="Fait">
    <w:name w:val="Fait à"/>
    <w:basedOn w:val="prastasis"/>
    <w:next w:val="prastasis"/>
    <w:rsid w:val="007664C5"/>
    <w:pPr>
      <w:keepNext/>
      <w:widowControl/>
      <w:suppressAutoHyphens w:val="0"/>
      <w:spacing w:before="120" w:line="360" w:lineRule="auto"/>
    </w:pPr>
    <w:rPr>
      <w:rFonts w:eastAsia="Times New Roman"/>
      <w:lang w:eastAsia="en-US"/>
    </w:rPr>
  </w:style>
  <w:style w:type="paragraph" w:customStyle="1" w:styleId="NormalCentered">
    <w:name w:val="Normal Centered"/>
    <w:basedOn w:val="prastasis"/>
    <w:rsid w:val="00EF6D22"/>
    <w:pPr>
      <w:widowControl/>
      <w:suppressAutoHyphens w:val="0"/>
      <w:spacing w:before="120" w:after="120" w:line="360" w:lineRule="auto"/>
      <w:jc w:val="center"/>
    </w:pPr>
    <w:rPr>
      <w:rFonts w:eastAsia="Times New Roman"/>
      <w:lang w:eastAsia="en-US"/>
    </w:rPr>
  </w:style>
  <w:style w:type="paragraph" w:customStyle="1" w:styleId="Annexetitreacte">
    <w:name w:val="Annexe titre (acte)"/>
    <w:basedOn w:val="prastasis"/>
    <w:next w:val="prastasis"/>
    <w:rsid w:val="00EF6D22"/>
    <w:pPr>
      <w:widowControl/>
      <w:suppressAutoHyphens w:val="0"/>
      <w:spacing w:before="120" w:after="120" w:line="360" w:lineRule="auto"/>
      <w:jc w:val="center"/>
    </w:pPr>
    <w:rPr>
      <w:rFonts w:eastAsia="Times New Roman"/>
      <w:b/>
      <w:u w:val="single"/>
      <w:lang w:eastAsia="en-US"/>
    </w:rPr>
  </w:style>
  <w:style w:type="paragraph" w:styleId="Debesliotekstas">
    <w:name w:val="Balloon Text"/>
    <w:basedOn w:val="prastasis"/>
    <w:link w:val="DebesliotekstasDiagrama"/>
    <w:rsid w:val="0056641B"/>
    <w:rPr>
      <w:rFonts w:ascii="Tahoma" w:hAnsi="Tahoma" w:cs="Tahoma"/>
      <w:sz w:val="16"/>
      <w:szCs w:val="16"/>
    </w:rPr>
  </w:style>
  <w:style w:type="character" w:customStyle="1" w:styleId="DebesliotekstasDiagrama">
    <w:name w:val="Debesėlio tekstas Diagrama"/>
    <w:link w:val="Debesliotekstas"/>
    <w:rsid w:val="0056641B"/>
    <w:rPr>
      <w:rFonts w:ascii="Tahoma" w:eastAsia="Lucida Sans Unicode" w:hAnsi="Tahoma" w:cs="Tahoma"/>
      <w:sz w:val="16"/>
      <w:szCs w:val="16"/>
    </w:rPr>
  </w:style>
  <w:style w:type="paragraph" w:styleId="Pagrindiniotekstotrauka2">
    <w:name w:val="Body Text Indent 2"/>
    <w:basedOn w:val="prastasis"/>
    <w:link w:val="Pagrindiniotekstotrauka2Diagrama"/>
    <w:rsid w:val="00FD177E"/>
    <w:pPr>
      <w:spacing w:after="120" w:line="480" w:lineRule="auto"/>
      <w:ind w:left="283"/>
    </w:pPr>
  </w:style>
  <w:style w:type="character" w:customStyle="1" w:styleId="Pagrindiniotekstotrauka2Diagrama">
    <w:name w:val="Pagrindinio teksto įtrauka 2 Diagrama"/>
    <w:link w:val="Pagrindiniotekstotrauka2"/>
    <w:rsid w:val="00FD177E"/>
    <w:rPr>
      <w:rFonts w:eastAsia="Lucida Sans Unicode"/>
      <w:sz w:val="24"/>
    </w:rPr>
  </w:style>
  <w:style w:type="character" w:styleId="Emfaz">
    <w:name w:val="Emphasis"/>
    <w:qFormat/>
    <w:rsid w:val="00CE4287"/>
    <w:rPr>
      <w:i/>
      <w:iCs/>
    </w:rPr>
  </w:style>
  <w:style w:type="character" w:styleId="Hipersaitas">
    <w:name w:val="Hyperlink"/>
    <w:uiPriority w:val="99"/>
    <w:rsid w:val="00076402"/>
    <w:rPr>
      <w:color w:val="0000FF"/>
      <w:u w:val="single"/>
    </w:rPr>
  </w:style>
  <w:style w:type="character" w:customStyle="1" w:styleId="Antrat1Diagrama">
    <w:name w:val="Antraštė 1 Diagrama"/>
    <w:link w:val="Antrat1"/>
    <w:uiPriority w:val="9"/>
    <w:rsid w:val="00257181"/>
    <w:rPr>
      <w:b/>
      <w:bCs/>
      <w:color w:val="757D8D"/>
      <w:kern w:val="36"/>
      <w:sz w:val="26"/>
      <w:szCs w:val="26"/>
    </w:rPr>
  </w:style>
  <w:style w:type="character" w:customStyle="1" w:styleId="Antrat2Diagrama">
    <w:name w:val="Antraštė 2 Diagrama"/>
    <w:link w:val="Antrat2"/>
    <w:uiPriority w:val="9"/>
    <w:rsid w:val="00257181"/>
    <w:rPr>
      <w:b/>
      <w:bCs/>
      <w:color w:val="3B4662"/>
      <w:sz w:val="22"/>
      <w:szCs w:val="22"/>
    </w:rPr>
  </w:style>
  <w:style w:type="character" w:customStyle="1" w:styleId="Antrat3Diagrama">
    <w:name w:val="Antraštė 3 Diagrama"/>
    <w:link w:val="Antrat3"/>
    <w:uiPriority w:val="9"/>
    <w:rsid w:val="00257181"/>
    <w:rPr>
      <w:b/>
      <w:bCs/>
      <w:sz w:val="19"/>
      <w:szCs w:val="19"/>
    </w:rPr>
  </w:style>
  <w:style w:type="paragraph" w:styleId="HTMLiankstoformatuotas">
    <w:name w:val="HTML Preformatted"/>
    <w:basedOn w:val="prastasis"/>
    <w:link w:val="HTMLiankstoformatuotasDiagrama"/>
    <w:uiPriority w:val="99"/>
    <w:unhideWhenUsed/>
    <w:rsid w:val="001974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iankstoformatuotasDiagrama">
    <w:name w:val="HTML iš anksto formatuotas Diagrama"/>
    <w:link w:val="HTMLiankstoformatuotas"/>
    <w:uiPriority w:val="99"/>
    <w:rsid w:val="0019747D"/>
    <w:rPr>
      <w:rFonts w:ascii="Courier New" w:hAnsi="Courier New" w:cs="Courier New"/>
    </w:rPr>
  </w:style>
  <w:style w:type="character" w:styleId="HTMLspausdinimomainl">
    <w:name w:val="HTML Typewriter"/>
    <w:uiPriority w:val="99"/>
    <w:unhideWhenUsed/>
    <w:rsid w:val="0019747D"/>
    <w:rPr>
      <w:rFonts w:ascii="Courier New" w:eastAsia="Times New Roman" w:hAnsi="Courier New" w:cs="Courier New"/>
      <w:sz w:val="20"/>
      <w:szCs w:val="20"/>
    </w:rPr>
  </w:style>
  <w:style w:type="paragraph" w:styleId="Antrats">
    <w:name w:val="header"/>
    <w:basedOn w:val="prastasis"/>
    <w:link w:val="AntratsDiagrama"/>
    <w:uiPriority w:val="99"/>
    <w:rsid w:val="0078388C"/>
    <w:pPr>
      <w:tabs>
        <w:tab w:val="center" w:pos="4819"/>
        <w:tab w:val="right" w:pos="9638"/>
      </w:tabs>
    </w:pPr>
  </w:style>
  <w:style w:type="character" w:styleId="Puslapionumeris">
    <w:name w:val="page number"/>
    <w:basedOn w:val="Numatytasispastraiposriftas"/>
    <w:rsid w:val="0078388C"/>
  </w:style>
  <w:style w:type="paragraph" w:styleId="prastasiniatinklio">
    <w:name w:val="Normal (Web)"/>
    <w:basedOn w:val="prastasis"/>
    <w:rsid w:val="001503CF"/>
    <w:pPr>
      <w:widowControl/>
      <w:suppressAutoHyphens w:val="0"/>
      <w:spacing w:before="100" w:beforeAutospacing="1" w:after="100" w:afterAutospacing="1"/>
    </w:pPr>
    <w:rPr>
      <w:rFonts w:eastAsia="Times New Roman"/>
      <w:szCs w:val="24"/>
    </w:rPr>
  </w:style>
  <w:style w:type="character" w:styleId="Komentaronuoroda">
    <w:name w:val="annotation reference"/>
    <w:semiHidden/>
    <w:rsid w:val="00A843CF"/>
    <w:rPr>
      <w:sz w:val="16"/>
      <w:szCs w:val="16"/>
    </w:rPr>
  </w:style>
  <w:style w:type="paragraph" w:styleId="Komentarotekstas">
    <w:name w:val="annotation text"/>
    <w:basedOn w:val="prastasis"/>
    <w:semiHidden/>
    <w:rsid w:val="00A843CF"/>
    <w:rPr>
      <w:sz w:val="20"/>
    </w:rPr>
  </w:style>
  <w:style w:type="paragraph" w:styleId="Komentarotema">
    <w:name w:val="annotation subject"/>
    <w:basedOn w:val="Komentarotekstas"/>
    <w:next w:val="Komentarotekstas"/>
    <w:semiHidden/>
    <w:rsid w:val="00A843CF"/>
    <w:rPr>
      <w:b/>
      <w:bCs/>
    </w:rPr>
  </w:style>
  <w:style w:type="paragraph" w:customStyle="1" w:styleId="Default">
    <w:name w:val="Default"/>
    <w:rsid w:val="00440A8E"/>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440A8E"/>
    <w:rPr>
      <w:rFonts w:cs="Times New Roman"/>
      <w:color w:val="auto"/>
    </w:rPr>
  </w:style>
  <w:style w:type="paragraph" w:styleId="Paantrat">
    <w:name w:val="Subtitle"/>
    <w:basedOn w:val="prastasis"/>
    <w:next w:val="prastasis"/>
    <w:link w:val="PaantratDiagrama"/>
    <w:qFormat/>
    <w:rsid w:val="00C84637"/>
    <w:pPr>
      <w:spacing w:after="60"/>
      <w:jc w:val="center"/>
      <w:outlineLvl w:val="1"/>
    </w:pPr>
    <w:rPr>
      <w:rFonts w:ascii="Cambria" w:eastAsia="Times New Roman" w:hAnsi="Cambria"/>
      <w:szCs w:val="24"/>
    </w:rPr>
  </w:style>
  <w:style w:type="character" w:customStyle="1" w:styleId="PaantratDiagrama">
    <w:name w:val="Paantraštė Diagrama"/>
    <w:link w:val="Paantrat"/>
    <w:rsid w:val="00C84637"/>
    <w:rPr>
      <w:rFonts w:ascii="Cambria" w:eastAsia="Times New Roman" w:hAnsi="Cambria" w:cs="Times New Roman"/>
      <w:sz w:val="24"/>
      <w:szCs w:val="24"/>
    </w:rPr>
  </w:style>
  <w:style w:type="paragraph" w:customStyle="1" w:styleId="CM1">
    <w:name w:val="CM1"/>
    <w:basedOn w:val="Default"/>
    <w:next w:val="Default"/>
    <w:uiPriority w:val="99"/>
    <w:rsid w:val="004928A5"/>
    <w:rPr>
      <w:rFonts w:cs="Times New Roman"/>
      <w:color w:val="auto"/>
    </w:rPr>
  </w:style>
  <w:style w:type="paragraph" w:customStyle="1" w:styleId="CM3">
    <w:name w:val="CM3"/>
    <w:basedOn w:val="Default"/>
    <w:next w:val="Default"/>
    <w:uiPriority w:val="99"/>
    <w:rsid w:val="004928A5"/>
    <w:rPr>
      <w:rFonts w:cs="Times New Roman"/>
      <w:color w:val="auto"/>
    </w:rPr>
  </w:style>
  <w:style w:type="paragraph" w:styleId="Porat">
    <w:name w:val="footer"/>
    <w:basedOn w:val="prastasis"/>
    <w:link w:val="PoratDiagrama"/>
    <w:rsid w:val="00A13DE2"/>
    <w:pPr>
      <w:tabs>
        <w:tab w:val="center" w:pos="4819"/>
        <w:tab w:val="right" w:pos="9638"/>
      </w:tabs>
    </w:pPr>
  </w:style>
  <w:style w:type="character" w:customStyle="1" w:styleId="PoratDiagrama">
    <w:name w:val="Poraštė Diagrama"/>
    <w:link w:val="Porat"/>
    <w:rsid w:val="00A13DE2"/>
    <w:rPr>
      <w:rFonts w:eastAsia="Lucida Sans Unicode"/>
      <w:sz w:val="24"/>
    </w:rPr>
  </w:style>
  <w:style w:type="character" w:customStyle="1" w:styleId="AntratsDiagrama">
    <w:name w:val="Antraštės Diagrama"/>
    <w:link w:val="Antrats"/>
    <w:uiPriority w:val="99"/>
    <w:rsid w:val="00A13DE2"/>
    <w:rPr>
      <w:rFonts w:eastAsia="Lucida Sans Unicode"/>
      <w:sz w:val="24"/>
    </w:rPr>
  </w:style>
  <w:style w:type="paragraph" w:styleId="Sraopastraipa">
    <w:name w:val="List Paragraph"/>
    <w:basedOn w:val="prastasis"/>
    <w:uiPriority w:val="34"/>
    <w:qFormat/>
    <w:rsid w:val="00BA0D93"/>
    <w:pPr>
      <w:ind w:left="720"/>
      <w:contextualSpacing/>
    </w:pPr>
  </w:style>
  <w:style w:type="paragraph" w:customStyle="1" w:styleId="oj-doc-ti">
    <w:name w:val="oj-doc-ti"/>
    <w:basedOn w:val="prastasis"/>
    <w:rsid w:val="00A063A7"/>
    <w:pPr>
      <w:widowControl/>
      <w:suppressAutoHyphens w:val="0"/>
      <w:spacing w:before="100" w:beforeAutospacing="1" w:after="100" w:afterAutospacing="1"/>
    </w:pPr>
    <w:rPr>
      <w:rFonts w:eastAsia="Times New Roman"/>
      <w:szCs w:val="24"/>
    </w:rPr>
  </w:style>
  <w:style w:type="paragraph" w:customStyle="1" w:styleId="oj-normal">
    <w:name w:val="oj-normal"/>
    <w:basedOn w:val="prastasis"/>
    <w:rsid w:val="001F40DE"/>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8550">
      <w:bodyDiv w:val="1"/>
      <w:marLeft w:val="263"/>
      <w:marRight w:val="263"/>
      <w:marTop w:val="0"/>
      <w:marBottom w:val="0"/>
      <w:divBdr>
        <w:top w:val="none" w:sz="0" w:space="0" w:color="auto"/>
        <w:left w:val="none" w:sz="0" w:space="0" w:color="auto"/>
        <w:bottom w:val="none" w:sz="0" w:space="0" w:color="auto"/>
        <w:right w:val="none" w:sz="0" w:space="0" w:color="auto"/>
      </w:divBdr>
      <w:divsChild>
        <w:div w:id="2124765303">
          <w:marLeft w:val="0"/>
          <w:marRight w:val="0"/>
          <w:marTop w:val="0"/>
          <w:marBottom w:val="0"/>
          <w:divBdr>
            <w:top w:val="none" w:sz="0" w:space="0" w:color="auto"/>
            <w:left w:val="none" w:sz="0" w:space="0" w:color="auto"/>
            <w:bottom w:val="none" w:sz="0" w:space="0" w:color="auto"/>
            <w:right w:val="none" w:sz="0" w:space="0" w:color="auto"/>
          </w:divBdr>
        </w:div>
      </w:divsChild>
    </w:div>
    <w:div w:id="36705442">
      <w:bodyDiv w:val="1"/>
      <w:marLeft w:val="0"/>
      <w:marRight w:val="0"/>
      <w:marTop w:val="0"/>
      <w:marBottom w:val="0"/>
      <w:divBdr>
        <w:top w:val="none" w:sz="0" w:space="0" w:color="auto"/>
        <w:left w:val="none" w:sz="0" w:space="0" w:color="auto"/>
        <w:bottom w:val="none" w:sz="0" w:space="0" w:color="auto"/>
        <w:right w:val="none" w:sz="0" w:space="0" w:color="auto"/>
      </w:divBdr>
    </w:div>
    <w:div w:id="158497426">
      <w:bodyDiv w:val="1"/>
      <w:marLeft w:val="277"/>
      <w:marRight w:val="277"/>
      <w:marTop w:val="0"/>
      <w:marBottom w:val="0"/>
      <w:divBdr>
        <w:top w:val="none" w:sz="0" w:space="0" w:color="auto"/>
        <w:left w:val="none" w:sz="0" w:space="0" w:color="auto"/>
        <w:bottom w:val="none" w:sz="0" w:space="0" w:color="auto"/>
        <w:right w:val="none" w:sz="0" w:space="0" w:color="auto"/>
      </w:divBdr>
    </w:div>
    <w:div w:id="163789235">
      <w:bodyDiv w:val="1"/>
      <w:marLeft w:val="400"/>
      <w:marRight w:val="400"/>
      <w:marTop w:val="400"/>
      <w:marBottom w:val="0"/>
      <w:divBdr>
        <w:top w:val="none" w:sz="0" w:space="0" w:color="auto"/>
        <w:left w:val="none" w:sz="0" w:space="0" w:color="auto"/>
        <w:bottom w:val="none" w:sz="0" w:space="0" w:color="auto"/>
        <w:right w:val="none" w:sz="0" w:space="0" w:color="auto"/>
      </w:divBdr>
      <w:divsChild>
        <w:div w:id="30421215">
          <w:marLeft w:val="480"/>
          <w:marRight w:val="0"/>
          <w:marTop w:val="0"/>
          <w:marBottom w:val="0"/>
          <w:divBdr>
            <w:top w:val="none" w:sz="0" w:space="0" w:color="auto"/>
            <w:left w:val="none" w:sz="0" w:space="0" w:color="auto"/>
            <w:bottom w:val="none" w:sz="0" w:space="0" w:color="auto"/>
            <w:right w:val="none" w:sz="0" w:space="0" w:color="auto"/>
          </w:divBdr>
        </w:div>
        <w:div w:id="101657937">
          <w:marLeft w:val="480"/>
          <w:marRight w:val="0"/>
          <w:marTop w:val="0"/>
          <w:marBottom w:val="0"/>
          <w:divBdr>
            <w:top w:val="none" w:sz="0" w:space="0" w:color="auto"/>
            <w:left w:val="none" w:sz="0" w:space="0" w:color="auto"/>
            <w:bottom w:val="none" w:sz="0" w:space="0" w:color="auto"/>
            <w:right w:val="none" w:sz="0" w:space="0" w:color="auto"/>
          </w:divBdr>
        </w:div>
        <w:div w:id="183174273">
          <w:marLeft w:val="480"/>
          <w:marRight w:val="0"/>
          <w:marTop w:val="0"/>
          <w:marBottom w:val="0"/>
          <w:divBdr>
            <w:top w:val="none" w:sz="0" w:space="0" w:color="auto"/>
            <w:left w:val="none" w:sz="0" w:space="0" w:color="auto"/>
            <w:bottom w:val="none" w:sz="0" w:space="0" w:color="auto"/>
            <w:right w:val="none" w:sz="0" w:space="0" w:color="auto"/>
          </w:divBdr>
        </w:div>
        <w:div w:id="313873903">
          <w:marLeft w:val="480"/>
          <w:marRight w:val="0"/>
          <w:marTop w:val="0"/>
          <w:marBottom w:val="0"/>
          <w:divBdr>
            <w:top w:val="none" w:sz="0" w:space="0" w:color="auto"/>
            <w:left w:val="none" w:sz="0" w:space="0" w:color="auto"/>
            <w:bottom w:val="none" w:sz="0" w:space="0" w:color="auto"/>
            <w:right w:val="none" w:sz="0" w:space="0" w:color="auto"/>
          </w:divBdr>
        </w:div>
        <w:div w:id="337074489">
          <w:marLeft w:val="480"/>
          <w:marRight w:val="0"/>
          <w:marTop w:val="0"/>
          <w:marBottom w:val="0"/>
          <w:divBdr>
            <w:top w:val="none" w:sz="0" w:space="0" w:color="auto"/>
            <w:left w:val="none" w:sz="0" w:space="0" w:color="auto"/>
            <w:bottom w:val="none" w:sz="0" w:space="0" w:color="auto"/>
            <w:right w:val="none" w:sz="0" w:space="0" w:color="auto"/>
          </w:divBdr>
        </w:div>
        <w:div w:id="340158505">
          <w:marLeft w:val="480"/>
          <w:marRight w:val="0"/>
          <w:marTop w:val="0"/>
          <w:marBottom w:val="0"/>
          <w:divBdr>
            <w:top w:val="none" w:sz="0" w:space="0" w:color="auto"/>
            <w:left w:val="none" w:sz="0" w:space="0" w:color="auto"/>
            <w:bottom w:val="none" w:sz="0" w:space="0" w:color="auto"/>
            <w:right w:val="none" w:sz="0" w:space="0" w:color="auto"/>
          </w:divBdr>
        </w:div>
        <w:div w:id="391470637">
          <w:marLeft w:val="480"/>
          <w:marRight w:val="0"/>
          <w:marTop w:val="0"/>
          <w:marBottom w:val="0"/>
          <w:divBdr>
            <w:top w:val="none" w:sz="0" w:space="0" w:color="auto"/>
            <w:left w:val="none" w:sz="0" w:space="0" w:color="auto"/>
            <w:bottom w:val="none" w:sz="0" w:space="0" w:color="auto"/>
            <w:right w:val="none" w:sz="0" w:space="0" w:color="auto"/>
          </w:divBdr>
        </w:div>
        <w:div w:id="422916572">
          <w:marLeft w:val="480"/>
          <w:marRight w:val="0"/>
          <w:marTop w:val="0"/>
          <w:marBottom w:val="0"/>
          <w:divBdr>
            <w:top w:val="none" w:sz="0" w:space="0" w:color="auto"/>
            <w:left w:val="none" w:sz="0" w:space="0" w:color="auto"/>
            <w:bottom w:val="none" w:sz="0" w:space="0" w:color="auto"/>
            <w:right w:val="none" w:sz="0" w:space="0" w:color="auto"/>
          </w:divBdr>
        </w:div>
        <w:div w:id="460652975">
          <w:marLeft w:val="480"/>
          <w:marRight w:val="0"/>
          <w:marTop w:val="0"/>
          <w:marBottom w:val="0"/>
          <w:divBdr>
            <w:top w:val="none" w:sz="0" w:space="0" w:color="auto"/>
            <w:left w:val="none" w:sz="0" w:space="0" w:color="auto"/>
            <w:bottom w:val="none" w:sz="0" w:space="0" w:color="auto"/>
            <w:right w:val="none" w:sz="0" w:space="0" w:color="auto"/>
          </w:divBdr>
        </w:div>
        <w:div w:id="531264117">
          <w:marLeft w:val="480"/>
          <w:marRight w:val="0"/>
          <w:marTop w:val="0"/>
          <w:marBottom w:val="0"/>
          <w:divBdr>
            <w:top w:val="none" w:sz="0" w:space="0" w:color="auto"/>
            <w:left w:val="none" w:sz="0" w:space="0" w:color="auto"/>
            <w:bottom w:val="none" w:sz="0" w:space="0" w:color="auto"/>
            <w:right w:val="none" w:sz="0" w:space="0" w:color="auto"/>
          </w:divBdr>
        </w:div>
        <w:div w:id="542182556">
          <w:marLeft w:val="480"/>
          <w:marRight w:val="0"/>
          <w:marTop w:val="0"/>
          <w:marBottom w:val="0"/>
          <w:divBdr>
            <w:top w:val="none" w:sz="0" w:space="0" w:color="auto"/>
            <w:left w:val="none" w:sz="0" w:space="0" w:color="auto"/>
            <w:bottom w:val="none" w:sz="0" w:space="0" w:color="auto"/>
            <w:right w:val="none" w:sz="0" w:space="0" w:color="auto"/>
          </w:divBdr>
        </w:div>
        <w:div w:id="634800350">
          <w:marLeft w:val="480"/>
          <w:marRight w:val="0"/>
          <w:marTop w:val="0"/>
          <w:marBottom w:val="0"/>
          <w:divBdr>
            <w:top w:val="none" w:sz="0" w:space="0" w:color="auto"/>
            <w:left w:val="none" w:sz="0" w:space="0" w:color="auto"/>
            <w:bottom w:val="none" w:sz="0" w:space="0" w:color="auto"/>
            <w:right w:val="none" w:sz="0" w:space="0" w:color="auto"/>
          </w:divBdr>
        </w:div>
        <w:div w:id="1168132495">
          <w:marLeft w:val="480"/>
          <w:marRight w:val="0"/>
          <w:marTop w:val="0"/>
          <w:marBottom w:val="0"/>
          <w:divBdr>
            <w:top w:val="none" w:sz="0" w:space="0" w:color="auto"/>
            <w:left w:val="none" w:sz="0" w:space="0" w:color="auto"/>
            <w:bottom w:val="none" w:sz="0" w:space="0" w:color="auto"/>
            <w:right w:val="none" w:sz="0" w:space="0" w:color="auto"/>
          </w:divBdr>
        </w:div>
        <w:div w:id="1219516389">
          <w:marLeft w:val="480"/>
          <w:marRight w:val="0"/>
          <w:marTop w:val="0"/>
          <w:marBottom w:val="0"/>
          <w:divBdr>
            <w:top w:val="none" w:sz="0" w:space="0" w:color="auto"/>
            <w:left w:val="none" w:sz="0" w:space="0" w:color="auto"/>
            <w:bottom w:val="none" w:sz="0" w:space="0" w:color="auto"/>
            <w:right w:val="none" w:sz="0" w:space="0" w:color="auto"/>
          </w:divBdr>
        </w:div>
        <w:div w:id="1239749187">
          <w:marLeft w:val="480"/>
          <w:marRight w:val="0"/>
          <w:marTop w:val="0"/>
          <w:marBottom w:val="0"/>
          <w:divBdr>
            <w:top w:val="none" w:sz="0" w:space="0" w:color="auto"/>
            <w:left w:val="none" w:sz="0" w:space="0" w:color="auto"/>
            <w:bottom w:val="none" w:sz="0" w:space="0" w:color="auto"/>
            <w:right w:val="none" w:sz="0" w:space="0" w:color="auto"/>
          </w:divBdr>
        </w:div>
        <w:div w:id="1732263470">
          <w:marLeft w:val="480"/>
          <w:marRight w:val="0"/>
          <w:marTop w:val="0"/>
          <w:marBottom w:val="0"/>
          <w:divBdr>
            <w:top w:val="none" w:sz="0" w:space="0" w:color="auto"/>
            <w:left w:val="none" w:sz="0" w:space="0" w:color="auto"/>
            <w:bottom w:val="none" w:sz="0" w:space="0" w:color="auto"/>
            <w:right w:val="none" w:sz="0" w:space="0" w:color="auto"/>
          </w:divBdr>
        </w:div>
        <w:div w:id="1748267310">
          <w:marLeft w:val="480"/>
          <w:marRight w:val="0"/>
          <w:marTop w:val="0"/>
          <w:marBottom w:val="0"/>
          <w:divBdr>
            <w:top w:val="none" w:sz="0" w:space="0" w:color="auto"/>
            <w:left w:val="none" w:sz="0" w:space="0" w:color="auto"/>
            <w:bottom w:val="none" w:sz="0" w:space="0" w:color="auto"/>
            <w:right w:val="none" w:sz="0" w:space="0" w:color="auto"/>
          </w:divBdr>
          <w:divsChild>
            <w:div w:id="134836455">
              <w:marLeft w:val="600"/>
              <w:marRight w:val="0"/>
              <w:marTop w:val="0"/>
              <w:marBottom w:val="0"/>
              <w:divBdr>
                <w:top w:val="none" w:sz="0" w:space="0" w:color="auto"/>
                <w:left w:val="none" w:sz="0" w:space="0" w:color="auto"/>
                <w:bottom w:val="none" w:sz="0" w:space="0" w:color="auto"/>
                <w:right w:val="none" w:sz="0" w:space="0" w:color="auto"/>
              </w:divBdr>
            </w:div>
            <w:div w:id="1632396562">
              <w:marLeft w:val="480"/>
              <w:marRight w:val="0"/>
              <w:marTop w:val="0"/>
              <w:marBottom w:val="0"/>
              <w:divBdr>
                <w:top w:val="none" w:sz="0" w:space="0" w:color="auto"/>
                <w:left w:val="none" w:sz="0" w:space="0" w:color="auto"/>
                <w:bottom w:val="none" w:sz="0" w:space="0" w:color="auto"/>
                <w:right w:val="none" w:sz="0" w:space="0" w:color="auto"/>
              </w:divBdr>
            </w:div>
          </w:divsChild>
        </w:div>
        <w:div w:id="1927571425">
          <w:marLeft w:val="480"/>
          <w:marRight w:val="0"/>
          <w:marTop w:val="0"/>
          <w:marBottom w:val="0"/>
          <w:divBdr>
            <w:top w:val="none" w:sz="0" w:space="0" w:color="auto"/>
            <w:left w:val="none" w:sz="0" w:space="0" w:color="auto"/>
            <w:bottom w:val="none" w:sz="0" w:space="0" w:color="auto"/>
            <w:right w:val="none" w:sz="0" w:space="0" w:color="auto"/>
          </w:divBdr>
        </w:div>
        <w:div w:id="1978608099">
          <w:marLeft w:val="480"/>
          <w:marRight w:val="0"/>
          <w:marTop w:val="0"/>
          <w:marBottom w:val="0"/>
          <w:divBdr>
            <w:top w:val="none" w:sz="0" w:space="0" w:color="auto"/>
            <w:left w:val="none" w:sz="0" w:space="0" w:color="auto"/>
            <w:bottom w:val="none" w:sz="0" w:space="0" w:color="auto"/>
            <w:right w:val="none" w:sz="0" w:space="0" w:color="auto"/>
          </w:divBdr>
        </w:div>
        <w:div w:id="2079479174">
          <w:marLeft w:val="480"/>
          <w:marRight w:val="0"/>
          <w:marTop w:val="0"/>
          <w:marBottom w:val="0"/>
          <w:divBdr>
            <w:top w:val="none" w:sz="0" w:space="0" w:color="auto"/>
            <w:left w:val="none" w:sz="0" w:space="0" w:color="auto"/>
            <w:bottom w:val="none" w:sz="0" w:space="0" w:color="auto"/>
            <w:right w:val="none" w:sz="0" w:space="0" w:color="auto"/>
          </w:divBdr>
        </w:div>
        <w:div w:id="2107117326">
          <w:marLeft w:val="480"/>
          <w:marRight w:val="0"/>
          <w:marTop w:val="0"/>
          <w:marBottom w:val="0"/>
          <w:divBdr>
            <w:top w:val="none" w:sz="0" w:space="0" w:color="auto"/>
            <w:left w:val="none" w:sz="0" w:space="0" w:color="auto"/>
            <w:bottom w:val="none" w:sz="0" w:space="0" w:color="auto"/>
            <w:right w:val="none" w:sz="0" w:space="0" w:color="auto"/>
          </w:divBdr>
        </w:div>
      </w:divsChild>
    </w:div>
    <w:div w:id="274143794">
      <w:bodyDiv w:val="1"/>
      <w:marLeft w:val="263"/>
      <w:marRight w:val="263"/>
      <w:marTop w:val="0"/>
      <w:marBottom w:val="0"/>
      <w:divBdr>
        <w:top w:val="none" w:sz="0" w:space="0" w:color="auto"/>
        <w:left w:val="none" w:sz="0" w:space="0" w:color="auto"/>
        <w:bottom w:val="none" w:sz="0" w:space="0" w:color="auto"/>
        <w:right w:val="none" w:sz="0" w:space="0" w:color="auto"/>
      </w:divBdr>
    </w:div>
    <w:div w:id="365838851">
      <w:bodyDiv w:val="1"/>
      <w:marLeft w:val="400"/>
      <w:marRight w:val="400"/>
      <w:marTop w:val="400"/>
      <w:marBottom w:val="0"/>
      <w:divBdr>
        <w:top w:val="none" w:sz="0" w:space="0" w:color="auto"/>
        <w:left w:val="none" w:sz="0" w:space="0" w:color="auto"/>
        <w:bottom w:val="none" w:sz="0" w:space="0" w:color="auto"/>
        <w:right w:val="none" w:sz="0" w:space="0" w:color="auto"/>
      </w:divBdr>
      <w:divsChild>
        <w:div w:id="1922251607">
          <w:marLeft w:val="0"/>
          <w:marRight w:val="0"/>
          <w:marTop w:val="0"/>
          <w:marBottom w:val="0"/>
          <w:divBdr>
            <w:top w:val="none" w:sz="0" w:space="0" w:color="auto"/>
            <w:left w:val="none" w:sz="0" w:space="0" w:color="auto"/>
            <w:bottom w:val="none" w:sz="0" w:space="0" w:color="auto"/>
            <w:right w:val="none" w:sz="0" w:space="0" w:color="auto"/>
          </w:divBdr>
        </w:div>
      </w:divsChild>
    </w:div>
    <w:div w:id="439449828">
      <w:bodyDiv w:val="1"/>
      <w:marLeft w:val="0"/>
      <w:marRight w:val="0"/>
      <w:marTop w:val="0"/>
      <w:marBottom w:val="0"/>
      <w:divBdr>
        <w:top w:val="none" w:sz="0" w:space="0" w:color="auto"/>
        <w:left w:val="none" w:sz="0" w:space="0" w:color="auto"/>
        <w:bottom w:val="none" w:sz="0" w:space="0" w:color="auto"/>
        <w:right w:val="none" w:sz="0" w:space="0" w:color="auto"/>
      </w:divBdr>
    </w:div>
    <w:div w:id="478765953">
      <w:bodyDiv w:val="1"/>
      <w:marLeft w:val="0"/>
      <w:marRight w:val="0"/>
      <w:marTop w:val="0"/>
      <w:marBottom w:val="0"/>
      <w:divBdr>
        <w:top w:val="none" w:sz="0" w:space="0" w:color="auto"/>
        <w:left w:val="none" w:sz="0" w:space="0" w:color="auto"/>
        <w:bottom w:val="none" w:sz="0" w:space="0" w:color="auto"/>
        <w:right w:val="none" w:sz="0" w:space="0" w:color="auto"/>
      </w:divBdr>
    </w:div>
    <w:div w:id="625965227">
      <w:bodyDiv w:val="1"/>
      <w:marLeft w:val="263"/>
      <w:marRight w:val="263"/>
      <w:marTop w:val="0"/>
      <w:marBottom w:val="0"/>
      <w:divBdr>
        <w:top w:val="none" w:sz="0" w:space="0" w:color="auto"/>
        <w:left w:val="none" w:sz="0" w:space="0" w:color="auto"/>
        <w:bottom w:val="none" w:sz="0" w:space="0" w:color="auto"/>
        <w:right w:val="none" w:sz="0" w:space="0" w:color="auto"/>
      </w:divBdr>
      <w:divsChild>
        <w:div w:id="1691295837">
          <w:marLeft w:val="0"/>
          <w:marRight w:val="0"/>
          <w:marTop w:val="0"/>
          <w:marBottom w:val="0"/>
          <w:divBdr>
            <w:top w:val="none" w:sz="0" w:space="0" w:color="auto"/>
            <w:left w:val="none" w:sz="0" w:space="0" w:color="auto"/>
            <w:bottom w:val="none" w:sz="0" w:space="0" w:color="auto"/>
            <w:right w:val="none" w:sz="0" w:space="0" w:color="auto"/>
          </w:divBdr>
        </w:div>
      </w:divsChild>
    </w:div>
    <w:div w:id="686563594">
      <w:bodyDiv w:val="1"/>
      <w:marLeft w:val="263"/>
      <w:marRight w:val="263"/>
      <w:marTop w:val="0"/>
      <w:marBottom w:val="0"/>
      <w:divBdr>
        <w:top w:val="none" w:sz="0" w:space="0" w:color="auto"/>
        <w:left w:val="none" w:sz="0" w:space="0" w:color="auto"/>
        <w:bottom w:val="none" w:sz="0" w:space="0" w:color="auto"/>
        <w:right w:val="none" w:sz="0" w:space="0" w:color="auto"/>
      </w:divBdr>
      <w:divsChild>
        <w:div w:id="1243369298">
          <w:marLeft w:val="0"/>
          <w:marRight w:val="0"/>
          <w:marTop w:val="0"/>
          <w:marBottom w:val="0"/>
          <w:divBdr>
            <w:top w:val="none" w:sz="0" w:space="0" w:color="auto"/>
            <w:left w:val="none" w:sz="0" w:space="0" w:color="auto"/>
            <w:bottom w:val="none" w:sz="0" w:space="0" w:color="auto"/>
            <w:right w:val="none" w:sz="0" w:space="0" w:color="auto"/>
          </w:divBdr>
        </w:div>
      </w:divsChild>
    </w:div>
    <w:div w:id="873229772">
      <w:bodyDiv w:val="1"/>
      <w:marLeft w:val="263"/>
      <w:marRight w:val="263"/>
      <w:marTop w:val="0"/>
      <w:marBottom w:val="0"/>
      <w:divBdr>
        <w:top w:val="none" w:sz="0" w:space="0" w:color="auto"/>
        <w:left w:val="none" w:sz="0" w:space="0" w:color="auto"/>
        <w:bottom w:val="none" w:sz="0" w:space="0" w:color="auto"/>
        <w:right w:val="none" w:sz="0" w:space="0" w:color="auto"/>
      </w:divBdr>
      <w:divsChild>
        <w:div w:id="1317998234">
          <w:marLeft w:val="0"/>
          <w:marRight w:val="0"/>
          <w:marTop w:val="0"/>
          <w:marBottom w:val="0"/>
          <w:divBdr>
            <w:top w:val="none" w:sz="0" w:space="0" w:color="auto"/>
            <w:left w:val="none" w:sz="0" w:space="0" w:color="auto"/>
            <w:bottom w:val="none" w:sz="0" w:space="0" w:color="auto"/>
            <w:right w:val="none" w:sz="0" w:space="0" w:color="auto"/>
          </w:divBdr>
        </w:div>
      </w:divsChild>
    </w:div>
    <w:div w:id="1119569364">
      <w:bodyDiv w:val="1"/>
      <w:marLeft w:val="263"/>
      <w:marRight w:val="263"/>
      <w:marTop w:val="0"/>
      <w:marBottom w:val="0"/>
      <w:divBdr>
        <w:top w:val="none" w:sz="0" w:space="0" w:color="auto"/>
        <w:left w:val="none" w:sz="0" w:space="0" w:color="auto"/>
        <w:bottom w:val="none" w:sz="0" w:space="0" w:color="auto"/>
        <w:right w:val="none" w:sz="0" w:space="0" w:color="auto"/>
      </w:divBdr>
      <w:divsChild>
        <w:div w:id="1288582620">
          <w:marLeft w:val="0"/>
          <w:marRight w:val="0"/>
          <w:marTop w:val="0"/>
          <w:marBottom w:val="0"/>
          <w:divBdr>
            <w:top w:val="none" w:sz="0" w:space="0" w:color="auto"/>
            <w:left w:val="none" w:sz="0" w:space="0" w:color="auto"/>
            <w:bottom w:val="none" w:sz="0" w:space="0" w:color="auto"/>
            <w:right w:val="none" w:sz="0" w:space="0" w:color="auto"/>
          </w:divBdr>
        </w:div>
      </w:divsChild>
    </w:div>
    <w:div w:id="1162157215">
      <w:bodyDiv w:val="1"/>
      <w:marLeft w:val="263"/>
      <w:marRight w:val="263"/>
      <w:marTop w:val="0"/>
      <w:marBottom w:val="0"/>
      <w:divBdr>
        <w:top w:val="none" w:sz="0" w:space="0" w:color="auto"/>
        <w:left w:val="none" w:sz="0" w:space="0" w:color="auto"/>
        <w:bottom w:val="none" w:sz="0" w:space="0" w:color="auto"/>
        <w:right w:val="none" w:sz="0" w:space="0" w:color="auto"/>
      </w:divBdr>
      <w:divsChild>
        <w:div w:id="1521702616">
          <w:marLeft w:val="0"/>
          <w:marRight w:val="0"/>
          <w:marTop w:val="0"/>
          <w:marBottom w:val="0"/>
          <w:divBdr>
            <w:top w:val="none" w:sz="0" w:space="0" w:color="auto"/>
            <w:left w:val="none" w:sz="0" w:space="0" w:color="auto"/>
            <w:bottom w:val="none" w:sz="0" w:space="0" w:color="auto"/>
            <w:right w:val="none" w:sz="0" w:space="0" w:color="auto"/>
          </w:divBdr>
        </w:div>
      </w:divsChild>
    </w:div>
    <w:div w:id="1325819922">
      <w:bodyDiv w:val="1"/>
      <w:marLeft w:val="263"/>
      <w:marRight w:val="263"/>
      <w:marTop w:val="0"/>
      <w:marBottom w:val="0"/>
      <w:divBdr>
        <w:top w:val="none" w:sz="0" w:space="0" w:color="auto"/>
        <w:left w:val="none" w:sz="0" w:space="0" w:color="auto"/>
        <w:bottom w:val="none" w:sz="0" w:space="0" w:color="auto"/>
        <w:right w:val="none" w:sz="0" w:space="0" w:color="auto"/>
      </w:divBdr>
      <w:divsChild>
        <w:div w:id="343097951">
          <w:marLeft w:val="0"/>
          <w:marRight w:val="0"/>
          <w:marTop w:val="0"/>
          <w:marBottom w:val="0"/>
          <w:divBdr>
            <w:top w:val="none" w:sz="0" w:space="0" w:color="auto"/>
            <w:left w:val="none" w:sz="0" w:space="0" w:color="auto"/>
            <w:bottom w:val="none" w:sz="0" w:space="0" w:color="auto"/>
            <w:right w:val="none" w:sz="0" w:space="0" w:color="auto"/>
          </w:divBdr>
        </w:div>
      </w:divsChild>
    </w:div>
    <w:div w:id="1326127396">
      <w:bodyDiv w:val="1"/>
      <w:marLeft w:val="263"/>
      <w:marRight w:val="263"/>
      <w:marTop w:val="0"/>
      <w:marBottom w:val="0"/>
      <w:divBdr>
        <w:top w:val="none" w:sz="0" w:space="0" w:color="auto"/>
        <w:left w:val="none" w:sz="0" w:space="0" w:color="auto"/>
        <w:bottom w:val="none" w:sz="0" w:space="0" w:color="auto"/>
        <w:right w:val="none" w:sz="0" w:space="0" w:color="auto"/>
      </w:divBdr>
      <w:divsChild>
        <w:div w:id="1321538250">
          <w:marLeft w:val="0"/>
          <w:marRight w:val="0"/>
          <w:marTop w:val="0"/>
          <w:marBottom w:val="0"/>
          <w:divBdr>
            <w:top w:val="none" w:sz="0" w:space="0" w:color="auto"/>
            <w:left w:val="none" w:sz="0" w:space="0" w:color="auto"/>
            <w:bottom w:val="none" w:sz="0" w:space="0" w:color="auto"/>
            <w:right w:val="none" w:sz="0" w:space="0" w:color="auto"/>
          </w:divBdr>
        </w:div>
      </w:divsChild>
    </w:div>
    <w:div w:id="1496338206">
      <w:bodyDiv w:val="1"/>
      <w:marLeft w:val="263"/>
      <w:marRight w:val="263"/>
      <w:marTop w:val="0"/>
      <w:marBottom w:val="0"/>
      <w:divBdr>
        <w:top w:val="none" w:sz="0" w:space="0" w:color="auto"/>
        <w:left w:val="none" w:sz="0" w:space="0" w:color="auto"/>
        <w:bottom w:val="none" w:sz="0" w:space="0" w:color="auto"/>
        <w:right w:val="none" w:sz="0" w:space="0" w:color="auto"/>
      </w:divBdr>
      <w:divsChild>
        <w:div w:id="943995637">
          <w:marLeft w:val="0"/>
          <w:marRight w:val="0"/>
          <w:marTop w:val="0"/>
          <w:marBottom w:val="0"/>
          <w:divBdr>
            <w:top w:val="none" w:sz="0" w:space="0" w:color="auto"/>
            <w:left w:val="none" w:sz="0" w:space="0" w:color="auto"/>
            <w:bottom w:val="none" w:sz="0" w:space="0" w:color="auto"/>
            <w:right w:val="none" w:sz="0" w:space="0" w:color="auto"/>
          </w:divBdr>
        </w:div>
      </w:divsChild>
    </w:div>
    <w:div w:id="1616407832">
      <w:bodyDiv w:val="1"/>
      <w:marLeft w:val="0"/>
      <w:marRight w:val="0"/>
      <w:marTop w:val="0"/>
      <w:marBottom w:val="0"/>
      <w:divBdr>
        <w:top w:val="none" w:sz="0" w:space="0" w:color="auto"/>
        <w:left w:val="none" w:sz="0" w:space="0" w:color="auto"/>
        <w:bottom w:val="none" w:sz="0" w:space="0" w:color="auto"/>
        <w:right w:val="none" w:sz="0" w:space="0" w:color="auto"/>
      </w:divBdr>
    </w:div>
    <w:div w:id="1956331974">
      <w:bodyDiv w:val="1"/>
      <w:marLeft w:val="263"/>
      <w:marRight w:val="263"/>
      <w:marTop w:val="0"/>
      <w:marBottom w:val="0"/>
      <w:divBdr>
        <w:top w:val="none" w:sz="0" w:space="0" w:color="auto"/>
        <w:left w:val="none" w:sz="0" w:space="0" w:color="auto"/>
        <w:bottom w:val="none" w:sz="0" w:space="0" w:color="auto"/>
        <w:right w:val="none" w:sz="0" w:space="0" w:color="auto"/>
      </w:divBdr>
      <w:divsChild>
        <w:div w:id="1987004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3960</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DIREKTYVOS 2006/90/EB IR LIETUVOS RESPUBLIKOS NACIONALINIŲ TEISĖS AKTŲ PROJEKTŲ ATITIKTIES LENTELĖ</vt:lpstr>
      <vt:lpstr>KOMISIJOS DIREKTYVOS 2006/90/EB IR LIETUVOS RESPUBLIKOS NACIONALINIŲ TEISĖS AKTŲ PROJEKTŲ ATITIKTIES LENTELĖ</vt:lpstr>
    </vt:vector>
  </TitlesOfParts>
  <Company>SM</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2021-05-06T10:02:00Z</dcterms:created>
  <dc:creator>Aleksandras Tolstoj</dc:creator>
  <cp:lastModifiedBy>Gitana Aukštuolienė</cp:lastModifiedBy>
  <cp:lastPrinted>2015-01-19T13:05:00Z</cp:lastPrinted>
  <dcterms:modified xsi:type="dcterms:W3CDTF">2021-05-06T11:47:00Z</dcterms:modified>
  <cp:revision>8</cp:revision>
  <dc:title>KOMISIJOS DIREKTYVOS 2006/90/EB IR LIETUVOS RESPUBLIKOS NACIONALINIŲ TEISĖS AKTŲ PROJEKTŲ ATITIKTIES LENTELĖ</dc:title>
</cp:coreProperties>
</file>