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F8B20" w14:textId="365D83F5" w:rsidR="00CE494A" w:rsidRDefault="000B4F1C" w:rsidP="00C62E9C">
      <w:pPr>
        <w:tabs>
          <w:tab w:val="left" w:pos="6804"/>
          <w:tab w:val="left" w:pos="8505"/>
        </w:tabs>
        <w:spacing w:after="0" w:line="240" w:lineRule="auto"/>
        <w:ind w:left="7371"/>
        <w:rPr>
          <w:rFonts w:eastAsia="Times New Roman"/>
          <w:b/>
        </w:rPr>
      </w:pPr>
      <w:r>
        <w:rPr>
          <w:rFonts w:eastAsia="Times New Roman"/>
          <w:b/>
        </w:rPr>
        <w:t>P</w:t>
      </w:r>
      <w:r w:rsidR="00E554CA" w:rsidRPr="00A05E5B">
        <w:rPr>
          <w:rFonts w:eastAsia="Times New Roman"/>
          <w:b/>
        </w:rPr>
        <w:t>rojekt</w:t>
      </w:r>
      <w:r w:rsidR="0015503F">
        <w:rPr>
          <w:rFonts w:eastAsia="Times New Roman"/>
          <w:b/>
        </w:rPr>
        <w:t>o</w:t>
      </w:r>
      <w:r w:rsidR="00F14442">
        <w:rPr>
          <w:rFonts w:eastAsia="Times New Roman"/>
          <w:b/>
        </w:rPr>
        <w:t xml:space="preserve"> Nr. XIV</w:t>
      </w:r>
      <w:r w:rsidR="00D0336B">
        <w:rPr>
          <w:rFonts w:eastAsia="Times New Roman"/>
          <w:b/>
        </w:rPr>
        <w:t>P-</w:t>
      </w:r>
    </w:p>
    <w:p w14:paraId="083F8B21" w14:textId="16765873" w:rsidR="00E554CA" w:rsidRPr="00A05E5B" w:rsidRDefault="00E3471A" w:rsidP="00E3471A">
      <w:pPr>
        <w:tabs>
          <w:tab w:val="left" w:pos="6804"/>
          <w:tab w:val="left" w:pos="8505"/>
        </w:tabs>
        <w:spacing w:after="0" w:line="240" w:lineRule="auto"/>
        <w:rPr>
          <w:rFonts w:eastAsia="Times New Roman"/>
          <w:b/>
        </w:rPr>
      </w:pPr>
      <w:r>
        <w:rPr>
          <w:rFonts w:eastAsia="Times New Roman"/>
          <w:b/>
        </w:rPr>
        <w:tab/>
        <w:t xml:space="preserve">          </w:t>
      </w:r>
      <w:r w:rsidR="0015503F">
        <w:rPr>
          <w:rFonts w:eastAsia="Times New Roman"/>
          <w:b/>
        </w:rPr>
        <w:t>lyginamasis</w:t>
      </w:r>
      <w:r w:rsidR="00F92366">
        <w:rPr>
          <w:rFonts w:eastAsia="Times New Roman"/>
          <w:b/>
        </w:rPr>
        <w:t xml:space="preserve"> </w:t>
      </w:r>
      <w:r w:rsidR="00D31FEC">
        <w:rPr>
          <w:rFonts w:eastAsia="Times New Roman"/>
          <w:b/>
        </w:rPr>
        <w:t>variantas</w:t>
      </w:r>
    </w:p>
    <w:p w14:paraId="083F8B22" w14:textId="77777777" w:rsidR="00E554CA" w:rsidRPr="00A05E5B" w:rsidRDefault="00E554CA" w:rsidP="00C62E9C">
      <w:pPr>
        <w:spacing w:after="0" w:line="240" w:lineRule="auto"/>
        <w:ind w:firstLine="750"/>
        <w:jc w:val="both"/>
        <w:rPr>
          <w:rFonts w:eastAsia="Times New Roman"/>
          <w:b/>
        </w:rPr>
      </w:pPr>
    </w:p>
    <w:p w14:paraId="083F8B23" w14:textId="77777777" w:rsidR="00E554CA" w:rsidRPr="00A05E5B" w:rsidRDefault="00E554CA" w:rsidP="00C62E9C">
      <w:pPr>
        <w:spacing w:after="0" w:line="240" w:lineRule="auto"/>
        <w:jc w:val="center"/>
        <w:rPr>
          <w:rFonts w:eastAsia="Times New Roman"/>
          <w:b/>
        </w:rPr>
      </w:pPr>
      <w:r w:rsidRPr="00A05E5B">
        <w:rPr>
          <w:rFonts w:eastAsia="Times New Roman"/>
          <w:b/>
        </w:rPr>
        <w:t>LIETUVOS RESPUBLIKOS</w:t>
      </w:r>
    </w:p>
    <w:p w14:paraId="33941C5B" w14:textId="221C32BD" w:rsidR="00F57508" w:rsidRDefault="00BB5731" w:rsidP="000D6A96">
      <w:pPr>
        <w:spacing w:after="0" w:line="240" w:lineRule="auto"/>
        <w:jc w:val="center"/>
        <w:rPr>
          <w:rFonts w:eastAsia="Times New Roman"/>
          <w:b/>
        </w:rPr>
      </w:pPr>
      <w:r w:rsidRPr="00BB5731">
        <w:rPr>
          <w:rFonts w:eastAsia="Times New Roman"/>
          <w:b/>
        </w:rPr>
        <w:t xml:space="preserve">PINIGINĖS SOCIALINĖS PARAMOS NEPASITURINTIEMS GYVENTOJAMS ĮSTATYMO NR. IX-1675 </w:t>
      </w:r>
      <w:r w:rsidR="00B66FFA">
        <w:rPr>
          <w:rFonts w:eastAsia="Times New Roman"/>
          <w:b/>
        </w:rPr>
        <w:t>8</w:t>
      </w:r>
      <w:r w:rsidR="00875922" w:rsidRPr="006E06CE">
        <w:rPr>
          <w:rFonts w:eastAsia="Times New Roman"/>
          <w:b/>
        </w:rPr>
        <w:t xml:space="preserve"> IR </w:t>
      </w:r>
      <w:r w:rsidR="00B66FFA">
        <w:rPr>
          <w:rFonts w:eastAsia="Times New Roman"/>
          <w:b/>
        </w:rPr>
        <w:t>17</w:t>
      </w:r>
      <w:r w:rsidR="00F57508" w:rsidRPr="006E06CE">
        <w:rPr>
          <w:rFonts w:eastAsia="Times New Roman"/>
          <w:b/>
        </w:rPr>
        <w:t xml:space="preserve"> STRAIPSNI</w:t>
      </w:r>
      <w:r w:rsidR="00875922" w:rsidRPr="006E06CE">
        <w:rPr>
          <w:rFonts w:eastAsia="Times New Roman"/>
          <w:b/>
        </w:rPr>
        <w:t>Ų</w:t>
      </w:r>
      <w:r w:rsidR="00F57508" w:rsidRPr="006E06CE">
        <w:rPr>
          <w:rFonts w:eastAsia="Times New Roman"/>
          <w:b/>
        </w:rPr>
        <w:t xml:space="preserve"> </w:t>
      </w:r>
      <w:r w:rsidRPr="00BB5731">
        <w:rPr>
          <w:rFonts w:eastAsia="Times New Roman"/>
          <w:b/>
        </w:rPr>
        <w:t xml:space="preserve">PAKEITIMO </w:t>
      </w:r>
    </w:p>
    <w:p w14:paraId="083F8B25" w14:textId="1386B56E" w:rsidR="00E554CA" w:rsidRPr="00A05E5B" w:rsidRDefault="00E3471A" w:rsidP="00E3471A">
      <w:pPr>
        <w:tabs>
          <w:tab w:val="center" w:pos="4819"/>
          <w:tab w:val="left" w:pos="7480"/>
        </w:tabs>
        <w:spacing w:after="0" w:line="240" w:lineRule="auto"/>
        <w:rPr>
          <w:rFonts w:eastAsia="Times New Roman"/>
          <w:b/>
        </w:rPr>
      </w:pPr>
      <w:r>
        <w:rPr>
          <w:rFonts w:eastAsia="Times New Roman"/>
          <w:b/>
        </w:rPr>
        <w:tab/>
      </w:r>
      <w:r w:rsidR="00EE1B39">
        <w:rPr>
          <w:rFonts w:eastAsia="Times New Roman"/>
          <w:b/>
        </w:rPr>
        <w:t>ĮSTATYMAS</w:t>
      </w:r>
      <w:r>
        <w:rPr>
          <w:rFonts w:eastAsia="Times New Roman"/>
          <w:b/>
        </w:rPr>
        <w:tab/>
      </w:r>
    </w:p>
    <w:p w14:paraId="083F8B26" w14:textId="77777777" w:rsidR="00E554CA" w:rsidRPr="00A05E5B" w:rsidRDefault="00E554CA" w:rsidP="00C62E9C">
      <w:pPr>
        <w:spacing w:after="0" w:line="240" w:lineRule="auto"/>
        <w:jc w:val="both"/>
        <w:rPr>
          <w:rFonts w:eastAsia="Times New Roman"/>
        </w:rPr>
      </w:pPr>
    </w:p>
    <w:p w14:paraId="083F8B27" w14:textId="284087AF" w:rsidR="00E554CA" w:rsidRPr="00A05E5B" w:rsidRDefault="00F14442" w:rsidP="00C62E9C">
      <w:pPr>
        <w:spacing w:after="0" w:line="240" w:lineRule="auto"/>
        <w:jc w:val="center"/>
        <w:rPr>
          <w:rFonts w:eastAsia="Times New Roman"/>
        </w:rPr>
      </w:pPr>
      <w:r>
        <w:rPr>
          <w:rFonts w:eastAsia="Times New Roman"/>
        </w:rPr>
        <w:t>2021</w:t>
      </w:r>
      <w:r w:rsidR="00E554CA" w:rsidRPr="00A05E5B">
        <w:rPr>
          <w:rFonts w:eastAsia="Times New Roman"/>
        </w:rPr>
        <w:t xml:space="preserve"> m.                          d. Nr. </w:t>
      </w:r>
    </w:p>
    <w:p w14:paraId="083F8B28" w14:textId="77777777" w:rsidR="00E554CA" w:rsidRPr="00A05E5B" w:rsidRDefault="00E554CA" w:rsidP="00C62E9C">
      <w:pPr>
        <w:spacing w:after="0" w:line="240" w:lineRule="auto"/>
        <w:jc w:val="center"/>
        <w:rPr>
          <w:rFonts w:eastAsia="Times New Roman"/>
        </w:rPr>
      </w:pPr>
      <w:r w:rsidRPr="00A05E5B">
        <w:rPr>
          <w:rFonts w:eastAsia="Times New Roman"/>
        </w:rPr>
        <w:t>Vilnius</w:t>
      </w:r>
    </w:p>
    <w:p w14:paraId="083F8B29" w14:textId="77777777" w:rsidR="00E554CA" w:rsidRDefault="00E554CA" w:rsidP="00A1443A">
      <w:pPr>
        <w:spacing w:after="0" w:line="240" w:lineRule="auto"/>
        <w:jc w:val="both"/>
        <w:rPr>
          <w:rFonts w:eastAsia="Times New Roman"/>
        </w:rPr>
      </w:pPr>
    </w:p>
    <w:p w14:paraId="31EAFEC0" w14:textId="77777777" w:rsidR="00E3471A" w:rsidRPr="00A05E5B" w:rsidRDefault="00E3471A" w:rsidP="0071209D">
      <w:pPr>
        <w:spacing w:after="0" w:line="360" w:lineRule="auto"/>
        <w:ind w:firstLine="851"/>
        <w:jc w:val="both"/>
        <w:rPr>
          <w:rFonts w:eastAsia="Times New Roman"/>
        </w:rPr>
      </w:pPr>
    </w:p>
    <w:p w14:paraId="083F8B2A" w14:textId="0BF46851" w:rsidR="00736CCA" w:rsidRPr="00CC51B1" w:rsidRDefault="0043006D" w:rsidP="0071209D">
      <w:pPr>
        <w:spacing w:after="0" w:line="360" w:lineRule="auto"/>
        <w:ind w:firstLine="851"/>
        <w:jc w:val="both"/>
        <w:rPr>
          <w:rFonts w:eastAsia="Times New Roman"/>
          <w:b/>
        </w:rPr>
      </w:pPr>
      <w:r>
        <w:rPr>
          <w:rFonts w:eastAsia="Times New Roman"/>
          <w:b/>
        </w:rPr>
        <w:t>1</w:t>
      </w:r>
      <w:r w:rsidR="00E554CA" w:rsidRPr="00A05E5B">
        <w:rPr>
          <w:rFonts w:eastAsia="Times New Roman"/>
          <w:b/>
        </w:rPr>
        <w:t xml:space="preserve"> straipsnis. </w:t>
      </w:r>
      <w:r w:rsidR="000D6A96">
        <w:rPr>
          <w:rFonts w:eastAsia="Times New Roman"/>
          <w:b/>
        </w:rPr>
        <w:t>8</w:t>
      </w:r>
      <w:r w:rsidR="00736CCA" w:rsidRPr="00CC51B1">
        <w:rPr>
          <w:rFonts w:eastAsia="Times New Roman"/>
          <w:b/>
        </w:rPr>
        <w:t xml:space="preserve"> straipsnio pakeitimas</w:t>
      </w:r>
    </w:p>
    <w:p w14:paraId="6B507A93" w14:textId="299E4D2B" w:rsidR="001336F7" w:rsidRDefault="00BB5731" w:rsidP="0071209D">
      <w:pPr>
        <w:spacing w:after="0" w:line="360" w:lineRule="auto"/>
        <w:ind w:firstLine="851"/>
        <w:jc w:val="both"/>
        <w:rPr>
          <w:rFonts w:eastAsia="Times New Roman"/>
        </w:rPr>
      </w:pPr>
      <w:r w:rsidRPr="00AF109E">
        <w:t xml:space="preserve">Pakeisti </w:t>
      </w:r>
      <w:r w:rsidR="000D6A96">
        <w:t>8</w:t>
      </w:r>
      <w:r>
        <w:t xml:space="preserve"> </w:t>
      </w:r>
      <w:r w:rsidRPr="00AF109E">
        <w:t xml:space="preserve">straipsnio </w:t>
      </w:r>
      <w:r w:rsidR="000D6A96">
        <w:t>1</w:t>
      </w:r>
      <w:r>
        <w:t xml:space="preserve"> dal</w:t>
      </w:r>
      <w:r w:rsidR="000D6A96">
        <w:t xml:space="preserve">ies </w:t>
      </w:r>
      <w:r w:rsidR="0043006D">
        <w:t>1</w:t>
      </w:r>
      <w:r w:rsidR="000D6A96">
        <w:t xml:space="preserve"> </w:t>
      </w:r>
      <w:r w:rsidR="00AF278E">
        <w:t>pu</w:t>
      </w:r>
      <w:r w:rsidR="006C0A97">
        <w:t>n</w:t>
      </w:r>
      <w:r w:rsidR="00AF278E">
        <w:t xml:space="preserve">ktą </w:t>
      </w:r>
      <w:r w:rsidRPr="00AF109E">
        <w:t xml:space="preserve">ir </w:t>
      </w:r>
      <w:r>
        <w:t>j</w:t>
      </w:r>
      <w:r w:rsidR="004D3A3E">
        <w:t>į</w:t>
      </w:r>
      <w:r w:rsidRPr="00AF109E">
        <w:t xml:space="preserve"> išdėstyti taip</w:t>
      </w:r>
      <w:r w:rsidR="00F215DE" w:rsidRPr="00684635">
        <w:rPr>
          <w:rFonts w:eastAsia="Times New Roman"/>
        </w:rPr>
        <w:t>:</w:t>
      </w:r>
    </w:p>
    <w:p w14:paraId="381761E8" w14:textId="77258E55" w:rsidR="0043006D" w:rsidRDefault="0043006D" w:rsidP="0071209D">
      <w:pPr>
        <w:spacing w:after="0" w:line="360" w:lineRule="auto"/>
        <w:ind w:firstLine="851"/>
        <w:jc w:val="both"/>
        <w:rPr>
          <w:color w:val="000000"/>
        </w:rPr>
      </w:pPr>
      <w:r>
        <w:rPr>
          <w:color w:val="000000"/>
        </w:rPr>
        <w:t>„</w:t>
      </w:r>
      <w:r w:rsidRPr="0043006D">
        <w:rPr>
          <w:color w:val="000000"/>
        </w:rPr>
        <w:t xml:space="preserve">1) </w:t>
      </w:r>
      <w:r w:rsidRPr="005F3F79">
        <w:rPr>
          <w:bCs/>
          <w:color w:val="000000"/>
        </w:rPr>
        <w:t>vyresni kaip 18 metų asmenys</w:t>
      </w:r>
      <w:r w:rsidR="00915952">
        <w:rPr>
          <w:b/>
          <w:color w:val="000000"/>
        </w:rPr>
        <w:t xml:space="preserve"> </w:t>
      </w:r>
      <w:r w:rsidR="00915952" w:rsidRPr="00FF5A4C">
        <w:rPr>
          <w:b/>
          <w:color w:val="000000"/>
        </w:rPr>
        <w:t>yra užimti</w:t>
      </w:r>
      <w:r w:rsidR="005C4E7F">
        <w:rPr>
          <w:b/>
          <w:color w:val="000000"/>
        </w:rPr>
        <w:t>,</w:t>
      </w:r>
      <w:r w:rsidR="00915952" w:rsidRPr="00FF5A4C">
        <w:rPr>
          <w:b/>
          <w:color w:val="000000"/>
        </w:rPr>
        <w:t xml:space="preserve"> kaip tai numato Užimtumo įstatymo 3 straipsnis</w:t>
      </w:r>
      <w:r w:rsidR="00915952">
        <w:rPr>
          <w:b/>
          <w:color w:val="000000"/>
        </w:rPr>
        <w:t>:</w:t>
      </w:r>
      <w:r w:rsidRPr="00FF5A4C">
        <w:rPr>
          <w:b/>
          <w:color w:val="000000"/>
        </w:rPr>
        <w:t xml:space="preserve"> </w:t>
      </w:r>
      <w:r w:rsidR="00FF5A4C" w:rsidRPr="00FF5A4C">
        <w:rPr>
          <w:b/>
          <w:color w:val="000000"/>
        </w:rPr>
        <w:t>dirba pagal darbo sutartį ar</w:t>
      </w:r>
      <w:r w:rsidR="00FF5A4C">
        <w:rPr>
          <w:b/>
          <w:color w:val="000000"/>
        </w:rPr>
        <w:t xml:space="preserve"> </w:t>
      </w:r>
      <w:r w:rsidR="00FF5A4C" w:rsidRPr="00FF5A4C">
        <w:rPr>
          <w:b/>
          <w:color w:val="000000"/>
        </w:rPr>
        <w:t>darbo santykiams prilygintų teisinių santykių pagrindu</w:t>
      </w:r>
      <w:r w:rsidR="00915952">
        <w:rPr>
          <w:b/>
          <w:color w:val="000000"/>
        </w:rPr>
        <w:t xml:space="preserve"> arba</w:t>
      </w:r>
      <w:r w:rsidR="00FF5A4C" w:rsidRPr="00FF5A4C">
        <w:rPr>
          <w:b/>
          <w:color w:val="000000"/>
        </w:rPr>
        <w:t xml:space="preserve"> yra savarankiškai dirbantys</w:t>
      </w:r>
      <w:r w:rsidR="00915952">
        <w:rPr>
          <w:b/>
          <w:color w:val="000000"/>
        </w:rPr>
        <w:t>,</w:t>
      </w:r>
      <w:r w:rsidR="00FF5A4C" w:rsidRPr="00FF5A4C">
        <w:rPr>
          <w:b/>
          <w:color w:val="000000"/>
        </w:rPr>
        <w:t xml:space="preserve"> arba užsiima neatlygintinio užimtumo veikla</w:t>
      </w:r>
      <w:r w:rsidR="00F83017">
        <w:rPr>
          <w:color w:val="000000"/>
        </w:rPr>
        <w:t xml:space="preserve"> </w:t>
      </w:r>
      <w:r w:rsidR="005F3F79" w:rsidRPr="005F3F79">
        <w:rPr>
          <w:strike/>
          <w:color w:val="000000"/>
        </w:rPr>
        <w:t xml:space="preserve">dirba </w:t>
      </w:r>
      <w:r w:rsidRPr="0043006D">
        <w:rPr>
          <w:strike/>
          <w:color w:val="000000"/>
        </w:rPr>
        <w:t>ir per laikotarpį, už kurį pajamos apskaičiuojamos, dirbo ne mažiau kaip du trečdalius maksimalios darbo laiko trukmės (įskaitant laikinojo nedarbingumo, prastovų ne dėl darbuotojo kaltės, kasmetinių atostogų ir kitą dėl pateisinamų priežasčių nedirbtą laiką, už kurį mokama įstatymų nustatyta tvarka), nustatytos Lietuvos Res</w:t>
      </w:r>
      <w:r w:rsidR="005C4E7F">
        <w:rPr>
          <w:strike/>
          <w:color w:val="000000"/>
        </w:rPr>
        <w:t>publikos darbo kodekso (toliau</w:t>
      </w:r>
      <w:r w:rsidRPr="0043006D">
        <w:rPr>
          <w:strike/>
          <w:color w:val="000000"/>
        </w:rPr>
        <w:t xml:space="preserve"> Darbo kodeksas) 112 straipsnio 3 dalyje, tačiau ne viso darbo laiko atveju, išskyrus Darbo kodekso 40 straipsnio 5 dalyje nustatytus atvejus, darbo laiko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jiems darbo užmokesčio apskaičiuojama ne mažiau už minimaliąją mėnesinę algą arba minimalųjį valandinį atlygį proporcingai dirbtam laikui arba atliktam darbui</w:t>
      </w:r>
      <w:r w:rsidRPr="00993ACD">
        <w:rPr>
          <w:strike/>
          <w:color w:val="000000"/>
        </w:rPr>
        <w:t>; savarankiškai dirbantys asmenys, kurie per laikotarpį, už kurį pajamos apskaičiuojamos, iš vykdomos veiklos gauna ne mažesnes kaip minimalioji mėnesinė alga vidutines pajamas per mėnesį;</w:t>
      </w:r>
      <w:r w:rsidRPr="00A23940">
        <w:rPr>
          <w:color w:val="000000"/>
        </w:rPr>
        <w:t>“</w:t>
      </w:r>
    </w:p>
    <w:p w14:paraId="3E35DCA4" w14:textId="77777777" w:rsidR="00285EE8" w:rsidRDefault="00285EE8" w:rsidP="0071209D">
      <w:pPr>
        <w:spacing w:after="0" w:line="360" w:lineRule="auto"/>
        <w:ind w:firstLine="851"/>
        <w:jc w:val="both"/>
        <w:rPr>
          <w:b/>
          <w:bCs/>
        </w:rPr>
      </w:pPr>
    </w:p>
    <w:p w14:paraId="0A59D6BA" w14:textId="37C0C292" w:rsidR="006E4A80" w:rsidRPr="00CC51B1" w:rsidRDefault="006E4A80" w:rsidP="0071209D">
      <w:pPr>
        <w:spacing w:after="0" w:line="360" w:lineRule="auto"/>
        <w:ind w:firstLine="851"/>
        <w:jc w:val="both"/>
        <w:rPr>
          <w:rFonts w:eastAsia="Times New Roman"/>
          <w:b/>
        </w:rPr>
      </w:pPr>
      <w:r>
        <w:rPr>
          <w:rFonts w:eastAsia="Times New Roman"/>
          <w:b/>
        </w:rPr>
        <w:t>2</w:t>
      </w:r>
      <w:r w:rsidRPr="00A05E5B">
        <w:rPr>
          <w:rFonts w:eastAsia="Times New Roman"/>
          <w:b/>
        </w:rPr>
        <w:t xml:space="preserve"> straipsnis. </w:t>
      </w:r>
      <w:r>
        <w:rPr>
          <w:rFonts w:eastAsia="Times New Roman"/>
          <w:b/>
        </w:rPr>
        <w:t>17</w:t>
      </w:r>
      <w:r w:rsidRPr="00CC51B1">
        <w:rPr>
          <w:rFonts w:eastAsia="Times New Roman"/>
          <w:b/>
        </w:rPr>
        <w:t xml:space="preserve"> straipsnio pakeitimas</w:t>
      </w:r>
    </w:p>
    <w:p w14:paraId="338F6700" w14:textId="0453F22C" w:rsidR="006E4A80" w:rsidRPr="006E4A80" w:rsidRDefault="00A23940" w:rsidP="0071209D">
      <w:pPr>
        <w:spacing w:after="0" w:line="360" w:lineRule="auto"/>
        <w:ind w:firstLine="851"/>
        <w:jc w:val="both"/>
        <w:rPr>
          <w:rFonts w:eastAsia="Times New Roman"/>
        </w:rPr>
      </w:pPr>
      <w:bookmarkStart w:id="0" w:name="_Hlk85290186"/>
      <w:r>
        <w:t>1. P</w:t>
      </w:r>
      <w:r w:rsidR="006E4A80" w:rsidRPr="006E4A80">
        <w:t xml:space="preserve">akeisti </w:t>
      </w:r>
      <w:r>
        <w:t>17</w:t>
      </w:r>
      <w:r w:rsidR="006E4A80" w:rsidRPr="006E4A80">
        <w:t xml:space="preserve"> straipsnio 1 dalies 7 </w:t>
      </w:r>
      <w:r w:rsidR="00F921D5">
        <w:t xml:space="preserve">punktą </w:t>
      </w:r>
      <w:r w:rsidR="006E4A80" w:rsidRPr="006E4A80">
        <w:t>ir j</w:t>
      </w:r>
      <w:r w:rsidR="00F921D5">
        <w:t>į</w:t>
      </w:r>
      <w:r w:rsidR="006E4A80" w:rsidRPr="006E4A80">
        <w:t xml:space="preserve"> išdėstyti taip</w:t>
      </w:r>
      <w:r w:rsidR="006E4A80" w:rsidRPr="006E4A80">
        <w:rPr>
          <w:rFonts w:eastAsia="Times New Roman"/>
        </w:rPr>
        <w:t>:</w:t>
      </w:r>
    </w:p>
    <w:p w14:paraId="57C505B3" w14:textId="789797F1" w:rsidR="006E4A80" w:rsidRPr="006E4A80" w:rsidRDefault="00F921D5" w:rsidP="0071209D">
      <w:pPr>
        <w:spacing w:after="0" w:line="360" w:lineRule="auto"/>
        <w:ind w:firstLine="851"/>
        <w:jc w:val="both"/>
        <w:rPr>
          <w:bCs/>
        </w:rPr>
      </w:pPr>
      <w:r>
        <w:rPr>
          <w:bCs/>
        </w:rPr>
        <w:t>„</w:t>
      </w:r>
      <w:r w:rsidR="006E4A80" w:rsidRPr="006E4A80">
        <w:rPr>
          <w:bCs/>
        </w:rPr>
        <w:t xml:space="preserve">7) </w:t>
      </w:r>
      <w:r w:rsidR="006E4A80" w:rsidRPr="006E4A80">
        <w:rPr>
          <w:b/>
          <w:bCs/>
        </w:rPr>
        <w:t>70 procentų</w:t>
      </w:r>
      <w:r w:rsidR="006E4A80">
        <w:rPr>
          <w:b/>
          <w:bCs/>
        </w:rPr>
        <w:t xml:space="preserve"> visų</w:t>
      </w:r>
      <w:r w:rsidR="006E4A80" w:rsidRPr="006E4A80">
        <w:rPr>
          <w:bCs/>
        </w:rPr>
        <w:t xml:space="preserve"> individualios veiklos pajam</w:t>
      </w:r>
      <w:r w:rsidR="006E4A80">
        <w:rPr>
          <w:bCs/>
        </w:rPr>
        <w:t xml:space="preserve">ų </w:t>
      </w:r>
      <w:r w:rsidR="006E4A80" w:rsidRPr="006D6CD6">
        <w:rPr>
          <w:b/>
          <w:bCs/>
        </w:rPr>
        <w:t>arba</w:t>
      </w:r>
      <w:r w:rsidR="006E4A80">
        <w:rPr>
          <w:bCs/>
        </w:rPr>
        <w:t xml:space="preserve"> </w:t>
      </w:r>
      <w:r w:rsidR="006E4A80" w:rsidRPr="006E4A80">
        <w:rPr>
          <w:b/>
          <w:bCs/>
        </w:rPr>
        <w:t>faktinės draudžiamosios pajamos (įmokų bazė),</w:t>
      </w:r>
      <w:r w:rsidR="006E4A80" w:rsidRPr="006E4A80">
        <w:rPr>
          <w:bCs/>
        </w:rPr>
        <w:t xml:space="preserve"> </w:t>
      </w:r>
      <w:r w:rsidR="006D6CD6">
        <w:rPr>
          <w:b/>
        </w:rPr>
        <w:t xml:space="preserve">kaip jos apibrėžtos Valstybinio socialinio draudimo įstatyme, </w:t>
      </w:r>
      <w:r w:rsidR="006E4A80" w:rsidRPr="006D6CD6">
        <w:rPr>
          <w:bCs/>
          <w:strike/>
        </w:rPr>
        <w:t>gaut</w:t>
      </w:r>
      <w:r w:rsidR="006D6CD6" w:rsidRPr="006D6CD6">
        <w:rPr>
          <w:bCs/>
          <w:strike/>
        </w:rPr>
        <w:t>ų</w:t>
      </w:r>
      <w:r w:rsidR="006D6CD6">
        <w:rPr>
          <w:bCs/>
          <w:strike/>
        </w:rPr>
        <w:t xml:space="preserve"> </w:t>
      </w:r>
      <w:r w:rsidR="006D6CD6" w:rsidRPr="00A23940">
        <w:rPr>
          <w:b/>
        </w:rPr>
        <w:t>gautos</w:t>
      </w:r>
      <w:r w:rsidR="006D6CD6" w:rsidRPr="006D6CD6">
        <w:rPr>
          <w:bCs/>
        </w:rPr>
        <w:t xml:space="preserve"> </w:t>
      </w:r>
      <w:r w:rsidR="006E4A80" w:rsidRPr="006E4A80">
        <w:rPr>
          <w:bCs/>
        </w:rPr>
        <w:t xml:space="preserve">verčiantis veikla pagal verslo liudijimą </w:t>
      </w:r>
      <w:r w:rsidR="006E4A80" w:rsidRPr="00A23940">
        <w:rPr>
          <w:b/>
        </w:rPr>
        <w:t>arba individualios veiklos vykdymo pažymą</w:t>
      </w:r>
      <w:r w:rsidR="006E4A80" w:rsidRPr="006E4A80">
        <w:rPr>
          <w:bCs/>
        </w:rPr>
        <w:t xml:space="preserve"> (išskyrus asmenų iki 18 metų pajamas);</w:t>
      </w:r>
      <w:r w:rsidR="006D6CD6">
        <w:rPr>
          <w:bCs/>
        </w:rPr>
        <w:t xml:space="preserve"> </w:t>
      </w:r>
      <w:r w:rsidR="006D6CD6">
        <w:rPr>
          <w:b/>
        </w:rPr>
        <w:t>Tais atvejais, kai šių pajamų gavėjo draudžia</w:t>
      </w:r>
      <w:r w:rsidR="00951432">
        <w:rPr>
          <w:b/>
        </w:rPr>
        <w:t>mosios pajamos tą mėnesį, kurį</w:t>
      </w:r>
      <w:r w:rsidR="006D6CD6">
        <w:rPr>
          <w:b/>
        </w:rPr>
        <w:t xml:space="preserve"> draudžiamosios pajamos turi būti vertinamos, teisės aktų nustatyta tvarka nėra (negali būti) nustatytos </w:t>
      </w:r>
      <w:r w:rsidR="006D6CD6" w:rsidRPr="00592363">
        <w:rPr>
          <w:b/>
        </w:rPr>
        <w:t>(pavyzdžiui, asmuo y</w:t>
      </w:r>
      <w:r w:rsidR="00592363" w:rsidRPr="00592363">
        <w:rPr>
          <w:b/>
        </w:rPr>
        <w:t>ra savarankiškai dirbantis</w:t>
      </w:r>
      <w:r w:rsidR="006D6CD6" w:rsidRPr="00592363">
        <w:rPr>
          <w:b/>
        </w:rPr>
        <w:t xml:space="preserve">, kurio draudžiamosios </w:t>
      </w:r>
      <w:r w:rsidR="006D6CD6" w:rsidRPr="00592363">
        <w:rPr>
          <w:b/>
        </w:rPr>
        <w:lastRenderedPageBreak/>
        <w:t>pajamos (įmokų bazė) nustatomos deklaravus pajamas, gautas praėjusiais kalendoriniais metais; asmuo gauna su darbo santykiais susijusių pajamų ir jam nėra taikomi Lietuvos Respublikos socialinio draudimo teisės aktai),</w:t>
      </w:r>
      <w:r w:rsidR="00592363" w:rsidRPr="00592363">
        <w:rPr>
          <w:b/>
        </w:rPr>
        <w:t xml:space="preserve"> iki</w:t>
      </w:r>
      <w:r w:rsidR="00592363">
        <w:rPr>
          <w:b/>
        </w:rPr>
        <w:t xml:space="preserve"> kol draudžiamosios pajamos </w:t>
      </w:r>
      <w:r w:rsidR="006D6CD6">
        <w:rPr>
          <w:b/>
        </w:rPr>
        <w:t xml:space="preserve">bus nustatytos, preziumuojama, kad tokio asmens draudžiamosios </w:t>
      </w:r>
      <w:r w:rsidR="006D6CD6" w:rsidRPr="006D6CD6">
        <w:rPr>
          <w:b/>
        </w:rPr>
        <w:t>pajamos yra</w:t>
      </w:r>
      <w:r w:rsidR="006E4A80" w:rsidRPr="006D6CD6">
        <w:rPr>
          <w:b/>
          <w:bCs/>
        </w:rPr>
        <w:t xml:space="preserve"> </w:t>
      </w:r>
      <w:r w:rsidR="006D6CD6" w:rsidRPr="006D6CD6">
        <w:rPr>
          <w:b/>
          <w:bCs/>
        </w:rPr>
        <w:t xml:space="preserve">tos, kurias jis nurodė kreipdamasis dėl </w:t>
      </w:r>
      <w:r w:rsidR="006D6CD6">
        <w:rPr>
          <w:b/>
          <w:bCs/>
        </w:rPr>
        <w:t xml:space="preserve">šiame įstatyme numatytos socialinės </w:t>
      </w:r>
      <w:r w:rsidR="006D6CD6" w:rsidRPr="006D6CD6">
        <w:rPr>
          <w:b/>
          <w:bCs/>
        </w:rPr>
        <w:t>paramos.</w:t>
      </w:r>
      <w:r>
        <w:rPr>
          <w:b/>
          <w:bCs/>
        </w:rPr>
        <w:t>“</w:t>
      </w:r>
    </w:p>
    <w:bookmarkEnd w:id="0"/>
    <w:p w14:paraId="25E6FBCD" w14:textId="1FC08B84" w:rsidR="00F921D5" w:rsidRPr="00F921D5" w:rsidRDefault="00F921D5" w:rsidP="0071209D">
      <w:pPr>
        <w:spacing w:after="0" w:line="360" w:lineRule="auto"/>
        <w:ind w:firstLine="851"/>
        <w:jc w:val="both"/>
        <w:rPr>
          <w:bCs/>
        </w:rPr>
      </w:pPr>
      <w:r>
        <w:rPr>
          <w:bCs/>
        </w:rPr>
        <w:t>2</w:t>
      </w:r>
      <w:r w:rsidR="00552FA5">
        <w:rPr>
          <w:bCs/>
        </w:rPr>
        <w:t xml:space="preserve">. </w:t>
      </w:r>
      <w:r w:rsidR="00420CCA">
        <w:rPr>
          <w:bCs/>
        </w:rPr>
        <w:t>Pripažinti netekusiu galios</w:t>
      </w:r>
      <w:r w:rsidR="00552FA5">
        <w:rPr>
          <w:bCs/>
        </w:rPr>
        <w:t xml:space="preserve"> </w:t>
      </w:r>
      <w:r w:rsidRPr="00F921D5">
        <w:rPr>
          <w:bCs/>
        </w:rPr>
        <w:t>17 straipsnio 1 dalies 7</w:t>
      </w:r>
      <w:r w:rsidRPr="00F921D5">
        <w:rPr>
          <w:bCs/>
          <w:vertAlign w:val="superscript"/>
        </w:rPr>
        <w:t>1</w:t>
      </w:r>
      <w:r w:rsidRPr="00F921D5">
        <w:rPr>
          <w:bCs/>
        </w:rPr>
        <w:t xml:space="preserve"> punkt</w:t>
      </w:r>
      <w:r>
        <w:rPr>
          <w:bCs/>
        </w:rPr>
        <w:t>ą</w:t>
      </w:r>
      <w:r w:rsidRPr="00F921D5">
        <w:rPr>
          <w:bCs/>
        </w:rPr>
        <w:t>:</w:t>
      </w:r>
    </w:p>
    <w:p w14:paraId="7D129076" w14:textId="0CB80364" w:rsidR="00F921D5" w:rsidRPr="00F921D5" w:rsidRDefault="00DA2480" w:rsidP="0071209D">
      <w:pPr>
        <w:spacing w:after="0" w:line="360" w:lineRule="auto"/>
        <w:ind w:firstLine="851"/>
        <w:jc w:val="both"/>
        <w:rPr>
          <w:bCs/>
          <w:strike/>
        </w:rPr>
      </w:pPr>
      <w:r>
        <w:rPr>
          <w:bCs/>
          <w:strike/>
        </w:rPr>
        <w:t>„</w:t>
      </w:r>
      <w:r w:rsidR="00F921D5" w:rsidRPr="00F921D5">
        <w:rPr>
          <w:bCs/>
          <w:strike/>
        </w:rPr>
        <w:t>7</w:t>
      </w:r>
      <w:r w:rsidR="00F921D5" w:rsidRPr="00F921D5">
        <w:rPr>
          <w:bCs/>
          <w:strike/>
          <w:vertAlign w:val="superscript"/>
        </w:rPr>
        <w:t>1</w:t>
      </w:r>
      <w:r w:rsidR="00F921D5" w:rsidRPr="00F921D5">
        <w:rPr>
          <w:bCs/>
          <w:strike/>
        </w:rPr>
        <w:t>) 70 procentų individualios veiklos pajamų, gautų verčiantis veikla pagal individualios veiklos vykdymo pažymą (išskyrus asmenų iki 18 metų pajamas);</w:t>
      </w:r>
      <w:r>
        <w:rPr>
          <w:bCs/>
          <w:strike/>
        </w:rPr>
        <w:t>“</w:t>
      </w:r>
    </w:p>
    <w:p w14:paraId="068E9387" w14:textId="3A21A3BB" w:rsidR="006E4A80" w:rsidRDefault="006E4A80" w:rsidP="0071209D">
      <w:pPr>
        <w:spacing w:after="0" w:line="360" w:lineRule="auto"/>
        <w:ind w:firstLine="851"/>
        <w:jc w:val="both"/>
        <w:rPr>
          <w:bCs/>
          <w:strike/>
        </w:rPr>
      </w:pPr>
    </w:p>
    <w:p w14:paraId="12FC7A49" w14:textId="5254E3A1" w:rsidR="00FB47BB" w:rsidRDefault="000D1B4B" w:rsidP="0071209D">
      <w:pPr>
        <w:spacing w:after="0" w:line="360" w:lineRule="auto"/>
        <w:ind w:firstLine="851"/>
        <w:jc w:val="both"/>
        <w:rPr>
          <w:b/>
          <w:bCs/>
        </w:rPr>
      </w:pPr>
      <w:r>
        <w:rPr>
          <w:b/>
          <w:bCs/>
        </w:rPr>
        <w:t>3</w:t>
      </w:r>
      <w:r w:rsidR="00FB47BB" w:rsidRPr="00FB47BB">
        <w:rPr>
          <w:b/>
          <w:bCs/>
        </w:rPr>
        <w:t xml:space="preserve"> straipsnis.</w:t>
      </w:r>
      <w:r w:rsidR="009B01F1">
        <w:rPr>
          <w:b/>
          <w:bCs/>
        </w:rPr>
        <w:t xml:space="preserve"> Įstatymo </w:t>
      </w:r>
      <w:r w:rsidR="00AF1728">
        <w:rPr>
          <w:b/>
          <w:bCs/>
        </w:rPr>
        <w:t>taikymas</w:t>
      </w:r>
    </w:p>
    <w:p w14:paraId="1431E02A" w14:textId="4F0288AD" w:rsidR="00AF1728" w:rsidRPr="00E3390E" w:rsidRDefault="00AF1728" w:rsidP="0071209D">
      <w:pPr>
        <w:spacing w:after="0" w:line="360" w:lineRule="auto"/>
        <w:ind w:firstLine="851"/>
        <w:jc w:val="both"/>
        <w:rPr>
          <w:bCs/>
        </w:rPr>
      </w:pPr>
      <w:r w:rsidRPr="00E3390E">
        <w:rPr>
          <w:bCs/>
        </w:rPr>
        <w:t xml:space="preserve">Šio įstatymo nuostatos taikomos skiriant piniginę socialinę </w:t>
      </w:r>
      <w:r w:rsidR="00B40D12" w:rsidRPr="00E3390E">
        <w:rPr>
          <w:bCs/>
        </w:rPr>
        <w:t xml:space="preserve">paramą </w:t>
      </w:r>
      <w:r w:rsidRPr="00E3390E">
        <w:rPr>
          <w:bCs/>
        </w:rPr>
        <w:t>nuo 202</w:t>
      </w:r>
      <w:r w:rsidR="009024ED" w:rsidRPr="00E3390E">
        <w:rPr>
          <w:bCs/>
        </w:rPr>
        <w:t>2</w:t>
      </w:r>
      <w:r w:rsidRPr="00E3390E">
        <w:rPr>
          <w:bCs/>
        </w:rPr>
        <w:t xml:space="preserve"> m. </w:t>
      </w:r>
      <w:r w:rsidR="009024ED" w:rsidRPr="00E3390E">
        <w:rPr>
          <w:bCs/>
        </w:rPr>
        <w:t>sausio</w:t>
      </w:r>
      <w:r w:rsidRPr="00E3390E">
        <w:rPr>
          <w:bCs/>
        </w:rPr>
        <w:t xml:space="preserve"> 1 d. </w:t>
      </w:r>
    </w:p>
    <w:p w14:paraId="083F8B34" w14:textId="77777777" w:rsidR="00EE1B39" w:rsidRDefault="00EE1B39" w:rsidP="00A1443A">
      <w:pPr>
        <w:spacing w:after="0" w:line="240" w:lineRule="auto"/>
        <w:jc w:val="both"/>
        <w:rPr>
          <w:rFonts w:eastAsia="Times New Roman"/>
          <w:i/>
        </w:rPr>
      </w:pPr>
    </w:p>
    <w:p w14:paraId="083F8B35" w14:textId="77777777" w:rsidR="00E554CA" w:rsidRPr="00CC51B1" w:rsidRDefault="00E554CA" w:rsidP="00692473">
      <w:pPr>
        <w:spacing w:after="0" w:line="240" w:lineRule="auto"/>
        <w:ind w:firstLine="851"/>
        <w:jc w:val="both"/>
        <w:rPr>
          <w:rFonts w:eastAsia="Times New Roman"/>
          <w:i/>
        </w:rPr>
      </w:pPr>
      <w:r w:rsidRPr="00CC51B1">
        <w:rPr>
          <w:rFonts w:eastAsia="Times New Roman"/>
          <w:i/>
        </w:rPr>
        <w:t>Skelbiu šį Lietuvos Respublikos Seimo priimtą įstatymą.</w:t>
      </w:r>
    </w:p>
    <w:p w14:paraId="083F8B36" w14:textId="77777777" w:rsidR="00E554CA" w:rsidRDefault="00E554CA" w:rsidP="00944C12">
      <w:pPr>
        <w:spacing w:after="0" w:line="240" w:lineRule="auto"/>
        <w:jc w:val="both"/>
        <w:rPr>
          <w:rFonts w:eastAsia="Times New Roman"/>
        </w:rPr>
      </w:pPr>
    </w:p>
    <w:p w14:paraId="083F8B37" w14:textId="77777777" w:rsidR="00EE1B39" w:rsidRDefault="00EE1B39" w:rsidP="00944C12">
      <w:pPr>
        <w:spacing w:after="0" w:line="240" w:lineRule="auto"/>
        <w:jc w:val="both"/>
        <w:rPr>
          <w:rFonts w:eastAsia="Times New Roman"/>
        </w:rPr>
      </w:pPr>
    </w:p>
    <w:p w14:paraId="083F8B38" w14:textId="77777777" w:rsidR="00A7620C" w:rsidRPr="00CC51B1" w:rsidRDefault="00A7620C">
      <w:pPr>
        <w:spacing w:after="0" w:line="240" w:lineRule="auto"/>
        <w:jc w:val="both"/>
        <w:rPr>
          <w:rFonts w:eastAsia="Times New Roman"/>
        </w:rPr>
      </w:pPr>
    </w:p>
    <w:p w14:paraId="083F8B39" w14:textId="1DA8EDA2" w:rsidR="00E554CA" w:rsidRDefault="00E554CA" w:rsidP="00C62E9C">
      <w:pPr>
        <w:spacing w:after="0" w:line="240" w:lineRule="auto"/>
        <w:jc w:val="both"/>
        <w:rPr>
          <w:rFonts w:eastAsia="Times New Roman"/>
        </w:rPr>
      </w:pPr>
      <w:r w:rsidRPr="00CC51B1">
        <w:rPr>
          <w:rFonts w:eastAsia="Times New Roman"/>
        </w:rPr>
        <w:t>Respublikos Prezidentas</w:t>
      </w:r>
    </w:p>
    <w:p w14:paraId="083F8B3A" w14:textId="0FADAD65" w:rsidR="004B1D98" w:rsidRDefault="004B1D98" w:rsidP="00C62E9C">
      <w:pPr>
        <w:spacing w:after="0" w:line="240" w:lineRule="auto"/>
        <w:jc w:val="both"/>
        <w:rPr>
          <w:rFonts w:eastAsia="Times New Roman"/>
        </w:rPr>
      </w:pPr>
    </w:p>
    <w:p w14:paraId="14E1C786" w14:textId="6B98F44D" w:rsidR="00263973" w:rsidRDefault="00263973" w:rsidP="00C62E9C">
      <w:pPr>
        <w:spacing w:after="0" w:line="240" w:lineRule="auto"/>
        <w:jc w:val="both"/>
        <w:rPr>
          <w:rFonts w:eastAsia="Times New Roman"/>
        </w:rPr>
      </w:pPr>
    </w:p>
    <w:p w14:paraId="64514B33" w14:textId="77777777" w:rsidR="00E3471A" w:rsidRDefault="00E3471A" w:rsidP="00C62E9C">
      <w:pPr>
        <w:spacing w:after="0" w:line="240" w:lineRule="auto"/>
        <w:jc w:val="both"/>
        <w:rPr>
          <w:rFonts w:eastAsia="Times New Roman"/>
        </w:rPr>
      </w:pPr>
    </w:p>
    <w:p w14:paraId="5EBB328D" w14:textId="77777777" w:rsidR="00E3471A" w:rsidRDefault="00E3471A" w:rsidP="00E3471A">
      <w:pPr>
        <w:spacing w:after="0" w:line="240" w:lineRule="auto"/>
      </w:pPr>
      <w:r>
        <w:t>Teikia</w:t>
      </w:r>
    </w:p>
    <w:p w14:paraId="4E8F237D" w14:textId="77777777" w:rsidR="00E3471A" w:rsidRDefault="00E3471A" w:rsidP="00E3471A">
      <w:pPr>
        <w:spacing w:after="0" w:line="240" w:lineRule="auto"/>
      </w:pPr>
      <w:r>
        <w:t>Seimo nariai</w:t>
      </w:r>
      <w:r>
        <w:tab/>
      </w:r>
      <w:r>
        <w:tab/>
      </w:r>
      <w:r>
        <w:tab/>
      </w:r>
      <w:r>
        <w:tab/>
      </w:r>
      <w:r>
        <w:tab/>
      </w:r>
      <w:r>
        <w:tab/>
      </w:r>
      <w:r>
        <w:tab/>
      </w:r>
      <w:r>
        <w:tab/>
      </w:r>
      <w:r>
        <w:tab/>
      </w:r>
    </w:p>
    <w:p w14:paraId="60D34319" w14:textId="77777777" w:rsidR="00263973" w:rsidRDefault="00263973" w:rsidP="00C62E9C">
      <w:pPr>
        <w:spacing w:after="0" w:line="240" w:lineRule="auto"/>
        <w:jc w:val="both"/>
        <w:rPr>
          <w:rFonts w:eastAsia="Times New Roman"/>
        </w:rPr>
      </w:pPr>
    </w:p>
    <w:sectPr w:rsidR="00263973"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C61B" w14:textId="77777777" w:rsidR="00CC1ED2" w:rsidRDefault="00CC1ED2" w:rsidP="009D581E">
      <w:pPr>
        <w:spacing w:after="0" w:line="240" w:lineRule="auto"/>
      </w:pPr>
      <w:r>
        <w:separator/>
      </w:r>
    </w:p>
  </w:endnote>
  <w:endnote w:type="continuationSeparator" w:id="0">
    <w:p w14:paraId="1C760F7C" w14:textId="77777777" w:rsidR="00CC1ED2" w:rsidRDefault="00CC1ED2"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EF07B" w14:textId="77777777" w:rsidR="00CC1ED2" w:rsidRDefault="00CC1ED2" w:rsidP="009D581E">
      <w:pPr>
        <w:spacing w:after="0" w:line="240" w:lineRule="auto"/>
      </w:pPr>
      <w:r>
        <w:separator/>
      </w:r>
    </w:p>
  </w:footnote>
  <w:footnote w:type="continuationSeparator" w:id="0">
    <w:p w14:paraId="4A75FBA7" w14:textId="77777777" w:rsidR="00CC1ED2" w:rsidRDefault="00CC1ED2" w:rsidP="009D5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CA"/>
    <w:rsid w:val="00002CBB"/>
    <w:rsid w:val="0001169E"/>
    <w:rsid w:val="000316F8"/>
    <w:rsid w:val="00044C4A"/>
    <w:rsid w:val="000519BC"/>
    <w:rsid w:val="000623EC"/>
    <w:rsid w:val="0007061E"/>
    <w:rsid w:val="000815E5"/>
    <w:rsid w:val="00090324"/>
    <w:rsid w:val="000A320B"/>
    <w:rsid w:val="000B4F1C"/>
    <w:rsid w:val="000D1B4B"/>
    <w:rsid w:val="000D34A0"/>
    <w:rsid w:val="000D6A96"/>
    <w:rsid w:val="000E4D7F"/>
    <w:rsid w:val="000E5599"/>
    <w:rsid w:val="000E7583"/>
    <w:rsid w:val="00100BF9"/>
    <w:rsid w:val="001010FD"/>
    <w:rsid w:val="001073F2"/>
    <w:rsid w:val="00110562"/>
    <w:rsid w:val="001143AA"/>
    <w:rsid w:val="00120490"/>
    <w:rsid w:val="001336F7"/>
    <w:rsid w:val="001506D4"/>
    <w:rsid w:val="00151181"/>
    <w:rsid w:val="00154619"/>
    <w:rsid w:val="0015503F"/>
    <w:rsid w:val="00160238"/>
    <w:rsid w:val="00193590"/>
    <w:rsid w:val="00193DCC"/>
    <w:rsid w:val="001A1B98"/>
    <w:rsid w:val="001A1DC6"/>
    <w:rsid w:val="001C6DA4"/>
    <w:rsid w:val="001D01B2"/>
    <w:rsid w:val="001D2649"/>
    <w:rsid w:val="001D3150"/>
    <w:rsid w:val="001D5B1C"/>
    <w:rsid w:val="001F67EE"/>
    <w:rsid w:val="00222416"/>
    <w:rsid w:val="00223AA8"/>
    <w:rsid w:val="00227BF7"/>
    <w:rsid w:val="0023022B"/>
    <w:rsid w:val="00240429"/>
    <w:rsid w:val="00244D35"/>
    <w:rsid w:val="002553E8"/>
    <w:rsid w:val="00256957"/>
    <w:rsid w:val="002612D7"/>
    <w:rsid w:val="00263973"/>
    <w:rsid w:val="002735B2"/>
    <w:rsid w:val="00274E58"/>
    <w:rsid w:val="00277928"/>
    <w:rsid w:val="002841DF"/>
    <w:rsid w:val="00285EE8"/>
    <w:rsid w:val="00290F13"/>
    <w:rsid w:val="002978B6"/>
    <w:rsid w:val="002A2E2C"/>
    <w:rsid w:val="002C1CB3"/>
    <w:rsid w:val="002C1EBB"/>
    <w:rsid w:val="002C2371"/>
    <w:rsid w:val="002C70F0"/>
    <w:rsid w:val="002F69EF"/>
    <w:rsid w:val="003262C5"/>
    <w:rsid w:val="00326B65"/>
    <w:rsid w:val="0033183E"/>
    <w:rsid w:val="003355F5"/>
    <w:rsid w:val="00337409"/>
    <w:rsid w:val="00350C56"/>
    <w:rsid w:val="00361BFC"/>
    <w:rsid w:val="003633E1"/>
    <w:rsid w:val="00363474"/>
    <w:rsid w:val="00372B4E"/>
    <w:rsid w:val="003769BE"/>
    <w:rsid w:val="0038689C"/>
    <w:rsid w:val="003A771D"/>
    <w:rsid w:val="003B7657"/>
    <w:rsid w:val="003C55FD"/>
    <w:rsid w:val="003C7B12"/>
    <w:rsid w:val="003D1E8B"/>
    <w:rsid w:val="003E7B72"/>
    <w:rsid w:val="003F265D"/>
    <w:rsid w:val="004027E2"/>
    <w:rsid w:val="00406AE4"/>
    <w:rsid w:val="0041365F"/>
    <w:rsid w:val="00420CCA"/>
    <w:rsid w:val="0043006D"/>
    <w:rsid w:val="00434A81"/>
    <w:rsid w:val="0044044B"/>
    <w:rsid w:val="00440652"/>
    <w:rsid w:val="0044156A"/>
    <w:rsid w:val="00450027"/>
    <w:rsid w:val="00451F42"/>
    <w:rsid w:val="00461D48"/>
    <w:rsid w:val="0048274C"/>
    <w:rsid w:val="004942F6"/>
    <w:rsid w:val="004A39E9"/>
    <w:rsid w:val="004B1D98"/>
    <w:rsid w:val="004B620E"/>
    <w:rsid w:val="004D3A3E"/>
    <w:rsid w:val="004E6EC0"/>
    <w:rsid w:val="00500696"/>
    <w:rsid w:val="00552FA5"/>
    <w:rsid w:val="00554567"/>
    <w:rsid w:val="00565527"/>
    <w:rsid w:val="00592363"/>
    <w:rsid w:val="005A51E0"/>
    <w:rsid w:val="005A734D"/>
    <w:rsid w:val="005B0BDC"/>
    <w:rsid w:val="005C4E7F"/>
    <w:rsid w:val="005D0E13"/>
    <w:rsid w:val="005D5626"/>
    <w:rsid w:val="005F0A75"/>
    <w:rsid w:val="005F3F79"/>
    <w:rsid w:val="005F64FD"/>
    <w:rsid w:val="0062466A"/>
    <w:rsid w:val="00624826"/>
    <w:rsid w:val="00640382"/>
    <w:rsid w:val="00652261"/>
    <w:rsid w:val="00661A53"/>
    <w:rsid w:val="00671B4E"/>
    <w:rsid w:val="00672F03"/>
    <w:rsid w:val="00684635"/>
    <w:rsid w:val="00690D94"/>
    <w:rsid w:val="00692473"/>
    <w:rsid w:val="00697485"/>
    <w:rsid w:val="006A72EB"/>
    <w:rsid w:val="006C0A97"/>
    <w:rsid w:val="006C6224"/>
    <w:rsid w:val="006C7156"/>
    <w:rsid w:val="006D6CD6"/>
    <w:rsid w:val="006E06CE"/>
    <w:rsid w:val="006E3D02"/>
    <w:rsid w:val="006E4A80"/>
    <w:rsid w:val="0070284C"/>
    <w:rsid w:val="0071209D"/>
    <w:rsid w:val="00724A7A"/>
    <w:rsid w:val="007269ED"/>
    <w:rsid w:val="00736AE4"/>
    <w:rsid w:val="00736CCA"/>
    <w:rsid w:val="0075474A"/>
    <w:rsid w:val="00760FA0"/>
    <w:rsid w:val="00762273"/>
    <w:rsid w:val="00773765"/>
    <w:rsid w:val="007A097A"/>
    <w:rsid w:val="007A46A1"/>
    <w:rsid w:val="007D4482"/>
    <w:rsid w:val="00800C30"/>
    <w:rsid w:val="008526B1"/>
    <w:rsid w:val="00863A13"/>
    <w:rsid w:val="00875922"/>
    <w:rsid w:val="00881E71"/>
    <w:rsid w:val="00890D05"/>
    <w:rsid w:val="00893021"/>
    <w:rsid w:val="008C36E2"/>
    <w:rsid w:val="008D65C9"/>
    <w:rsid w:val="008F7FEC"/>
    <w:rsid w:val="009024ED"/>
    <w:rsid w:val="00905AA4"/>
    <w:rsid w:val="00914361"/>
    <w:rsid w:val="00915952"/>
    <w:rsid w:val="009262B0"/>
    <w:rsid w:val="00927FE1"/>
    <w:rsid w:val="00944054"/>
    <w:rsid w:val="00944C12"/>
    <w:rsid w:val="00945537"/>
    <w:rsid w:val="00951432"/>
    <w:rsid w:val="009515E9"/>
    <w:rsid w:val="00963660"/>
    <w:rsid w:val="009706FF"/>
    <w:rsid w:val="0099066B"/>
    <w:rsid w:val="00993ACD"/>
    <w:rsid w:val="009B01F1"/>
    <w:rsid w:val="009C4AC6"/>
    <w:rsid w:val="009D581E"/>
    <w:rsid w:val="00A01258"/>
    <w:rsid w:val="00A05E5B"/>
    <w:rsid w:val="00A1443A"/>
    <w:rsid w:val="00A23940"/>
    <w:rsid w:val="00A34F57"/>
    <w:rsid w:val="00A41A03"/>
    <w:rsid w:val="00A44285"/>
    <w:rsid w:val="00A46191"/>
    <w:rsid w:val="00A60564"/>
    <w:rsid w:val="00A655FD"/>
    <w:rsid w:val="00A676B1"/>
    <w:rsid w:val="00A70F31"/>
    <w:rsid w:val="00A727A3"/>
    <w:rsid w:val="00A7620C"/>
    <w:rsid w:val="00A7740A"/>
    <w:rsid w:val="00AA2288"/>
    <w:rsid w:val="00AA2CE2"/>
    <w:rsid w:val="00AC44EE"/>
    <w:rsid w:val="00AD355F"/>
    <w:rsid w:val="00AD7DA9"/>
    <w:rsid w:val="00AE249E"/>
    <w:rsid w:val="00AE7CCC"/>
    <w:rsid w:val="00AF109E"/>
    <w:rsid w:val="00AF1728"/>
    <w:rsid w:val="00AF278E"/>
    <w:rsid w:val="00B1327F"/>
    <w:rsid w:val="00B15ED8"/>
    <w:rsid w:val="00B215E9"/>
    <w:rsid w:val="00B238F3"/>
    <w:rsid w:val="00B24E18"/>
    <w:rsid w:val="00B40D12"/>
    <w:rsid w:val="00B56728"/>
    <w:rsid w:val="00B624C2"/>
    <w:rsid w:val="00B66FFA"/>
    <w:rsid w:val="00B932C2"/>
    <w:rsid w:val="00B938A0"/>
    <w:rsid w:val="00BB5731"/>
    <w:rsid w:val="00BB72FC"/>
    <w:rsid w:val="00BE5857"/>
    <w:rsid w:val="00BF6D2F"/>
    <w:rsid w:val="00BF794F"/>
    <w:rsid w:val="00C03B7E"/>
    <w:rsid w:val="00C13279"/>
    <w:rsid w:val="00C22F59"/>
    <w:rsid w:val="00C25B46"/>
    <w:rsid w:val="00C54E0C"/>
    <w:rsid w:val="00C551CB"/>
    <w:rsid w:val="00C62E9C"/>
    <w:rsid w:val="00C647E5"/>
    <w:rsid w:val="00C650CA"/>
    <w:rsid w:val="00C65E60"/>
    <w:rsid w:val="00C71C74"/>
    <w:rsid w:val="00CB346C"/>
    <w:rsid w:val="00CC1ED2"/>
    <w:rsid w:val="00CC3F71"/>
    <w:rsid w:val="00CC51B1"/>
    <w:rsid w:val="00CE03A5"/>
    <w:rsid w:val="00CE494A"/>
    <w:rsid w:val="00CE7D43"/>
    <w:rsid w:val="00CF419E"/>
    <w:rsid w:val="00D0336B"/>
    <w:rsid w:val="00D1557B"/>
    <w:rsid w:val="00D3165A"/>
    <w:rsid w:val="00D31FEC"/>
    <w:rsid w:val="00D32672"/>
    <w:rsid w:val="00D46C60"/>
    <w:rsid w:val="00D52222"/>
    <w:rsid w:val="00D55D1B"/>
    <w:rsid w:val="00D5756C"/>
    <w:rsid w:val="00D57AEB"/>
    <w:rsid w:val="00D62E84"/>
    <w:rsid w:val="00D85894"/>
    <w:rsid w:val="00D92F24"/>
    <w:rsid w:val="00DA2480"/>
    <w:rsid w:val="00E3390E"/>
    <w:rsid w:val="00E3471A"/>
    <w:rsid w:val="00E4086C"/>
    <w:rsid w:val="00E554CA"/>
    <w:rsid w:val="00E6421F"/>
    <w:rsid w:val="00E75D53"/>
    <w:rsid w:val="00E85EED"/>
    <w:rsid w:val="00EC660F"/>
    <w:rsid w:val="00EE1B39"/>
    <w:rsid w:val="00EF1885"/>
    <w:rsid w:val="00F05FA6"/>
    <w:rsid w:val="00F14442"/>
    <w:rsid w:val="00F215DE"/>
    <w:rsid w:val="00F26117"/>
    <w:rsid w:val="00F271D8"/>
    <w:rsid w:val="00F57508"/>
    <w:rsid w:val="00F77C58"/>
    <w:rsid w:val="00F826D8"/>
    <w:rsid w:val="00F83017"/>
    <w:rsid w:val="00F83D14"/>
    <w:rsid w:val="00F84AE8"/>
    <w:rsid w:val="00F921D5"/>
    <w:rsid w:val="00F92366"/>
    <w:rsid w:val="00F92699"/>
    <w:rsid w:val="00F965EC"/>
    <w:rsid w:val="00F97B8F"/>
    <w:rsid w:val="00FA3132"/>
    <w:rsid w:val="00FA6539"/>
    <w:rsid w:val="00FB47BB"/>
    <w:rsid w:val="00FB5AF7"/>
    <w:rsid w:val="00FC6EF7"/>
    <w:rsid w:val="00FE1EF5"/>
    <w:rsid w:val="00FE402F"/>
    <w:rsid w:val="00FF5A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8B20"/>
  <w15:docId w15:val="{F57E9A2E-4475-425C-8AA3-F81D7838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278E"/>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2001">
      <w:bodyDiv w:val="1"/>
      <w:marLeft w:val="0"/>
      <w:marRight w:val="0"/>
      <w:marTop w:val="0"/>
      <w:marBottom w:val="0"/>
      <w:divBdr>
        <w:top w:val="none" w:sz="0" w:space="0" w:color="auto"/>
        <w:left w:val="none" w:sz="0" w:space="0" w:color="auto"/>
        <w:bottom w:val="none" w:sz="0" w:space="0" w:color="auto"/>
        <w:right w:val="none" w:sz="0" w:space="0" w:color="auto"/>
      </w:divBdr>
    </w:div>
    <w:div w:id="489561279">
      <w:bodyDiv w:val="1"/>
      <w:marLeft w:val="0"/>
      <w:marRight w:val="0"/>
      <w:marTop w:val="0"/>
      <w:marBottom w:val="0"/>
      <w:divBdr>
        <w:top w:val="none" w:sz="0" w:space="0" w:color="auto"/>
        <w:left w:val="none" w:sz="0" w:space="0" w:color="auto"/>
        <w:bottom w:val="none" w:sz="0" w:space="0" w:color="auto"/>
        <w:right w:val="none" w:sz="0" w:space="0" w:color="auto"/>
      </w:divBdr>
    </w:div>
    <w:div w:id="789401220">
      <w:bodyDiv w:val="1"/>
      <w:marLeft w:val="0"/>
      <w:marRight w:val="0"/>
      <w:marTop w:val="0"/>
      <w:marBottom w:val="0"/>
      <w:divBdr>
        <w:top w:val="none" w:sz="0" w:space="0" w:color="auto"/>
        <w:left w:val="none" w:sz="0" w:space="0" w:color="auto"/>
        <w:bottom w:val="none" w:sz="0" w:space="0" w:color="auto"/>
        <w:right w:val="none" w:sz="0" w:space="0" w:color="auto"/>
      </w:divBdr>
    </w:div>
    <w:div w:id="795830785">
      <w:bodyDiv w:val="1"/>
      <w:marLeft w:val="0"/>
      <w:marRight w:val="0"/>
      <w:marTop w:val="0"/>
      <w:marBottom w:val="0"/>
      <w:divBdr>
        <w:top w:val="none" w:sz="0" w:space="0" w:color="auto"/>
        <w:left w:val="none" w:sz="0" w:space="0" w:color="auto"/>
        <w:bottom w:val="none" w:sz="0" w:space="0" w:color="auto"/>
        <w:right w:val="none" w:sz="0" w:space="0" w:color="auto"/>
      </w:divBdr>
    </w:div>
    <w:div w:id="807013206">
      <w:bodyDiv w:val="1"/>
      <w:marLeft w:val="0"/>
      <w:marRight w:val="0"/>
      <w:marTop w:val="0"/>
      <w:marBottom w:val="0"/>
      <w:divBdr>
        <w:top w:val="none" w:sz="0" w:space="0" w:color="auto"/>
        <w:left w:val="none" w:sz="0" w:space="0" w:color="auto"/>
        <w:bottom w:val="none" w:sz="0" w:space="0" w:color="auto"/>
        <w:right w:val="none" w:sz="0" w:space="0" w:color="auto"/>
      </w:divBdr>
      <w:divsChild>
        <w:div w:id="858785003">
          <w:marLeft w:val="0"/>
          <w:marRight w:val="0"/>
          <w:marTop w:val="0"/>
          <w:marBottom w:val="0"/>
          <w:divBdr>
            <w:top w:val="none" w:sz="0" w:space="0" w:color="auto"/>
            <w:left w:val="none" w:sz="0" w:space="0" w:color="auto"/>
            <w:bottom w:val="none" w:sz="0" w:space="0" w:color="auto"/>
            <w:right w:val="none" w:sz="0" w:space="0" w:color="auto"/>
          </w:divBdr>
        </w:div>
        <w:div w:id="975909774">
          <w:marLeft w:val="0"/>
          <w:marRight w:val="0"/>
          <w:marTop w:val="0"/>
          <w:marBottom w:val="0"/>
          <w:divBdr>
            <w:top w:val="none" w:sz="0" w:space="0" w:color="auto"/>
            <w:left w:val="none" w:sz="0" w:space="0" w:color="auto"/>
            <w:bottom w:val="none" w:sz="0" w:space="0" w:color="auto"/>
            <w:right w:val="none" w:sz="0" w:space="0" w:color="auto"/>
          </w:divBdr>
        </w:div>
        <w:div w:id="2010716987">
          <w:marLeft w:val="0"/>
          <w:marRight w:val="0"/>
          <w:marTop w:val="0"/>
          <w:marBottom w:val="0"/>
          <w:divBdr>
            <w:top w:val="none" w:sz="0" w:space="0" w:color="auto"/>
            <w:left w:val="none" w:sz="0" w:space="0" w:color="auto"/>
            <w:bottom w:val="none" w:sz="0" w:space="0" w:color="auto"/>
            <w:right w:val="none" w:sz="0" w:space="0" w:color="auto"/>
          </w:divBdr>
        </w:div>
      </w:divsChild>
    </w:div>
    <w:div w:id="1214659025">
      <w:bodyDiv w:val="1"/>
      <w:marLeft w:val="0"/>
      <w:marRight w:val="0"/>
      <w:marTop w:val="0"/>
      <w:marBottom w:val="0"/>
      <w:divBdr>
        <w:top w:val="none" w:sz="0" w:space="0" w:color="auto"/>
        <w:left w:val="none" w:sz="0" w:space="0" w:color="auto"/>
        <w:bottom w:val="none" w:sz="0" w:space="0" w:color="auto"/>
        <w:right w:val="none" w:sz="0" w:space="0" w:color="auto"/>
      </w:divBdr>
    </w:div>
    <w:div w:id="1335767054">
      <w:bodyDiv w:val="1"/>
      <w:marLeft w:val="0"/>
      <w:marRight w:val="0"/>
      <w:marTop w:val="0"/>
      <w:marBottom w:val="0"/>
      <w:divBdr>
        <w:top w:val="none" w:sz="0" w:space="0" w:color="auto"/>
        <w:left w:val="none" w:sz="0" w:space="0" w:color="auto"/>
        <w:bottom w:val="none" w:sz="0" w:space="0" w:color="auto"/>
        <w:right w:val="none" w:sz="0" w:space="0" w:color="auto"/>
      </w:divBdr>
    </w:div>
    <w:div w:id="1625968069">
      <w:bodyDiv w:val="1"/>
      <w:marLeft w:val="0"/>
      <w:marRight w:val="0"/>
      <w:marTop w:val="0"/>
      <w:marBottom w:val="0"/>
      <w:divBdr>
        <w:top w:val="none" w:sz="0" w:space="0" w:color="auto"/>
        <w:left w:val="none" w:sz="0" w:space="0" w:color="auto"/>
        <w:bottom w:val="none" w:sz="0" w:space="0" w:color="auto"/>
        <w:right w:val="none" w:sz="0" w:space="0" w:color="auto"/>
      </w:divBdr>
    </w:div>
    <w:div w:id="1686251489">
      <w:bodyDiv w:val="1"/>
      <w:marLeft w:val="0"/>
      <w:marRight w:val="0"/>
      <w:marTop w:val="0"/>
      <w:marBottom w:val="0"/>
      <w:divBdr>
        <w:top w:val="none" w:sz="0" w:space="0" w:color="auto"/>
        <w:left w:val="none" w:sz="0" w:space="0" w:color="auto"/>
        <w:bottom w:val="none" w:sz="0" w:space="0" w:color="auto"/>
        <w:right w:val="none" w:sz="0" w:space="0" w:color="auto"/>
      </w:divBdr>
    </w:div>
    <w:div w:id="1887716041">
      <w:bodyDiv w:val="1"/>
      <w:marLeft w:val="0"/>
      <w:marRight w:val="0"/>
      <w:marTop w:val="0"/>
      <w:marBottom w:val="0"/>
      <w:divBdr>
        <w:top w:val="none" w:sz="0" w:space="0" w:color="auto"/>
        <w:left w:val="none" w:sz="0" w:space="0" w:color="auto"/>
        <w:bottom w:val="none" w:sz="0" w:space="0" w:color="auto"/>
        <w:right w:val="none" w:sz="0" w:space="0" w:color="auto"/>
      </w:divBdr>
    </w:div>
    <w:div w:id="1895047745">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 w:id="2028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Z6YWEJNPDQQR-1726270900-3078</_dlc_DocId>
    <_dlc_DocIdUrl xmlns="28130d43-1b56-4a10-ad88-2cd38123f4c1">
      <Url>https://intranetas.lrs.lt/14/_layouts/15/DocIdRedir.aspx?ID=Z6YWEJNPDQQR-1726270900-3078</Url>
      <Description>Z6YWEJNPDQQR-1726270900-3078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40433-FCD6-48F8-AB3A-460E4C21741C}">
  <ds:schemaRefs>
    <ds:schemaRef ds:uri="http://schemas.microsoft.com/sharepoint/events"/>
  </ds:schemaRefs>
</ds:datastoreItem>
</file>

<file path=customXml/itemProps2.xml><?xml version="1.0" encoding="utf-8"?>
<ds:datastoreItem xmlns:ds="http://schemas.openxmlformats.org/officeDocument/2006/customXml" ds:itemID="{5B96671F-6D1C-4ED6-AD0C-52F7EAF6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98B2D-84F0-4BC7-98A9-85DC669E82AB}">
  <ds:schemaRefs>
    <ds:schemaRef ds:uri="http://schemas.openxmlformats.org/officeDocument/2006/bibliography"/>
  </ds:schemaRefs>
</ds:datastoreItem>
</file>

<file path=customXml/itemProps4.xml><?xml version="1.0" encoding="utf-8"?>
<ds:datastoreItem xmlns:ds="http://schemas.openxmlformats.org/officeDocument/2006/customXml" ds:itemID="{A4EF3CBC-5B07-466E-B6E7-A97313F6C2F8}">
  <ds:schemaRefs>
    <ds:schemaRef ds:uri="http://schemas.microsoft.com/office/2006/metadata/properties"/>
    <ds:schemaRef ds:uri="http://schemas.microsoft.com/office/infopath/2007/PartnerControls"/>
    <ds:schemaRef ds:uri="28130d43-1b56-4a10-ad88-2cd38123f4c1"/>
  </ds:schemaRefs>
</ds:datastoreItem>
</file>

<file path=customXml/itemProps5.xml><?xml version="1.0" encoding="utf-8"?>
<ds:datastoreItem xmlns:ds="http://schemas.openxmlformats.org/officeDocument/2006/customXml" ds:itemID="{FE30B73F-3646-4280-92FD-1E707D40C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2142</Words>
  <Characters>1222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3358</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vilmav</dc:creator>
  <cp:lastModifiedBy>Jurgita Bžozovska</cp:lastModifiedBy>
  <cp:revision>2</cp:revision>
  <cp:lastPrinted>2020-10-14T10:36:00Z</cp:lastPrinted>
  <dcterms:created xsi:type="dcterms:W3CDTF">2022-02-07T06:09:00Z</dcterms:created>
  <dcterms:modified xsi:type="dcterms:W3CDTF">2022-02-07T06:09:00Z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0x01010049D0FA761F0DBA42BFA6174882C4AF17</vt:lpwstr>
  </property>
  <property fmtid="{D5CDD505-2E9C-101B-9397-08002B2CF9AE}" pid="4" name="_dlc_DocIdItemGuid">
    <vt:lpwstr>85b7ed9f-86dd-4364-b700-8a0ce93ca41b</vt:lpwstr>
  </property>
</Properties>
</file>