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0C55" w14:textId="77777777" w:rsidR="00D0125E" w:rsidRPr="00575F80" w:rsidRDefault="00CF6DDD" w:rsidP="00D0125E">
      <w:pPr>
        <w:keepLines/>
        <w:jc w:val="center"/>
        <w:rPr>
          <w:b/>
          <w:bCs/>
          <w:caps/>
          <w:szCs w:val="24"/>
        </w:rPr>
      </w:pPr>
      <w:r w:rsidRPr="00575F80">
        <w:rPr>
          <w:b/>
          <w:bCs/>
          <w:szCs w:val="24"/>
        </w:rPr>
        <w:t>2019 M. KOVO 12 D. KOMISIJOS DELEGUOTOJO REGLAMENTO (ES) 2019/945 DĖL BEPILOČIŲ ORLAIVIŲ SISTEMŲ IR TREČIŲJŲ VALSTYBIŲ BEPILOČIŲ ORLAIVIŲ SISTEMŲ NAUDOTOJŲ IR NACIONALINIŲ</w:t>
      </w:r>
      <w:r w:rsidRPr="00575F80">
        <w:rPr>
          <w:b/>
          <w:szCs w:val="24"/>
        </w:rPr>
        <w:t xml:space="preserve"> </w:t>
      </w:r>
      <w:r w:rsidR="00282AF4" w:rsidRPr="00575F80">
        <w:rPr>
          <w:b/>
          <w:szCs w:val="24"/>
        </w:rPr>
        <w:t>TEISĖS AKTŲ ATITIKTIES LENTELĖ</w:t>
      </w:r>
    </w:p>
    <w:p w14:paraId="428F13E9" w14:textId="77777777" w:rsidR="00080545" w:rsidRPr="00575F80" w:rsidRDefault="00D0125E" w:rsidP="002C23D7">
      <w:pPr>
        <w:widowControl/>
        <w:suppressAutoHyphens w:val="0"/>
        <w:jc w:val="center"/>
        <w:rPr>
          <w:b/>
          <w:szCs w:val="24"/>
        </w:rPr>
      </w:pPr>
      <w:r w:rsidRPr="00575F80">
        <w:rPr>
          <w:b/>
          <w:szCs w:val="24"/>
        </w:rPr>
        <w:t xml:space="preserve"> </w:t>
      </w:r>
    </w:p>
    <w:tbl>
      <w:tblPr>
        <w:tblW w:w="156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6945"/>
        <w:gridCol w:w="2092"/>
      </w:tblGrid>
      <w:tr w:rsidR="00575F80" w:rsidRPr="00575F80" w14:paraId="6C9DCFC9" w14:textId="77777777" w:rsidTr="00E27E5F">
        <w:tc>
          <w:tcPr>
            <w:tcW w:w="6636" w:type="dxa"/>
            <w:vAlign w:val="center"/>
          </w:tcPr>
          <w:p w14:paraId="05FBB561" w14:textId="77777777" w:rsidR="00080545" w:rsidRPr="00575F80" w:rsidRDefault="00CF6DDD" w:rsidP="00AC51CA">
            <w:pPr>
              <w:jc w:val="both"/>
              <w:rPr>
                <w:b/>
                <w:bCs/>
                <w:szCs w:val="24"/>
              </w:rPr>
            </w:pPr>
            <w:r w:rsidRPr="00575F80">
              <w:rPr>
                <w:b/>
                <w:bCs/>
                <w:szCs w:val="24"/>
              </w:rPr>
              <w:t>2019 m. kovo 12 d. Komisijos deleguotasis reglamentas (ES) 2019/945 dėl bepiločių orlaivių sistemų ir trečiųjų valstybių bepiločių orlaivių sistemų naudotojų</w:t>
            </w:r>
          </w:p>
        </w:tc>
        <w:tc>
          <w:tcPr>
            <w:tcW w:w="6945" w:type="dxa"/>
            <w:vAlign w:val="center"/>
          </w:tcPr>
          <w:p w14:paraId="079D73D6" w14:textId="4F2150E8" w:rsidR="002C23D7" w:rsidRPr="00BB7DE9" w:rsidRDefault="006F48C9" w:rsidP="00BB7DE9">
            <w:pPr>
              <w:pStyle w:val="istatymas"/>
              <w:numPr>
                <w:ilvl w:val="0"/>
                <w:numId w:val="2"/>
              </w:numPr>
              <w:tabs>
                <w:tab w:val="left" w:pos="344"/>
              </w:tabs>
              <w:spacing w:before="0" w:beforeAutospacing="0" w:after="0" w:afterAutospacing="0"/>
              <w:ind w:left="0" w:firstLine="0"/>
              <w:jc w:val="both"/>
              <w:rPr>
                <w:b/>
                <w:bCs/>
              </w:rPr>
            </w:pPr>
            <w:r w:rsidRPr="006F48C9">
              <w:rPr>
                <w:b/>
                <w:bCs/>
              </w:rPr>
              <w:t>Lietuvos Respublikos administracinių nusižengimų kodekso 12, 29, 66, 508, 589 straipsnių ir priedo pakeitimo ir Kodekso papildymo 66</w:t>
            </w:r>
            <w:r w:rsidRPr="006F48C9">
              <w:rPr>
                <w:b/>
                <w:bCs/>
                <w:vertAlign w:val="superscript"/>
              </w:rPr>
              <w:t>1</w:t>
            </w:r>
            <w:r w:rsidRPr="006F48C9">
              <w:rPr>
                <w:b/>
                <w:bCs/>
              </w:rPr>
              <w:t>, 131</w:t>
            </w:r>
            <w:r w:rsidRPr="006F48C9">
              <w:rPr>
                <w:b/>
                <w:bCs/>
                <w:vertAlign w:val="superscript"/>
              </w:rPr>
              <w:t>1</w:t>
            </w:r>
            <w:r w:rsidRPr="006F48C9">
              <w:rPr>
                <w:b/>
                <w:bCs/>
              </w:rPr>
              <w:t xml:space="preserve"> straipsniais įstatymo projektas</w:t>
            </w:r>
            <w:r w:rsidRPr="00DC2359">
              <w:t xml:space="preserve"> </w:t>
            </w:r>
            <w:r w:rsidR="00BB7DE9">
              <w:rPr>
                <w:b/>
                <w:bCs/>
              </w:rPr>
              <w:t>(toliau – Projektas)</w:t>
            </w:r>
          </w:p>
          <w:p w14:paraId="33091020" w14:textId="272A1E9C" w:rsidR="00BB7DE9" w:rsidRPr="00BB7DE9" w:rsidRDefault="00BB7DE9" w:rsidP="00BB7DE9">
            <w:pPr>
              <w:pStyle w:val="istatymas"/>
              <w:numPr>
                <w:ilvl w:val="0"/>
                <w:numId w:val="2"/>
              </w:numPr>
              <w:tabs>
                <w:tab w:val="left" w:pos="344"/>
              </w:tabs>
              <w:spacing w:before="0" w:beforeAutospacing="0" w:after="0" w:afterAutospacing="0"/>
              <w:ind w:left="0" w:firstLine="0"/>
              <w:jc w:val="both"/>
              <w:rPr>
                <w:b/>
                <w:bCs/>
              </w:rPr>
            </w:pPr>
            <w:r w:rsidRPr="00BB7DE9">
              <w:rPr>
                <w:b/>
                <w:bCs/>
              </w:rPr>
              <w:t>Lietuvos Respublikos produktų saugos įstatymas</w:t>
            </w:r>
            <w:r>
              <w:rPr>
                <w:b/>
                <w:bCs/>
              </w:rPr>
              <w:t xml:space="preserve"> (toliau – Įstatymas)</w:t>
            </w:r>
          </w:p>
          <w:p w14:paraId="2469F4A6" w14:textId="5C9AA06B" w:rsidR="00BB7DE9" w:rsidRPr="00575F80" w:rsidRDefault="00BB7DE9" w:rsidP="00BB7DE9">
            <w:pPr>
              <w:pStyle w:val="istatymas"/>
              <w:spacing w:before="0" w:beforeAutospacing="0" w:after="0" w:afterAutospacing="0"/>
              <w:ind w:left="720"/>
              <w:jc w:val="both"/>
              <w:rPr>
                <w:b/>
              </w:rPr>
            </w:pPr>
          </w:p>
        </w:tc>
        <w:tc>
          <w:tcPr>
            <w:tcW w:w="2092" w:type="dxa"/>
            <w:vAlign w:val="center"/>
          </w:tcPr>
          <w:p w14:paraId="0FDB56CE" w14:textId="77777777" w:rsidR="00080545" w:rsidRPr="00575F80" w:rsidRDefault="00282AF4" w:rsidP="00AC51CA">
            <w:pPr>
              <w:pStyle w:val="Pagrindinistekstas"/>
              <w:spacing w:after="0"/>
              <w:jc w:val="center"/>
              <w:rPr>
                <w:szCs w:val="24"/>
              </w:rPr>
            </w:pPr>
            <w:r w:rsidRPr="00575F80">
              <w:rPr>
                <w:szCs w:val="24"/>
              </w:rPr>
              <w:t>Reglamento</w:t>
            </w:r>
            <w:r w:rsidR="00080545" w:rsidRPr="00575F80">
              <w:rPr>
                <w:szCs w:val="24"/>
              </w:rPr>
              <w:t xml:space="preserve"> perkėlimo (įgyvendinimo) lygis (visiškas, dalinis)</w:t>
            </w:r>
          </w:p>
        </w:tc>
      </w:tr>
      <w:tr w:rsidR="00575F80" w:rsidRPr="00575F80" w14:paraId="7AC6BF62" w14:textId="77777777" w:rsidTr="00E27E5F">
        <w:tc>
          <w:tcPr>
            <w:tcW w:w="6636" w:type="dxa"/>
          </w:tcPr>
          <w:p w14:paraId="7D393FA3" w14:textId="77777777" w:rsidR="00CF6DDD" w:rsidRPr="00575F80" w:rsidRDefault="00CF6DDD" w:rsidP="00282AF4">
            <w:pPr>
              <w:pStyle w:val="ti-art"/>
            </w:pPr>
            <w:r w:rsidRPr="00575F80">
              <w:t>36</w:t>
            </w:r>
            <w:r w:rsidR="00282AF4" w:rsidRPr="00575F80">
              <w:t> straipsnis</w:t>
            </w:r>
            <w:r w:rsidRPr="00575F80">
              <w:t xml:space="preserve"> </w:t>
            </w:r>
            <w:r w:rsidRPr="00575F80">
              <w:rPr>
                <w:b/>
                <w:bCs/>
              </w:rPr>
              <w:t>Nacionaliniu lygmeniu pavojų keliantiems gaminiams taikoma procedūra</w:t>
            </w:r>
          </w:p>
          <w:p w14:paraId="184B4688" w14:textId="77777777" w:rsidR="001524B0" w:rsidRPr="00575F80" w:rsidRDefault="00CF6DDD" w:rsidP="00080545">
            <w:pPr>
              <w:jc w:val="both"/>
              <w:rPr>
                <w:szCs w:val="24"/>
              </w:rPr>
            </w:pPr>
            <w:r w:rsidRPr="00575F80">
              <w:rPr>
                <w:szCs w:val="24"/>
              </w:rPr>
              <w:t>8.   Valstybės narės užtikrina, kad atitinkamo gaminio atžvilgiu būtų imtasi reikiamų ribojamųjų priemonių, kaip antai gaminys būtų nedelsiant pašalintas iš rinkos.</w:t>
            </w:r>
          </w:p>
        </w:tc>
        <w:tc>
          <w:tcPr>
            <w:tcW w:w="6945" w:type="dxa"/>
          </w:tcPr>
          <w:p w14:paraId="4DBBD4ED" w14:textId="77777777" w:rsidR="00BB7DE9" w:rsidRPr="00BB7DE9" w:rsidRDefault="00BB7DE9" w:rsidP="00CF6DDD">
            <w:pPr>
              <w:tabs>
                <w:tab w:val="left" w:pos="1134"/>
              </w:tabs>
              <w:jc w:val="both"/>
              <w:rPr>
                <w:b/>
                <w:szCs w:val="24"/>
              </w:rPr>
            </w:pPr>
            <w:r w:rsidRPr="00BB7DE9">
              <w:rPr>
                <w:b/>
                <w:szCs w:val="24"/>
              </w:rPr>
              <w:t>Projektas</w:t>
            </w:r>
          </w:p>
          <w:p w14:paraId="1ADD7BB1" w14:textId="39E454FA" w:rsidR="00CF6DDD" w:rsidRPr="00575F80" w:rsidRDefault="00CF6DDD" w:rsidP="00CF6DDD">
            <w:pPr>
              <w:tabs>
                <w:tab w:val="left" w:pos="1134"/>
              </w:tabs>
              <w:jc w:val="both"/>
              <w:rPr>
                <w:bCs/>
                <w:szCs w:val="24"/>
              </w:rPr>
            </w:pPr>
            <w:r w:rsidRPr="00575F80">
              <w:rPr>
                <w:bCs/>
                <w:szCs w:val="24"/>
              </w:rPr>
              <w:t>1 straipsnis. 589 straipsnio pakeitimas</w:t>
            </w:r>
          </w:p>
          <w:p w14:paraId="3DDEF630" w14:textId="77777777" w:rsidR="00CF6DDD" w:rsidRPr="00575F80" w:rsidRDefault="00CF6DDD" w:rsidP="00CF6DDD">
            <w:pPr>
              <w:tabs>
                <w:tab w:val="left" w:pos="1134"/>
                <w:tab w:val="left" w:pos="1276"/>
              </w:tabs>
              <w:jc w:val="both"/>
              <w:rPr>
                <w:bCs/>
                <w:szCs w:val="24"/>
              </w:rPr>
            </w:pPr>
            <w:r w:rsidRPr="00575F80">
              <w:rPr>
                <w:bCs/>
                <w:szCs w:val="24"/>
              </w:rPr>
              <w:t>Pakeisti 589 straipsnio 63 dalį ir ją išdėstyti taip:</w:t>
            </w:r>
          </w:p>
          <w:p w14:paraId="18E2ADE2" w14:textId="77777777" w:rsidR="00080545" w:rsidRDefault="00CF6DDD" w:rsidP="00BB7DE9">
            <w:pPr>
              <w:pStyle w:val="Sraopastraipa"/>
              <w:tabs>
                <w:tab w:val="left" w:pos="1134"/>
              </w:tabs>
              <w:ind w:left="0"/>
              <w:jc w:val="both"/>
              <w:rPr>
                <w:bCs/>
                <w:szCs w:val="24"/>
                <w:shd w:val="clear" w:color="auto" w:fill="FFFFFF"/>
              </w:rPr>
            </w:pPr>
            <w:r w:rsidRPr="00575F80">
              <w:rPr>
                <w:bCs/>
                <w:szCs w:val="24"/>
                <w:shd w:val="clear" w:color="auto" w:fill="FFFFFF"/>
              </w:rPr>
              <w:t>„63) Lietuvos transporto saugos administracijos – dėl šio kodekso 127 straipsnio 1, 2 dalyse, 139 straipsnio 1, 2, 3, 4, 5, 6 dalyse, 150, 256, 306, 307 straipsniuose, 369 straipsnio 5, 6 dalyse, 370, 370</w:t>
            </w:r>
            <w:r w:rsidRPr="00575F80">
              <w:rPr>
                <w:bCs/>
                <w:szCs w:val="24"/>
                <w:shd w:val="clear" w:color="auto" w:fill="FFFFFF"/>
                <w:vertAlign w:val="superscript"/>
              </w:rPr>
              <w:t>1</w:t>
            </w:r>
            <w:r w:rsidRPr="00575F80">
              <w:rPr>
                <w:bCs/>
                <w:szCs w:val="24"/>
                <w:shd w:val="clear" w:color="auto" w:fill="FFFFFF"/>
              </w:rPr>
              <w:t>, 372, 373, 374, 375, 376, 377, 378, 379, 380, 381, 382, 383, 384, 385, 386, 387, 388, 389, 390, 391, 392, 393, 394, 395, 396, 397, 398 straipsniuose, 401 straipsnio 1, 2, 3, 4, 5, 6, 7, 8, 9, 10, 11, 12, 13, 14, 15, 16, 17, 18, 19, 20, 21, 22, 23, 25, 26 dalyse, 402, 403, 404, 405, 406, 407, 409, 410, 411, 413 straipsniuose, 415 straipsnio 2 dalyje, 425 straipsnyje, 426 straipsnio 4 dalyje, 429 straipsnyje, 431 straipsnio 1, 2 dalyse, 434 straipsnio 1, 2, 3 dalyse, 435, 436, 437, 438, 439, 440, 441, 442, 443, 444, 445, 446, 447, 448, 449, 449</w:t>
            </w:r>
            <w:r w:rsidRPr="00575F80">
              <w:rPr>
                <w:bCs/>
                <w:szCs w:val="24"/>
                <w:shd w:val="clear" w:color="auto" w:fill="FFFFFF"/>
                <w:vertAlign w:val="superscript"/>
              </w:rPr>
              <w:t>1</w:t>
            </w:r>
            <w:r w:rsidRPr="00575F80">
              <w:rPr>
                <w:bCs/>
                <w:szCs w:val="24"/>
                <w:shd w:val="clear" w:color="auto" w:fill="FFFFFF"/>
              </w:rPr>
              <w:t>, 450, 451, 452, 453, 454, 455, 456, 457, 458 straipsniuose, 459 straipsnio 1, 4, 5, 6, 7, 9, 10 dalyse, 463, 505, 507, 515 straipsniuose numatytų administracinių nusižengimų;“.</w:t>
            </w:r>
          </w:p>
          <w:p w14:paraId="2CDE0891" w14:textId="5CFB6CDA" w:rsidR="00B87968" w:rsidRDefault="00B87968" w:rsidP="00BB7DE9">
            <w:pPr>
              <w:pStyle w:val="Sraopastraipa"/>
              <w:tabs>
                <w:tab w:val="left" w:pos="1134"/>
              </w:tabs>
              <w:ind w:left="0"/>
              <w:jc w:val="both"/>
              <w:rPr>
                <w:b/>
                <w:szCs w:val="24"/>
                <w:shd w:val="clear" w:color="auto" w:fill="FFFFFF"/>
              </w:rPr>
            </w:pPr>
          </w:p>
          <w:p w14:paraId="7536515D" w14:textId="77777777" w:rsidR="00B87968" w:rsidRPr="00BB7DE9" w:rsidRDefault="00B87968" w:rsidP="00B87968">
            <w:pPr>
              <w:tabs>
                <w:tab w:val="left" w:pos="1134"/>
              </w:tabs>
              <w:jc w:val="both"/>
              <w:rPr>
                <w:b/>
                <w:szCs w:val="24"/>
              </w:rPr>
            </w:pPr>
            <w:r w:rsidRPr="00BB7DE9">
              <w:rPr>
                <w:b/>
                <w:szCs w:val="24"/>
              </w:rPr>
              <w:t>Įstatymas</w:t>
            </w:r>
          </w:p>
          <w:p w14:paraId="3FDC4FCD" w14:textId="77777777" w:rsidR="00B87968" w:rsidRDefault="00B87968" w:rsidP="00B87968">
            <w:pPr>
              <w:tabs>
                <w:tab w:val="left" w:pos="1134"/>
              </w:tabs>
              <w:jc w:val="both"/>
              <w:rPr>
                <w:szCs w:val="24"/>
              </w:rPr>
            </w:pPr>
            <w:r>
              <w:rPr>
                <w:szCs w:val="24"/>
              </w:rPr>
              <w:t>1</w:t>
            </w:r>
            <w:r w:rsidRPr="00A8487B">
              <w:rPr>
                <w:szCs w:val="24"/>
              </w:rPr>
              <w:t>6 straipsnio 3 dalies 1 punktas</w:t>
            </w:r>
          </w:p>
          <w:p w14:paraId="01EE3E6C" w14:textId="77777777" w:rsidR="00B87968" w:rsidRPr="00BB7DE9" w:rsidRDefault="00B87968" w:rsidP="00B87968">
            <w:pPr>
              <w:jc w:val="both"/>
              <w:rPr>
                <w:rFonts w:eastAsia="Times New Roman"/>
                <w:szCs w:val="24"/>
              </w:rPr>
            </w:pPr>
            <w:r>
              <w:rPr>
                <w:szCs w:val="24"/>
              </w:rPr>
              <w:t>„</w:t>
            </w:r>
            <w:r w:rsidRPr="00BB7DE9">
              <w:rPr>
                <w:rFonts w:eastAsia="Times New Roman"/>
                <w:szCs w:val="24"/>
              </w:rPr>
              <w:t>3. Priėmusi šio straipsnio 1 dalies 2 punkte nurodytą sprendimą, Tarnyba arba kita rinkos priežiūros institucija ekonominės veiklos vykdytoją taip pat įpareigoja:</w:t>
            </w:r>
          </w:p>
          <w:p w14:paraId="19CF0137" w14:textId="03619294" w:rsidR="00B87968" w:rsidRPr="00575F80" w:rsidRDefault="00B87968" w:rsidP="00E27E5F">
            <w:pPr>
              <w:pStyle w:val="Sraopastraipa"/>
              <w:tabs>
                <w:tab w:val="left" w:pos="1134"/>
              </w:tabs>
              <w:ind w:left="0"/>
              <w:jc w:val="both"/>
              <w:rPr>
                <w:b/>
                <w:szCs w:val="24"/>
              </w:rPr>
            </w:pPr>
            <w:r w:rsidRPr="00BB7DE9">
              <w:rPr>
                <w:szCs w:val="24"/>
              </w:rPr>
              <w:t>1) nedelsiant pašalinti iš rinkos pavojingą produktą arba organizuoti jo pašalinimą ir įspėti vartotojus apie su tokiu produktu susijusią riziką, jeigu pavojingas produktas jau yra rinkoje;</w:t>
            </w:r>
            <w:r>
              <w:rPr>
                <w:szCs w:val="24"/>
              </w:rPr>
              <w:t>“</w:t>
            </w:r>
          </w:p>
        </w:tc>
        <w:tc>
          <w:tcPr>
            <w:tcW w:w="2092" w:type="dxa"/>
            <w:vAlign w:val="center"/>
          </w:tcPr>
          <w:p w14:paraId="356E617D" w14:textId="77777777" w:rsidR="00080545" w:rsidRPr="00575F80" w:rsidRDefault="00CF6DDD" w:rsidP="00AC51CA">
            <w:pPr>
              <w:pStyle w:val="Pagrindinistekstas"/>
              <w:spacing w:after="0"/>
              <w:jc w:val="center"/>
              <w:rPr>
                <w:b/>
                <w:szCs w:val="24"/>
              </w:rPr>
            </w:pPr>
            <w:r w:rsidRPr="00575F80">
              <w:rPr>
                <w:b/>
                <w:szCs w:val="24"/>
              </w:rPr>
              <w:t>Visiškas</w:t>
            </w:r>
          </w:p>
          <w:p w14:paraId="669ECF53" w14:textId="77777777" w:rsidR="00CF6DDD" w:rsidRPr="00575F80" w:rsidRDefault="00CF6DDD" w:rsidP="00AC51CA">
            <w:pPr>
              <w:pStyle w:val="Pagrindinistekstas"/>
              <w:spacing w:after="0"/>
              <w:jc w:val="center"/>
              <w:rPr>
                <w:b/>
                <w:szCs w:val="24"/>
              </w:rPr>
            </w:pPr>
          </w:p>
          <w:p w14:paraId="758497F6" w14:textId="77777777" w:rsidR="00080545" w:rsidRPr="00575F80" w:rsidRDefault="00080545" w:rsidP="00B46D9F">
            <w:pPr>
              <w:pStyle w:val="Pagrindinistekstas"/>
              <w:spacing w:after="0"/>
              <w:jc w:val="both"/>
              <w:rPr>
                <w:b/>
                <w:szCs w:val="24"/>
              </w:rPr>
            </w:pPr>
          </w:p>
        </w:tc>
      </w:tr>
    </w:tbl>
    <w:p w14:paraId="35A91F18" w14:textId="77777777" w:rsidR="001B5ED3" w:rsidRPr="00575F80" w:rsidRDefault="001B5ED3">
      <w:pPr>
        <w:rPr>
          <w:sz w:val="2"/>
        </w:rPr>
      </w:pPr>
    </w:p>
    <w:p w14:paraId="341AA560" w14:textId="77777777" w:rsidR="00366EB1" w:rsidRPr="00575F80" w:rsidRDefault="00366EB1">
      <w:pPr>
        <w:rPr>
          <w:sz w:val="2"/>
        </w:rPr>
      </w:pPr>
    </w:p>
    <w:p w14:paraId="7D471C8D" w14:textId="77777777" w:rsidR="00366EB1" w:rsidRPr="00575F80" w:rsidRDefault="00366EB1">
      <w:pPr>
        <w:rPr>
          <w:szCs w:val="24"/>
        </w:rPr>
      </w:pPr>
    </w:p>
    <w:p w14:paraId="2C1F54C5" w14:textId="77777777" w:rsidR="00366EB1" w:rsidRPr="00575F80" w:rsidRDefault="00366EB1">
      <w:pPr>
        <w:rPr>
          <w:szCs w:val="24"/>
        </w:rPr>
      </w:pPr>
    </w:p>
    <w:sectPr w:rsidR="00366EB1" w:rsidRPr="00575F80" w:rsidSect="00E27E5F">
      <w:headerReference w:type="even" r:id="rId8"/>
      <w:headerReference w:type="default" r:id="rId9"/>
      <w:pgSz w:w="16838" w:h="11906" w:orient="landscape"/>
      <w:pgMar w:top="709"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0079" w14:textId="77777777" w:rsidR="00112587" w:rsidRDefault="00112587">
      <w:r>
        <w:separator/>
      </w:r>
    </w:p>
  </w:endnote>
  <w:endnote w:type="continuationSeparator" w:id="0">
    <w:p w14:paraId="64096322" w14:textId="77777777" w:rsidR="00112587" w:rsidRDefault="0011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B77C" w14:textId="77777777" w:rsidR="00112587" w:rsidRDefault="00112587">
      <w:r>
        <w:separator/>
      </w:r>
    </w:p>
  </w:footnote>
  <w:footnote w:type="continuationSeparator" w:id="0">
    <w:p w14:paraId="37C832CA" w14:textId="77777777" w:rsidR="00112587" w:rsidRDefault="0011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0749"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34629F" w14:textId="77777777" w:rsidR="00F06AA4" w:rsidRDefault="00F06A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B4C1"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7E5F">
      <w:rPr>
        <w:rStyle w:val="Puslapionumeris"/>
        <w:noProof/>
      </w:rPr>
      <w:t>2</w:t>
    </w:r>
    <w:r>
      <w:rPr>
        <w:rStyle w:val="Puslapionumeris"/>
      </w:rPr>
      <w:fldChar w:fldCharType="end"/>
    </w:r>
  </w:p>
  <w:p w14:paraId="357A3A4A" w14:textId="77777777" w:rsidR="00F06AA4" w:rsidRDefault="00F06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6CD"/>
    <w:multiLevelType w:val="multilevel"/>
    <w:tmpl w:val="083889D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1D033AA"/>
    <w:multiLevelType w:val="hybridMultilevel"/>
    <w:tmpl w:val="DD105A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45"/>
    <w:rsid w:val="00003965"/>
    <w:rsid w:val="00012585"/>
    <w:rsid w:val="00012AED"/>
    <w:rsid w:val="00016519"/>
    <w:rsid w:val="000175BD"/>
    <w:rsid w:val="00022116"/>
    <w:rsid w:val="0003798A"/>
    <w:rsid w:val="00067899"/>
    <w:rsid w:val="00070275"/>
    <w:rsid w:val="00080545"/>
    <w:rsid w:val="000A2D72"/>
    <w:rsid w:val="000B4919"/>
    <w:rsid w:val="000C2BC7"/>
    <w:rsid w:val="000C5E6B"/>
    <w:rsid w:val="000C62ED"/>
    <w:rsid w:val="000D39C3"/>
    <w:rsid w:val="000F37A4"/>
    <w:rsid w:val="0011058E"/>
    <w:rsid w:val="00112587"/>
    <w:rsid w:val="00115F4F"/>
    <w:rsid w:val="00136E93"/>
    <w:rsid w:val="001428A4"/>
    <w:rsid w:val="001524B0"/>
    <w:rsid w:val="00154123"/>
    <w:rsid w:val="00163496"/>
    <w:rsid w:val="001A53DF"/>
    <w:rsid w:val="001B5ED3"/>
    <w:rsid w:val="001D5990"/>
    <w:rsid w:val="001F09B9"/>
    <w:rsid w:val="001F6743"/>
    <w:rsid w:val="00207062"/>
    <w:rsid w:val="00215DC1"/>
    <w:rsid w:val="002332D5"/>
    <w:rsid w:val="00236471"/>
    <w:rsid w:val="0027463F"/>
    <w:rsid w:val="00275A0E"/>
    <w:rsid w:val="00282AF4"/>
    <w:rsid w:val="00287729"/>
    <w:rsid w:val="002939D4"/>
    <w:rsid w:val="0029658B"/>
    <w:rsid w:val="002967E2"/>
    <w:rsid w:val="002A356D"/>
    <w:rsid w:val="002A5619"/>
    <w:rsid w:val="002C213F"/>
    <w:rsid w:val="002C23D7"/>
    <w:rsid w:val="002D03C3"/>
    <w:rsid w:val="003039A3"/>
    <w:rsid w:val="003052E0"/>
    <w:rsid w:val="00306229"/>
    <w:rsid w:val="0034001F"/>
    <w:rsid w:val="00363B24"/>
    <w:rsid w:val="00366EB1"/>
    <w:rsid w:val="00374FDF"/>
    <w:rsid w:val="00376365"/>
    <w:rsid w:val="00377830"/>
    <w:rsid w:val="003B198F"/>
    <w:rsid w:val="003D5593"/>
    <w:rsid w:val="003E5C4B"/>
    <w:rsid w:val="00430870"/>
    <w:rsid w:val="00454225"/>
    <w:rsid w:val="00475AE2"/>
    <w:rsid w:val="00477228"/>
    <w:rsid w:val="0048799D"/>
    <w:rsid w:val="00494C43"/>
    <w:rsid w:val="004B31CB"/>
    <w:rsid w:val="004C20EE"/>
    <w:rsid w:val="004D501D"/>
    <w:rsid w:val="004D67C4"/>
    <w:rsid w:val="004E0EC4"/>
    <w:rsid w:val="005166AF"/>
    <w:rsid w:val="00516DB3"/>
    <w:rsid w:val="00526CF1"/>
    <w:rsid w:val="00531E6F"/>
    <w:rsid w:val="00532A1D"/>
    <w:rsid w:val="005374D6"/>
    <w:rsid w:val="0054687C"/>
    <w:rsid w:val="0055364A"/>
    <w:rsid w:val="005677B2"/>
    <w:rsid w:val="00575F80"/>
    <w:rsid w:val="00582F45"/>
    <w:rsid w:val="00590D5E"/>
    <w:rsid w:val="00595B22"/>
    <w:rsid w:val="00595D74"/>
    <w:rsid w:val="005A460C"/>
    <w:rsid w:val="005A6247"/>
    <w:rsid w:val="005D1FFD"/>
    <w:rsid w:val="005D46C3"/>
    <w:rsid w:val="005E0ACE"/>
    <w:rsid w:val="005F1C28"/>
    <w:rsid w:val="005F72F5"/>
    <w:rsid w:val="006002D2"/>
    <w:rsid w:val="00607BE4"/>
    <w:rsid w:val="006248F3"/>
    <w:rsid w:val="00640FAE"/>
    <w:rsid w:val="006437E4"/>
    <w:rsid w:val="006513D7"/>
    <w:rsid w:val="00655EAE"/>
    <w:rsid w:val="006630C6"/>
    <w:rsid w:val="006652AC"/>
    <w:rsid w:val="00671A93"/>
    <w:rsid w:val="00672F8B"/>
    <w:rsid w:val="00675ADD"/>
    <w:rsid w:val="006A7416"/>
    <w:rsid w:val="006B0926"/>
    <w:rsid w:val="006D1699"/>
    <w:rsid w:val="006E05D9"/>
    <w:rsid w:val="006E2A60"/>
    <w:rsid w:val="006E6D9D"/>
    <w:rsid w:val="006E78D8"/>
    <w:rsid w:val="006F3E18"/>
    <w:rsid w:val="006F48C9"/>
    <w:rsid w:val="0071086D"/>
    <w:rsid w:val="007617EF"/>
    <w:rsid w:val="00770C3A"/>
    <w:rsid w:val="00772E69"/>
    <w:rsid w:val="007A6BED"/>
    <w:rsid w:val="007B4BF1"/>
    <w:rsid w:val="007C2212"/>
    <w:rsid w:val="007D4706"/>
    <w:rsid w:val="007E700E"/>
    <w:rsid w:val="008150F1"/>
    <w:rsid w:val="00817BEA"/>
    <w:rsid w:val="00824F6A"/>
    <w:rsid w:val="00824F89"/>
    <w:rsid w:val="008327B6"/>
    <w:rsid w:val="008330A1"/>
    <w:rsid w:val="00833120"/>
    <w:rsid w:val="008360E4"/>
    <w:rsid w:val="00842D86"/>
    <w:rsid w:val="00855477"/>
    <w:rsid w:val="00861C3E"/>
    <w:rsid w:val="00866647"/>
    <w:rsid w:val="00866E37"/>
    <w:rsid w:val="00871EC1"/>
    <w:rsid w:val="00883C8E"/>
    <w:rsid w:val="00884CB1"/>
    <w:rsid w:val="0089293A"/>
    <w:rsid w:val="008A0BB4"/>
    <w:rsid w:val="008A15E5"/>
    <w:rsid w:val="008B28A7"/>
    <w:rsid w:val="00917F7E"/>
    <w:rsid w:val="00921CF2"/>
    <w:rsid w:val="009448EB"/>
    <w:rsid w:val="00953342"/>
    <w:rsid w:val="00954253"/>
    <w:rsid w:val="0096725A"/>
    <w:rsid w:val="009732FF"/>
    <w:rsid w:val="00977BC3"/>
    <w:rsid w:val="00987AC2"/>
    <w:rsid w:val="0099235D"/>
    <w:rsid w:val="00993A05"/>
    <w:rsid w:val="009A1F1B"/>
    <w:rsid w:val="009A38C7"/>
    <w:rsid w:val="009A3DB6"/>
    <w:rsid w:val="009B1101"/>
    <w:rsid w:val="009B3F84"/>
    <w:rsid w:val="009C2B6A"/>
    <w:rsid w:val="009D1572"/>
    <w:rsid w:val="009E4C1F"/>
    <w:rsid w:val="009F15BD"/>
    <w:rsid w:val="00A05926"/>
    <w:rsid w:val="00A20D8E"/>
    <w:rsid w:val="00A21D66"/>
    <w:rsid w:val="00A329CF"/>
    <w:rsid w:val="00A40B0A"/>
    <w:rsid w:val="00A52C47"/>
    <w:rsid w:val="00A54493"/>
    <w:rsid w:val="00A55036"/>
    <w:rsid w:val="00A82ADA"/>
    <w:rsid w:val="00AB114B"/>
    <w:rsid w:val="00AC51CA"/>
    <w:rsid w:val="00AE631B"/>
    <w:rsid w:val="00AF44CD"/>
    <w:rsid w:val="00B34ABD"/>
    <w:rsid w:val="00B41C37"/>
    <w:rsid w:val="00B46D9F"/>
    <w:rsid w:val="00B7273E"/>
    <w:rsid w:val="00B81094"/>
    <w:rsid w:val="00B85C8F"/>
    <w:rsid w:val="00B87968"/>
    <w:rsid w:val="00B9652C"/>
    <w:rsid w:val="00BB2D43"/>
    <w:rsid w:val="00BB63A6"/>
    <w:rsid w:val="00BB7DE9"/>
    <w:rsid w:val="00BC1FB5"/>
    <w:rsid w:val="00BF1517"/>
    <w:rsid w:val="00C11CD9"/>
    <w:rsid w:val="00C14F58"/>
    <w:rsid w:val="00C20DA2"/>
    <w:rsid w:val="00C32E9B"/>
    <w:rsid w:val="00C346B4"/>
    <w:rsid w:val="00C408F4"/>
    <w:rsid w:val="00C40CD8"/>
    <w:rsid w:val="00C563C5"/>
    <w:rsid w:val="00C82A8F"/>
    <w:rsid w:val="00C843E1"/>
    <w:rsid w:val="00C84831"/>
    <w:rsid w:val="00C9428D"/>
    <w:rsid w:val="00C97476"/>
    <w:rsid w:val="00CD1D87"/>
    <w:rsid w:val="00CD3B08"/>
    <w:rsid w:val="00CE4C1E"/>
    <w:rsid w:val="00CF1485"/>
    <w:rsid w:val="00CF6DDD"/>
    <w:rsid w:val="00D0125E"/>
    <w:rsid w:val="00D031DD"/>
    <w:rsid w:val="00D06CD7"/>
    <w:rsid w:val="00D07356"/>
    <w:rsid w:val="00D100F2"/>
    <w:rsid w:val="00D1143F"/>
    <w:rsid w:val="00D12CF1"/>
    <w:rsid w:val="00D13564"/>
    <w:rsid w:val="00D1741F"/>
    <w:rsid w:val="00D3436C"/>
    <w:rsid w:val="00D3799B"/>
    <w:rsid w:val="00D62109"/>
    <w:rsid w:val="00D633AE"/>
    <w:rsid w:val="00D71303"/>
    <w:rsid w:val="00D74472"/>
    <w:rsid w:val="00D74A75"/>
    <w:rsid w:val="00D76AF8"/>
    <w:rsid w:val="00D80035"/>
    <w:rsid w:val="00D8598B"/>
    <w:rsid w:val="00D9246B"/>
    <w:rsid w:val="00D9462D"/>
    <w:rsid w:val="00DB68BE"/>
    <w:rsid w:val="00DC7D23"/>
    <w:rsid w:val="00DD0E0B"/>
    <w:rsid w:val="00DD7386"/>
    <w:rsid w:val="00DE05E8"/>
    <w:rsid w:val="00DF306D"/>
    <w:rsid w:val="00E27E5F"/>
    <w:rsid w:val="00E557FA"/>
    <w:rsid w:val="00E57671"/>
    <w:rsid w:val="00E80E9F"/>
    <w:rsid w:val="00E87C1F"/>
    <w:rsid w:val="00E95408"/>
    <w:rsid w:val="00EB2F1F"/>
    <w:rsid w:val="00EF4956"/>
    <w:rsid w:val="00F06AA4"/>
    <w:rsid w:val="00F06F47"/>
    <w:rsid w:val="00F12FB9"/>
    <w:rsid w:val="00F16C6A"/>
    <w:rsid w:val="00F279AB"/>
    <w:rsid w:val="00F31DC8"/>
    <w:rsid w:val="00F334DD"/>
    <w:rsid w:val="00F5297E"/>
    <w:rsid w:val="00F65BF0"/>
    <w:rsid w:val="00F71829"/>
    <w:rsid w:val="00F7258B"/>
    <w:rsid w:val="00F80056"/>
    <w:rsid w:val="00F9131D"/>
    <w:rsid w:val="00F9207A"/>
    <w:rsid w:val="00F93EFE"/>
    <w:rsid w:val="00F97A0F"/>
    <w:rsid w:val="00FA3F2B"/>
    <w:rsid w:val="00FC5647"/>
    <w:rsid w:val="00FD4EE1"/>
    <w:rsid w:val="00FE7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5719F"/>
  <w15:docId w15:val="{074CE55F-EAED-4433-B2F5-37280ED5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0545"/>
    <w:pPr>
      <w:widowControl w:val="0"/>
      <w:suppressAutoHyphens/>
    </w:pPr>
    <w:rPr>
      <w:rFonts w:eastAsia="Lucida Sans Unicode"/>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080545"/>
    <w:pPr>
      <w:spacing w:after="120"/>
    </w:pPr>
  </w:style>
  <w:style w:type="character" w:styleId="Hipersaitas">
    <w:name w:val="Hyperlink"/>
    <w:rsid w:val="00080545"/>
    <w:rPr>
      <w:color w:val="0000FF"/>
      <w:u w:val="single"/>
    </w:rPr>
  </w:style>
  <w:style w:type="paragraph" w:styleId="Antrats">
    <w:name w:val="header"/>
    <w:basedOn w:val="prastasis"/>
    <w:rsid w:val="00080545"/>
    <w:pPr>
      <w:tabs>
        <w:tab w:val="center" w:pos="4819"/>
        <w:tab w:val="right" w:pos="9638"/>
      </w:tabs>
    </w:pPr>
  </w:style>
  <w:style w:type="character" w:styleId="Puslapionumeris">
    <w:name w:val="page number"/>
    <w:basedOn w:val="Numatytasispastraiposriftas"/>
    <w:rsid w:val="00080545"/>
  </w:style>
  <w:style w:type="paragraph" w:customStyle="1" w:styleId="Pavadinimas1">
    <w:name w:val="Pavadinimas1"/>
    <w:basedOn w:val="prastasis"/>
    <w:rsid w:val="00080545"/>
    <w:pPr>
      <w:keepLines/>
      <w:widowControl/>
      <w:autoSpaceDE w:val="0"/>
      <w:autoSpaceDN w:val="0"/>
      <w:adjustRightInd w:val="0"/>
      <w:spacing w:line="288" w:lineRule="auto"/>
      <w:ind w:left="850"/>
      <w:textAlignment w:val="center"/>
    </w:pPr>
    <w:rPr>
      <w:rFonts w:eastAsia="Times New Roman"/>
      <w:b/>
      <w:bCs/>
      <w:caps/>
      <w:color w:val="000000"/>
      <w:sz w:val="22"/>
      <w:szCs w:val="22"/>
      <w:lang w:eastAsia="en-US"/>
    </w:rPr>
  </w:style>
  <w:style w:type="paragraph" w:customStyle="1" w:styleId="Hipersaitas1">
    <w:name w:val="Hipersaitas1"/>
    <w:basedOn w:val="prastasis"/>
    <w:rsid w:val="00080545"/>
    <w:pPr>
      <w:widowControl/>
      <w:suppressAutoHyphens w:val="0"/>
      <w:spacing w:before="100" w:beforeAutospacing="1" w:after="100" w:afterAutospacing="1"/>
    </w:pPr>
    <w:rPr>
      <w:rFonts w:eastAsia="Times New Roman"/>
      <w:szCs w:val="24"/>
    </w:rPr>
  </w:style>
  <w:style w:type="paragraph" w:customStyle="1" w:styleId="istatymas">
    <w:name w:val="istatymas"/>
    <w:basedOn w:val="prastasis"/>
    <w:rsid w:val="00C40CD8"/>
    <w:pPr>
      <w:widowControl/>
      <w:suppressAutoHyphens w:val="0"/>
      <w:spacing w:before="100" w:beforeAutospacing="1" w:after="100" w:afterAutospacing="1"/>
    </w:pPr>
    <w:rPr>
      <w:rFonts w:eastAsia="Times New Roman"/>
      <w:szCs w:val="24"/>
    </w:rPr>
  </w:style>
  <w:style w:type="character" w:styleId="Komentaronuoroda">
    <w:name w:val="annotation reference"/>
    <w:uiPriority w:val="99"/>
    <w:unhideWhenUsed/>
    <w:rsid w:val="006E05D9"/>
    <w:rPr>
      <w:sz w:val="16"/>
      <w:szCs w:val="16"/>
    </w:rPr>
  </w:style>
  <w:style w:type="paragraph" w:styleId="Komentarotekstas">
    <w:name w:val="annotation text"/>
    <w:basedOn w:val="prastasis"/>
    <w:link w:val="KomentarotekstasDiagrama"/>
    <w:uiPriority w:val="99"/>
    <w:unhideWhenUsed/>
    <w:rsid w:val="006E05D9"/>
    <w:pPr>
      <w:widowControl/>
      <w:suppressAutoHyphens w:val="0"/>
    </w:pPr>
    <w:rPr>
      <w:rFonts w:eastAsia="Times New Roman"/>
      <w:sz w:val="20"/>
    </w:rPr>
  </w:style>
  <w:style w:type="character" w:customStyle="1" w:styleId="KomentarotekstasDiagrama">
    <w:name w:val="Komentaro tekstas Diagrama"/>
    <w:basedOn w:val="Numatytasispastraiposriftas"/>
    <w:link w:val="Komentarotekstas"/>
    <w:uiPriority w:val="99"/>
    <w:rsid w:val="006E05D9"/>
  </w:style>
  <w:style w:type="paragraph" w:styleId="Debesliotekstas">
    <w:name w:val="Balloon Text"/>
    <w:basedOn w:val="prastasis"/>
    <w:link w:val="DebesliotekstasDiagrama"/>
    <w:rsid w:val="006E05D9"/>
    <w:rPr>
      <w:rFonts w:ascii="Segoe UI" w:hAnsi="Segoe UI" w:cs="Segoe UI"/>
      <w:sz w:val="18"/>
      <w:szCs w:val="18"/>
    </w:rPr>
  </w:style>
  <w:style w:type="character" w:customStyle="1" w:styleId="DebesliotekstasDiagrama">
    <w:name w:val="Debesėlio tekstas Diagrama"/>
    <w:link w:val="Debesliotekstas"/>
    <w:rsid w:val="006E05D9"/>
    <w:rPr>
      <w:rFonts w:ascii="Segoe UI" w:eastAsia="Lucida Sans Unicode" w:hAnsi="Segoe UI" w:cs="Segoe UI"/>
      <w:sz w:val="18"/>
      <w:szCs w:val="18"/>
    </w:rPr>
  </w:style>
  <w:style w:type="character" w:customStyle="1" w:styleId="CharStyle7">
    <w:name w:val="Char Style 7"/>
    <w:link w:val="Style6"/>
    <w:uiPriority w:val="99"/>
    <w:rsid w:val="0034001F"/>
    <w:rPr>
      <w:shd w:val="clear" w:color="auto" w:fill="FFFFFF"/>
    </w:rPr>
  </w:style>
  <w:style w:type="paragraph" w:customStyle="1" w:styleId="Style6">
    <w:name w:val="Style 6"/>
    <w:basedOn w:val="prastasis"/>
    <w:link w:val="CharStyle7"/>
    <w:uiPriority w:val="99"/>
    <w:rsid w:val="0034001F"/>
    <w:pPr>
      <w:shd w:val="clear" w:color="auto" w:fill="FFFFFF"/>
      <w:suppressAutoHyphens w:val="0"/>
      <w:spacing w:before="780" w:line="240" w:lineRule="atLeast"/>
      <w:ind w:hanging="320"/>
      <w:jc w:val="both"/>
    </w:pPr>
    <w:rPr>
      <w:rFonts w:eastAsia="Times New Roman"/>
      <w:sz w:val="20"/>
    </w:rPr>
  </w:style>
  <w:style w:type="paragraph" w:customStyle="1" w:styleId="ti-art">
    <w:name w:val="ti-art"/>
    <w:basedOn w:val="prastasis"/>
    <w:rsid w:val="00282AF4"/>
    <w:pPr>
      <w:widowControl/>
      <w:suppressAutoHyphens w:val="0"/>
      <w:spacing w:before="100" w:beforeAutospacing="1" w:after="100" w:afterAutospacing="1"/>
    </w:pPr>
    <w:rPr>
      <w:rFonts w:eastAsia="Times New Roman"/>
      <w:szCs w:val="24"/>
    </w:rPr>
  </w:style>
  <w:style w:type="paragraph" w:customStyle="1" w:styleId="sti-art">
    <w:name w:val="sti-art"/>
    <w:basedOn w:val="prastasis"/>
    <w:rsid w:val="00282AF4"/>
    <w:pPr>
      <w:widowControl/>
      <w:suppressAutoHyphens w:val="0"/>
      <w:spacing w:before="100" w:beforeAutospacing="1" w:after="100" w:afterAutospacing="1"/>
    </w:pPr>
    <w:rPr>
      <w:rFonts w:eastAsia="Times New Roman"/>
      <w:szCs w:val="24"/>
    </w:rPr>
  </w:style>
  <w:style w:type="paragraph" w:customStyle="1" w:styleId="prastasis1">
    <w:name w:val="Įprastasis1"/>
    <w:basedOn w:val="prastasis"/>
    <w:rsid w:val="00282AF4"/>
    <w:pPr>
      <w:widowControl/>
      <w:suppressAutoHyphens w:val="0"/>
      <w:spacing w:before="100" w:beforeAutospacing="1" w:after="100" w:afterAutospacing="1"/>
    </w:pPr>
    <w:rPr>
      <w:rFonts w:eastAsia="Times New Roman"/>
      <w:szCs w:val="24"/>
    </w:rPr>
  </w:style>
  <w:style w:type="paragraph" w:styleId="Sraopastraipa">
    <w:name w:val="List Paragraph"/>
    <w:basedOn w:val="prastasis"/>
    <w:uiPriority w:val="34"/>
    <w:qFormat/>
    <w:rsid w:val="00282AF4"/>
    <w:pPr>
      <w:widowControl/>
      <w:suppressAutoHyphens w:val="0"/>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6125">
      <w:bodyDiv w:val="1"/>
      <w:marLeft w:val="0"/>
      <w:marRight w:val="0"/>
      <w:marTop w:val="0"/>
      <w:marBottom w:val="0"/>
      <w:divBdr>
        <w:top w:val="none" w:sz="0" w:space="0" w:color="auto"/>
        <w:left w:val="none" w:sz="0" w:space="0" w:color="auto"/>
        <w:bottom w:val="none" w:sz="0" w:space="0" w:color="auto"/>
        <w:right w:val="none" w:sz="0" w:space="0" w:color="auto"/>
      </w:divBdr>
      <w:divsChild>
        <w:div w:id="1006176850">
          <w:marLeft w:val="0"/>
          <w:marRight w:val="0"/>
          <w:marTop w:val="0"/>
          <w:marBottom w:val="0"/>
          <w:divBdr>
            <w:top w:val="none" w:sz="0" w:space="0" w:color="auto"/>
            <w:left w:val="none" w:sz="0" w:space="0" w:color="auto"/>
            <w:bottom w:val="none" w:sz="0" w:space="0" w:color="auto"/>
            <w:right w:val="none" w:sz="0" w:space="0" w:color="auto"/>
          </w:divBdr>
          <w:divsChild>
            <w:div w:id="628508795">
              <w:marLeft w:val="0"/>
              <w:marRight w:val="0"/>
              <w:marTop w:val="0"/>
              <w:marBottom w:val="0"/>
              <w:divBdr>
                <w:top w:val="none" w:sz="0" w:space="0" w:color="auto"/>
                <w:left w:val="none" w:sz="0" w:space="0" w:color="auto"/>
                <w:bottom w:val="none" w:sz="0" w:space="0" w:color="auto"/>
                <w:right w:val="none" w:sz="0" w:space="0" w:color="auto"/>
              </w:divBdr>
            </w:div>
            <w:div w:id="1328091109">
              <w:marLeft w:val="0"/>
              <w:marRight w:val="0"/>
              <w:marTop w:val="0"/>
              <w:marBottom w:val="0"/>
              <w:divBdr>
                <w:top w:val="none" w:sz="0" w:space="0" w:color="auto"/>
                <w:left w:val="none" w:sz="0" w:space="0" w:color="auto"/>
                <w:bottom w:val="none" w:sz="0" w:space="0" w:color="auto"/>
                <w:right w:val="none" w:sz="0" w:space="0" w:color="auto"/>
              </w:divBdr>
            </w:div>
            <w:div w:id="13400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9497">
      <w:bodyDiv w:val="1"/>
      <w:marLeft w:val="263"/>
      <w:marRight w:val="263"/>
      <w:marTop w:val="0"/>
      <w:marBottom w:val="0"/>
      <w:divBdr>
        <w:top w:val="none" w:sz="0" w:space="0" w:color="auto"/>
        <w:left w:val="none" w:sz="0" w:space="0" w:color="auto"/>
        <w:bottom w:val="none" w:sz="0" w:space="0" w:color="auto"/>
        <w:right w:val="none" w:sz="0" w:space="0" w:color="auto"/>
      </w:divBdr>
      <w:divsChild>
        <w:div w:id="1677423157">
          <w:marLeft w:val="0"/>
          <w:marRight w:val="0"/>
          <w:marTop w:val="0"/>
          <w:marBottom w:val="0"/>
          <w:divBdr>
            <w:top w:val="none" w:sz="0" w:space="0" w:color="auto"/>
            <w:left w:val="none" w:sz="0" w:space="0" w:color="auto"/>
            <w:bottom w:val="none" w:sz="0" w:space="0" w:color="auto"/>
            <w:right w:val="none" w:sz="0" w:space="0" w:color="auto"/>
          </w:divBdr>
        </w:div>
      </w:divsChild>
    </w:div>
    <w:div w:id="434517563">
      <w:bodyDiv w:val="1"/>
      <w:marLeft w:val="263"/>
      <w:marRight w:val="263"/>
      <w:marTop w:val="0"/>
      <w:marBottom w:val="0"/>
      <w:divBdr>
        <w:top w:val="none" w:sz="0" w:space="0" w:color="auto"/>
        <w:left w:val="none" w:sz="0" w:space="0" w:color="auto"/>
        <w:bottom w:val="none" w:sz="0" w:space="0" w:color="auto"/>
        <w:right w:val="none" w:sz="0" w:space="0" w:color="auto"/>
      </w:divBdr>
      <w:divsChild>
        <w:div w:id="967904104">
          <w:marLeft w:val="0"/>
          <w:marRight w:val="0"/>
          <w:marTop w:val="0"/>
          <w:marBottom w:val="0"/>
          <w:divBdr>
            <w:top w:val="none" w:sz="0" w:space="0" w:color="auto"/>
            <w:left w:val="none" w:sz="0" w:space="0" w:color="auto"/>
            <w:bottom w:val="none" w:sz="0" w:space="0" w:color="auto"/>
            <w:right w:val="none" w:sz="0" w:space="0" w:color="auto"/>
          </w:divBdr>
        </w:div>
      </w:divsChild>
    </w:div>
    <w:div w:id="462161694">
      <w:bodyDiv w:val="1"/>
      <w:marLeft w:val="263"/>
      <w:marRight w:val="263"/>
      <w:marTop w:val="0"/>
      <w:marBottom w:val="0"/>
      <w:divBdr>
        <w:top w:val="none" w:sz="0" w:space="0" w:color="auto"/>
        <w:left w:val="none" w:sz="0" w:space="0" w:color="auto"/>
        <w:bottom w:val="none" w:sz="0" w:space="0" w:color="auto"/>
        <w:right w:val="none" w:sz="0" w:space="0" w:color="auto"/>
      </w:divBdr>
      <w:divsChild>
        <w:div w:id="697897522">
          <w:marLeft w:val="0"/>
          <w:marRight w:val="0"/>
          <w:marTop w:val="0"/>
          <w:marBottom w:val="0"/>
          <w:divBdr>
            <w:top w:val="none" w:sz="0" w:space="0" w:color="auto"/>
            <w:left w:val="none" w:sz="0" w:space="0" w:color="auto"/>
            <w:bottom w:val="none" w:sz="0" w:space="0" w:color="auto"/>
            <w:right w:val="none" w:sz="0" w:space="0" w:color="auto"/>
          </w:divBdr>
        </w:div>
      </w:divsChild>
    </w:div>
    <w:div w:id="529143556">
      <w:bodyDiv w:val="1"/>
      <w:marLeft w:val="0"/>
      <w:marRight w:val="0"/>
      <w:marTop w:val="0"/>
      <w:marBottom w:val="0"/>
      <w:divBdr>
        <w:top w:val="none" w:sz="0" w:space="0" w:color="auto"/>
        <w:left w:val="none" w:sz="0" w:space="0" w:color="auto"/>
        <w:bottom w:val="none" w:sz="0" w:space="0" w:color="auto"/>
        <w:right w:val="none" w:sz="0" w:space="0" w:color="auto"/>
      </w:divBdr>
      <w:divsChild>
        <w:div w:id="41366139">
          <w:marLeft w:val="0"/>
          <w:marRight w:val="0"/>
          <w:marTop w:val="0"/>
          <w:marBottom w:val="0"/>
          <w:divBdr>
            <w:top w:val="none" w:sz="0" w:space="0" w:color="auto"/>
            <w:left w:val="none" w:sz="0" w:space="0" w:color="auto"/>
            <w:bottom w:val="none" w:sz="0" w:space="0" w:color="auto"/>
            <w:right w:val="none" w:sz="0" w:space="0" w:color="auto"/>
          </w:divBdr>
        </w:div>
        <w:div w:id="1806777238">
          <w:marLeft w:val="0"/>
          <w:marRight w:val="0"/>
          <w:marTop w:val="0"/>
          <w:marBottom w:val="0"/>
          <w:divBdr>
            <w:top w:val="none" w:sz="0" w:space="0" w:color="auto"/>
            <w:left w:val="none" w:sz="0" w:space="0" w:color="auto"/>
            <w:bottom w:val="none" w:sz="0" w:space="0" w:color="auto"/>
            <w:right w:val="none" w:sz="0" w:space="0" w:color="auto"/>
          </w:divBdr>
        </w:div>
      </w:divsChild>
    </w:div>
    <w:div w:id="852037729">
      <w:bodyDiv w:val="1"/>
      <w:marLeft w:val="263"/>
      <w:marRight w:val="263"/>
      <w:marTop w:val="0"/>
      <w:marBottom w:val="0"/>
      <w:divBdr>
        <w:top w:val="none" w:sz="0" w:space="0" w:color="auto"/>
        <w:left w:val="none" w:sz="0" w:space="0" w:color="auto"/>
        <w:bottom w:val="none" w:sz="0" w:space="0" w:color="auto"/>
        <w:right w:val="none" w:sz="0" w:space="0" w:color="auto"/>
      </w:divBdr>
      <w:divsChild>
        <w:div w:id="1301380056">
          <w:marLeft w:val="0"/>
          <w:marRight w:val="0"/>
          <w:marTop w:val="0"/>
          <w:marBottom w:val="0"/>
          <w:divBdr>
            <w:top w:val="none" w:sz="0" w:space="0" w:color="auto"/>
            <w:left w:val="none" w:sz="0" w:space="0" w:color="auto"/>
            <w:bottom w:val="none" w:sz="0" w:space="0" w:color="auto"/>
            <w:right w:val="none" w:sz="0" w:space="0" w:color="auto"/>
          </w:divBdr>
        </w:div>
      </w:divsChild>
    </w:div>
    <w:div w:id="1578901773">
      <w:bodyDiv w:val="1"/>
      <w:marLeft w:val="0"/>
      <w:marRight w:val="0"/>
      <w:marTop w:val="0"/>
      <w:marBottom w:val="0"/>
      <w:divBdr>
        <w:top w:val="none" w:sz="0" w:space="0" w:color="auto"/>
        <w:left w:val="none" w:sz="0" w:space="0" w:color="auto"/>
        <w:bottom w:val="none" w:sz="0" w:space="0" w:color="auto"/>
        <w:right w:val="none" w:sz="0" w:space="0" w:color="auto"/>
      </w:divBdr>
      <w:divsChild>
        <w:div w:id="1668895719">
          <w:marLeft w:val="0"/>
          <w:marRight w:val="0"/>
          <w:marTop w:val="0"/>
          <w:marBottom w:val="0"/>
          <w:divBdr>
            <w:top w:val="none" w:sz="0" w:space="0" w:color="auto"/>
            <w:left w:val="none" w:sz="0" w:space="0" w:color="auto"/>
            <w:bottom w:val="none" w:sz="0" w:space="0" w:color="auto"/>
            <w:right w:val="none" w:sz="0" w:space="0" w:color="auto"/>
          </w:divBdr>
          <w:divsChild>
            <w:div w:id="1136070606">
              <w:marLeft w:val="0"/>
              <w:marRight w:val="0"/>
              <w:marTop w:val="0"/>
              <w:marBottom w:val="0"/>
              <w:divBdr>
                <w:top w:val="none" w:sz="0" w:space="0" w:color="auto"/>
                <w:left w:val="none" w:sz="0" w:space="0" w:color="auto"/>
                <w:bottom w:val="none" w:sz="0" w:space="0" w:color="auto"/>
                <w:right w:val="none" w:sz="0" w:space="0" w:color="auto"/>
              </w:divBdr>
              <w:divsChild>
                <w:div w:id="989941504">
                  <w:marLeft w:val="0"/>
                  <w:marRight w:val="0"/>
                  <w:marTop w:val="0"/>
                  <w:marBottom w:val="0"/>
                  <w:divBdr>
                    <w:top w:val="none" w:sz="0" w:space="0" w:color="auto"/>
                    <w:left w:val="none" w:sz="0" w:space="0" w:color="auto"/>
                    <w:bottom w:val="none" w:sz="0" w:space="0" w:color="auto"/>
                    <w:right w:val="none" w:sz="0" w:space="0" w:color="auto"/>
                  </w:divBdr>
                  <w:divsChild>
                    <w:div w:id="1060861361">
                      <w:marLeft w:val="0"/>
                      <w:marRight w:val="0"/>
                      <w:marTop w:val="0"/>
                      <w:marBottom w:val="0"/>
                      <w:divBdr>
                        <w:top w:val="none" w:sz="0" w:space="0" w:color="auto"/>
                        <w:left w:val="none" w:sz="0" w:space="0" w:color="auto"/>
                        <w:bottom w:val="none" w:sz="0" w:space="0" w:color="auto"/>
                        <w:right w:val="none" w:sz="0" w:space="0" w:color="auto"/>
                      </w:divBdr>
                      <w:divsChild>
                        <w:div w:id="20206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97391">
      <w:bodyDiv w:val="1"/>
      <w:marLeft w:val="263"/>
      <w:marRight w:val="263"/>
      <w:marTop w:val="0"/>
      <w:marBottom w:val="0"/>
      <w:divBdr>
        <w:top w:val="none" w:sz="0" w:space="0" w:color="auto"/>
        <w:left w:val="none" w:sz="0" w:space="0" w:color="auto"/>
        <w:bottom w:val="none" w:sz="0" w:space="0" w:color="auto"/>
        <w:right w:val="none" w:sz="0" w:space="0" w:color="auto"/>
      </w:divBdr>
      <w:divsChild>
        <w:div w:id="1095782878">
          <w:marLeft w:val="0"/>
          <w:marRight w:val="0"/>
          <w:marTop w:val="0"/>
          <w:marBottom w:val="0"/>
          <w:divBdr>
            <w:top w:val="none" w:sz="0" w:space="0" w:color="auto"/>
            <w:left w:val="none" w:sz="0" w:space="0" w:color="auto"/>
            <w:bottom w:val="none" w:sz="0" w:space="0" w:color="auto"/>
            <w:right w:val="none" w:sz="0" w:space="0" w:color="auto"/>
          </w:divBdr>
        </w:div>
      </w:divsChild>
    </w:div>
    <w:div w:id="1606381864">
      <w:bodyDiv w:val="1"/>
      <w:marLeft w:val="263"/>
      <w:marRight w:val="263"/>
      <w:marTop w:val="0"/>
      <w:marBottom w:val="0"/>
      <w:divBdr>
        <w:top w:val="none" w:sz="0" w:space="0" w:color="auto"/>
        <w:left w:val="none" w:sz="0" w:space="0" w:color="auto"/>
        <w:bottom w:val="none" w:sz="0" w:space="0" w:color="auto"/>
        <w:right w:val="none" w:sz="0" w:space="0" w:color="auto"/>
      </w:divBdr>
      <w:divsChild>
        <w:div w:id="615909406">
          <w:marLeft w:val="0"/>
          <w:marRight w:val="0"/>
          <w:marTop w:val="0"/>
          <w:marBottom w:val="0"/>
          <w:divBdr>
            <w:top w:val="none" w:sz="0" w:space="0" w:color="auto"/>
            <w:left w:val="none" w:sz="0" w:space="0" w:color="auto"/>
            <w:bottom w:val="none" w:sz="0" w:space="0" w:color="auto"/>
            <w:right w:val="none" w:sz="0" w:space="0" w:color="auto"/>
          </w:divBdr>
        </w:div>
      </w:divsChild>
    </w:div>
    <w:div w:id="1894151896">
      <w:bodyDiv w:val="1"/>
      <w:marLeft w:val="0"/>
      <w:marRight w:val="0"/>
      <w:marTop w:val="0"/>
      <w:marBottom w:val="0"/>
      <w:divBdr>
        <w:top w:val="none" w:sz="0" w:space="0" w:color="auto"/>
        <w:left w:val="none" w:sz="0" w:space="0" w:color="auto"/>
        <w:bottom w:val="none" w:sz="0" w:space="0" w:color="auto"/>
        <w:right w:val="none" w:sz="0" w:space="0" w:color="auto"/>
      </w:divBdr>
      <w:divsChild>
        <w:div w:id="1123691673">
          <w:marLeft w:val="0"/>
          <w:marRight w:val="0"/>
          <w:marTop w:val="0"/>
          <w:marBottom w:val="0"/>
          <w:divBdr>
            <w:top w:val="none" w:sz="0" w:space="0" w:color="auto"/>
            <w:left w:val="none" w:sz="0" w:space="0" w:color="auto"/>
            <w:bottom w:val="none" w:sz="0" w:space="0" w:color="auto"/>
            <w:right w:val="none" w:sz="0" w:space="0" w:color="auto"/>
          </w:divBdr>
          <w:divsChild>
            <w:div w:id="15233964">
              <w:marLeft w:val="0"/>
              <w:marRight w:val="0"/>
              <w:marTop w:val="0"/>
              <w:marBottom w:val="0"/>
              <w:divBdr>
                <w:top w:val="none" w:sz="0" w:space="0" w:color="auto"/>
                <w:left w:val="none" w:sz="0" w:space="0" w:color="auto"/>
                <w:bottom w:val="none" w:sz="0" w:space="0" w:color="auto"/>
                <w:right w:val="none" w:sz="0" w:space="0" w:color="auto"/>
              </w:divBdr>
            </w:div>
            <w:div w:id="26489019">
              <w:marLeft w:val="0"/>
              <w:marRight w:val="0"/>
              <w:marTop w:val="0"/>
              <w:marBottom w:val="0"/>
              <w:divBdr>
                <w:top w:val="none" w:sz="0" w:space="0" w:color="auto"/>
                <w:left w:val="none" w:sz="0" w:space="0" w:color="auto"/>
                <w:bottom w:val="none" w:sz="0" w:space="0" w:color="auto"/>
                <w:right w:val="none" w:sz="0" w:space="0" w:color="auto"/>
              </w:divBdr>
            </w:div>
            <w:div w:id="9695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5">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12F40-B26F-456F-9D87-55EBDBEC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1521</Words>
  <Characters>867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DIREKTYVOS 2009/12/EB IR LIETUVOS RESPUBLIKOS NACIONALINIŲ TEISĖS AKTŲ PROJEKTŲ ATITIKTIES LENTELĖ</vt:lpstr>
    </vt:vector>
  </TitlesOfParts>
  <Company>SM</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2021-03-24T10:36:00Z</dcterms:created>
  <dc:creator>Lina Smilgyte</dc:creator>
  <cp:lastModifiedBy>Sonata Gendvilaitė</cp:lastModifiedBy>
  <dcterms:modified xsi:type="dcterms:W3CDTF">2021-10-29T10:09:00Z</dcterms:modified>
  <cp:revision>4</cp:revision>
  <dc:title>DIREKTYVOS 2009/12/EB IR LIETUVOS RESPUBLIKOS NACIONALINIŲ TEISĖS AKTŲ PROJEKTŲ ATITIKTIES LENTELĖ</dc:title>
</cp:coreProperties>
</file>