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BE091" w14:textId="77777777" w:rsidR="001258AD" w:rsidRPr="00D64F73" w:rsidRDefault="001258AD" w:rsidP="002A3ED5">
      <w:pPr>
        <w:pStyle w:val="Header"/>
        <w:tabs>
          <w:tab w:val="left" w:pos="1134"/>
        </w:tabs>
        <w:spacing w:line="240" w:lineRule="atLeast"/>
        <w:ind w:firstLine="709"/>
        <w:jc w:val="right"/>
        <w:rPr>
          <w:b/>
          <w:spacing w:val="-4"/>
        </w:rPr>
      </w:pPr>
      <w:r w:rsidRPr="00114508">
        <w:rPr>
          <w:spacing w:val="-4"/>
        </w:rPr>
        <w:t xml:space="preserve">  </w:t>
      </w:r>
      <w:r w:rsidRPr="00D64F73">
        <w:rPr>
          <w:b/>
          <w:spacing w:val="-4"/>
        </w:rPr>
        <w:t>Projektas</w:t>
      </w:r>
    </w:p>
    <w:p w14:paraId="2AF301EE" w14:textId="77777777" w:rsidR="001258AD" w:rsidRPr="00B21C8F"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B21C8F">
        <w:rPr>
          <w:b/>
          <w:bCs/>
          <w:color w:val="000000"/>
          <w:spacing w:val="-4"/>
        </w:rPr>
        <w:t>LIETUVOS RESPUBLIKOS VYRIAUSYBĖS</w:t>
      </w:r>
    </w:p>
    <w:p w14:paraId="479DC67A" w14:textId="77777777" w:rsidR="001258AD" w:rsidRPr="00B21C8F"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B21C8F">
        <w:rPr>
          <w:b/>
          <w:bCs/>
          <w:color w:val="000000"/>
          <w:spacing w:val="-4"/>
        </w:rPr>
        <w:t>PASITARIMO</w:t>
      </w:r>
    </w:p>
    <w:p w14:paraId="0AD406F2" w14:textId="77777777" w:rsidR="001258AD" w:rsidRPr="00B21C8F"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B21C8F">
        <w:rPr>
          <w:b/>
          <w:bCs/>
          <w:color w:val="000000"/>
          <w:spacing w:val="-4"/>
        </w:rPr>
        <w:t>PROTOKOLAS</w:t>
      </w:r>
    </w:p>
    <w:p w14:paraId="031B367A" w14:textId="77777777" w:rsidR="001258AD" w:rsidRPr="007A0DFF" w:rsidRDefault="001258AD" w:rsidP="002A3ED5">
      <w:pPr>
        <w:pStyle w:val="Header"/>
        <w:tabs>
          <w:tab w:val="left" w:pos="1134"/>
        </w:tabs>
        <w:ind w:firstLine="709"/>
        <w:jc w:val="center"/>
        <w:rPr>
          <w:color w:val="000000"/>
          <w:spacing w:val="-4"/>
        </w:rPr>
      </w:pPr>
    </w:p>
    <w:p w14:paraId="4605A183" w14:textId="77777777" w:rsidR="001258AD" w:rsidRPr="00E56240" w:rsidRDefault="001258AD" w:rsidP="002A3ED5">
      <w:pPr>
        <w:pStyle w:val="Header"/>
        <w:tabs>
          <w:tab w:val="left" w:pos="1134"/>
        </w:tabs>
        <w:ind w:firstLine="709"/>
        <w:jc w:val="center"/>
        <w:rPr>
          <w:color w:val="000000"/>
          <w:spacing w:val="-4"/>
        </w:rPr>
      </w:pPr>
    </w:p>
    <w:p w14:paraId="61120B76" w14:textId="30CD7FC8" w:rsidR="001258AD" w:rsidRPr="00E56240" w:rsidRDefault="001258AD" w:rsidP="002A3ED5">
      <w:pPr>
        <w:pStyle w:val="Header"/>
        <w:tabs>
          <w:tab w:val="left" w:pos="1134"/>
        </w:tabs>
        <w:ind w:firstLine="709"/>
        <w:jc w:val="center"/>
        <w:rPr>
          <w:color w:val="000000"/>
          <w:spacing w:val="-4"/>
        </w:rPr>
      </w:pPr>
      <w:r w:rsidRPr="00E56240">
        <w:rPr>
          <w:color w:val="000000"/>
          <w:spacing w:val="-4"/>
        </w:rPr>
        <w:t>20</w:t>
      </w:r>
      <w:r w:rsidR="00B21C8F">
        <w:rPr>
          <w:color w:val="000000"/>
          <w:spacing w:val="-4"/>
          <w:lang w:val="en-US"/>
        </w:rPr>
        <w:t xml:space="preserve">20 </w:t>
      </w:r>
      <w:r w:rsidRPr="00E56240">
        <w:rPr>
          <w:color w:val="000000"/>
          <w:spacing w:val="-4"/>
        </w:rPr>
        <w:t>m.</w:t>
      </w:r>
      <w:r>
        <w:rPr>
          <w:color w:val="000000"/>
          <w:spacing w:val="-4"/>
        </w:rPr>
        <w:t xml:space="preserve">  </w:t>
      </w:r>
      <w:r w:rsidR="00D94335">
        <w:rPr>
          <w:color w:val="000000"/>
          <w:spacing w:val="-4"/>
        </w:rPr>
        <w:t>lapkričio</w:t>
      </w:r>
      <w:r w:rsidRPr="00E56240">
        <w:rPr>
          <w:color w:val="000000"/>
          <w:spacing w:val="-4"/>
        </w:rPr>
        <w:t xml:space="preserve">        d.  Nr. </w:t>
      </w:r>
    </w:p>
    <w:p w14:paraId="0C4E9BCA" w14:textId="77777777" w:rsidR="001258AD" w:rsidRPr="00E56240" w:rsidRDefault="001258AD" w:rsidP="002A3ED5">
      <w:pPr>
        <w:pStyle w:val="Header"/>
        <w:tabs>
          <w:tab w:val="left" w:pos="1134"/>
        </w:tabs>
        <w:ind w:firstLine="709"/>
        <w:jc w:val="center"/>
        <w:rPr>
          <w:color w:val="000000"/>
          <w:spacing w:val="-4"/>
        </w:rPr>
      </w:pPr>
    </w:p>
    <w:p w14:paraId="3EBB59C4" w14:textId="11C16F32" w:rsidR="001258AD" w:rsidRPr="00B47CA5" w:rsidRDefault="001258AD" w:rsidP="00206FE6">
      <w:pPr>
        <w:pStyle w:val="IntenseQuote"/>
        <w:framePr w:w="9635" w:wrap="notBeside"/>
        <w:tabs>
          <w:tab w:val="left" w:pos="1134"/>
        </w:tabs>
        <w:spacing w:before="0" w:after="0"/>
        <w:ind w:left="0" w:right="6"/>
      </w:pPr>
      <w:r w:rsidRPr="00711FA9">
        <w:t xml:space="preserve">Dėl </w:t>
      </w:r>
      <w:r w:rsidR="00755CBC" w:rsidRPr="001D4198">
        <w:rPr>
          <w:color w:val="000000"/>
        </w:rPr>
        <w:t xml:space="preserve">karantino paskelbimo ribojamų veiklų </w:t>
      </w:r>
      <w:r w:rsidR="00755CBC" w:rsidRPr="001D4198">
        <w:t>sąraš</w:t>
      </w:r>
      <w:r w:rsidR="00755CBC">
        <w:t xml:space="preserve">o ir </w:t>
      </w:r>
      <w:r w:rsidR="00206FE6">
        <w:rPr>
          <w:bCs/>
        </w:rPr>
        <w:t>s</w:t>
      </w:r>
      <w:r w:rsidR="00206FE6" w:rsidRPr="00A57FB7">
        <w:rPr>
          <w:bCs/>
        </w:rPr>
        <w:t>ubsidij</w:t>
      </w:r>
      <w:r w:rsidR="00206FE6">
        <w:rPr>
          <w:bCs/>
        </w:rPr>
        <w:t>ų</w:t>
      </w:r>
      <w:r w:rsidR="00206FE6" w:rsidRPr="00A57FB7">
        <w:rPr>
          <w:bCs/>
        </w:rPr>
        <w:t xml:space="preserve"> nuo Covid-19 nukentėjusioms MVĮ</w:t>
      </w:r>
      <w:r w:rsidR="00206FE6">
        <w:t xml:space="preserve"> koncepcijos</w:t>
      </w:r>
    </w:p>
    <w:p w14:paraId="346F95B0" w14:textId="77777777" w:rsidR="001258AD" w:rsidRPr="006443BE" w:rsidRDefault="001258AD" w:rsidP="002A3ED5">
      <w:pPr>
        <w:pStyle w:val="Header"/>
        <w:tabs>
          <w:tab w:val="left" w:pos="1134"/>
        </w:tabs>
        <w:ind w:firstLine="709"/>
        <w:jc w:val="center"/>
        <w:rPr>
          <w:color w:val="000000"/>
          <w:spacing w:val="-4"/>
        </w:rPr>
      </w:pPr>
    </w:p>
    <w:p w14:paraId="37CE407A" w14:textId="40E80A34" w:rsidR="0061308F" w:rsidRDefault="00896E6D" w:rsidP="0061308F">
      <w:pPr>
        <w:numPr>
          <w:ilvl w:val="0"/>
          <w:numId w:val="1"/>
        </w:numPr>
        <w:tabs>
          <w:tab w:val="left" w:pos="810"/>
          <w:tab w:val="left" w:pos="1134"/>
        </w:tabs>
        <w:spacing w:line="360" w:lineRule="auto"/>
        <w:ind w:left="0" w:firstLine="709"/>
        <w:jc w:val="both"/>
        <w:rPr>
          <w:bCs/>
        </w:rPr>
      </w:pPr>
      <w:bookmarkStart w:id="0" w:name="_Hlk524437858"/>
      <w:r>
        <w:rPr>
          <w:bCs/>
        </w:rPr>
        <w:t>Pritarti</w:t>
      </w:r>
      <w:r w:rsidR="001B30FF">
        <w:rPr>
          <w:bCs/>
        </w:rPr>
        <w:t xml:space="preserve"> Ekonomikos ir inovacijų ministerijos pateiktiems</w:t>
      </w:r>
      <w:r w:rsidR="0061308F">
        <w:rPr>
          <w:bCs/>
        </w:rPr>
        <w:t>:</w:t>
      </w:r>
    </w:p>
    <w:p w14:paraId="7E8C635B" w14:textId="72DF7157" w:rsidR="0061308F" w:rsidRPr="001B30FF" w:rsidRDefault="00896E6D" w:rsidP="0061308F">
      <w:pPr>
        <w:pStyle w:val="ListParagraph"/>
        <w:numPr>
          <w:ilvl w:val="1"/>
          <w:numId w:val="1"/>
        </w:numPr>
        <w:tabs>
          <w:tab w:val="left" w:pos="810"/>
          <w:tab w:val="left" w:pos="1134"/>
        </w:tabs>
        <w:spacing w:line="360" w:lineRule="auto"/>
        <w:jc w:val="both"/>
        <w:rPr>
          <w:bCs/>
        </w:rPr>
      </w:pPr>
      <w:r w:rsidRPr="00711FA9">
        <w:t xml:space="preserve">Dėl </w:t>
      </w:r>
      <w:r w:rsidRPr="001D4198">
        <w:rPr>
          <w:color w:val="000000"/>
        </w:rPr>
        <w:t>karantino paskelbimo</w:t>
      </w:r>
      <w:r w:rsidR="007B79ED">
        <w:rPr>
          <w:color w:val="000000"/>
        </w:rPr>
        <w:t xml:space="preserve"> </w:t>
      </w:r>
      <w:r w:rsidR="009571DB">
        <w:rPr>
          <w:color w:val="000000"/>
        </w:rPr>
        <w:t>netiesiogiai</w:t>
      </w:r>
      <w:r w:rsidRPr="001D4198">
        <w:rPr>
          <w:color w:val="000000"/>
        </w:rPr>
        <w:t xml:space="preserve"> ribojamų veiklų </w:t>
      </w:r>
      <w:r w:rsidRPr="001D4198">
        <w:t>sąraš</w:t>
      </w:r>
      <w:r w:rsidR="001B30FF">
        <w:t>ui</w:t>
      </w:r>
      <w:r w:rsidR="001D7EF7">
        <w:t xml:space="preserve"> (pridedama)</w:t>
      </w:r>
      <w:r w:rsidR="001B30FF">
        <w:t>;</w:t>
      </w:r>
    </w:p>
    <w:p w14:paraId="1D124CD6" w14:textId="53B6FB8C" w:rsidR="001B30FF" w:rsidRDefault="001B30FF" w:rsidP="0061308F">
      <w:pPr>
        <w:pStyle w:val="ListParagraph"/>
        <w:numPr>
          <w:ilvl w:val="1"/>
          <w:numId w:val="1"/>
        </w:numPr>
        <w:tabs>
          <w:tab w:val="left" w:pos="810"/>
          <w:tab w:val="left" w:pos="1134"/>
        </w:tabs>
        <w:spacing w:line="360" w:lineRule="auto"/>
        <w:jc w:val="both"/>
        <w:rPr>
          <w:bCs/>
        </w:rPr>
      </w:pPr>
      <w:r>
        <w:rPr>
          <w:bCs/>
        </w:rPr>
        <w:t>S</w:t>
      </w:r>
      <w:r w:rsidRPr="00A57FB7">
        <w:rPr>
          <w:bCs/>
        </w:rPr>
        <w:t>ubsidij</w:t>
      </w:r>
      <w:r>
        <w:rPr>
          <w:bCs/>
        </w:rPr>
        <w:t>ų</w:t>
      </w:r>
      <w:r w:rsidRPr="00A57FB7">
        <w:rPr>
          <w:bCs/>
        </w:rPr>
        <w:t xml:space="preserve"> nuo Covid-19 nukentėjusioms MVĮ</w:t>
      </w:r>
      <w:r>
        <w:t xml:space="preserve"> koncepcijai</w:t>
      </w:r>
      <w:r w:rsidR="001D7EF7">
        <w:t xml:space="preserve"> (pridedama)</w:t>
      </w:r>
      <w:r>
        <w:t>.</w:t>
      </w:r>
    </w:p>
    <w:bookmarkEnd w:id="0"/>
    <w:p w14:paraId="4E6AE81E" w14:textId="28DA6D19" w:rsidR="005F51C0" w:rsidRPr="001B30FF" w:rsidRDefault="005F51C0" w:rsidP="00896E6D">
      <w:pPr>
        <w:tabs>
          <w:tab w:val="left" w:pos="810"/>
          <w:tab w:val="left" w:pos="1134"/>
        </w:tabs>
        <w:spacing w:line="360" w:lineRule="auto"/>
        <w:jc w:val="both"/>
        <w:rPr>
          <w:bCs/>
        </w:rPr>
      </w:pPr>
    </w:p>
    <w:p w14:paraId="765798A4" w14:textId="77777777" w:rsidR="00F3604B" w:rsidRPr="00AC3B9C" w:rsidRDefault="00F3604B" w:rsidP="002A3ED5">
      <w:pPr>
        <w:tabs>
          <w:tab w:val="left" w:pos="567"/>
          <w:tab w:val="left" w:pos="709"/>
          <w:tab w:val="left" w:pos="1134"/>
        </w:tabs>
        <w:spacing w:line="360" w:lineRule="auto"/>
        <w:ind w:firstLine="709"/>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666"/>
        <w:gridCol w:w="2973"/>
      </w:tblGrid>
      <w:tr w:rsidR="001258AD" w:rsidRPr="0073306A" w14:paraId="3E5C8BEE" w14:textId="77777777" w:rsidTr="001258AD">
        <w:trPr>
          <w:tblCellSpacing w:w="15" w:type="dxa"/>
        </w:trPr>
        <w:tc>
          <w:tcPr>
            <w:tcW w:w="3435" w:type="pct"/>
            <w:shd w:val="clear" w:color="auto" w:fill="auto"/>
            <w:vAlign w:val="center"/>
          </w:tcPr>
          <w:p w14:paraId="1987D24D" w14:textId="77777777" w:rsidR="00AC3B9C" w:rsidRDefault="00AC3B9C" w:rsidP="002A3ED5">
            <w:pPr>
              <w:tabs>
                <w:tab w:val="left" w:pos="1134"/>
              </w:tabs>
              <w:spacing w:line="360" w:lineRule="auto"/>
              <w:ind w:firstLine="709"/>
              <w:jc w:val="both"/>
              <w:rPr>
                <w:color w:val="000000"/>
              </w:rPr>
            </w:pPr>
          </w:p>
          <w:p w14:paraId="0A9B9E3B" w14:textId="77777777" w:rsidR="001258AD" w:rsidRPr="0073306A" w:rsidRDefault="001258AD" w:rsidP="002A3ED5">
            <w:pPr>
              <w:tabs>
                <w:tab w:val="left" w:pos="1134"/>
              </w:tabs>
              <w:spacing w:line="360" w:lineRule="auto"/>
              <w:ind w:firstLine="709"/>
              <w:jc w:val="both"/>
              <w:rPr>
                <w:color w:val="000000"/>
              </w:rPr>
            </w:pPr>
            <w:r w:rsidRPr="0073306A">
              <w:rPr>
                <w:color w:val="000000"/>
              </w:rPr>
              <w:t>Ministras Pirmininkas  </w:t>
            </w:r>
          </w:p>
        </w:tc>
        <w:tc>
          <w:tcPr>
            <w:tcW w:w="1519" w:type="pct"/>
            <w:shd w:val="clear" w:color="auto" w:fill="auto"/>
            <w:vAlign w:val="center"/>
          </w:tcPr>
          <w:p w14:paraId="0F11F123" w14:textId="77777777" w:rsidR="001258AD" w:rsidRPr="0073306A" w:rsidRDefault="001258AD" w:rsidP="002A3ED5">
            <w:pPr>
              <w:tabs>
                <w:tab w:val="left" w:pos="1134"/>
              </w:tabs>
              <w:spacing w:line="360" w:lineRule="auto"/>
              <w:ind w:firstLine="709"/>
              <w:jc w:val="both"/>
              <w:rPr>
                <w:color w:val="FF0000"/>
              </w:rPr>
            </w:pPr>
          </w:p>
        </w:tc>
      </w:tr>
    </w:tbl>
    <w:p w14:paraId="7F70F67C" w14:textId="2DDCFAC9" w:rsidR="00485C64" w:rsidRDefault="00485C64" w:rsidP="002A3ED5">
      <w:pPr>
        <w:tabs>
          <w:tab w:val="left" w:pos="1134"/>
        </w:tabs>
        <w:spacing w:line="360" w:lineRule="auto"/>
        <w:ind w:firstLine="709"/>
      </w:pPr>
    </w:p>
    <w:p w14:paraId="118DAB18" w14:textId="02E9626F" w:rsidR="001D7EF7" w:rsidRDefault="001D7EF7" w:rsidP="002A3ED5">
      <w:pPr>
        <w:tabs>
          <w:tab w:val="left" w:pos="1134"/>
        </w:tabs>
        <w:spacing w:line="360" w:lineRule="auto"/>
        <w:ind w:firstLine="709"/>
      </w:pPr>
    </w:p>
    <w:p w14:paraId="4E71DDF7" w14:textId="015D3BEE" w:rsidR="001D7EF7" w:rsidRDefault="001D7EF7" w:rsidP="002A3ED5">
      <w:pPr>
        <w:tabs>
          <w:tab w:val="left" w:pos="1134"/>
        </w:tabs>
        <w:spacing w:line="360" w:lineRule="auto"/>
        <w:ind w:firstLine="709"/>
      </w:pPr>
    </w:p>
    <w:p w14:paraId="70D0D2DA" w14:textId="1635FAA6" w:rsidR="001D7EF7" w:rsidRDefault="001D7EF7" w:rsidP="002A3ED5">
      <w:pPr>
        <w:tabs>
          <w:tab w:val="left" w:pos="1134"/>
        </w:tabs>
        <w:spacing w:line="360" w:lineRule="auto"/>
        <w:ind w:firstLine="709"/>
      </w:pPr>
    </w:p>
    <w:p w14:paraId="2FDD5E4A" w14:textId="5A770842" w:rsidR="001D7EF7" w:rsidRDefault="001D7EF7" w:rsidP="002A3ED5">
      <w:pPr>
        <w:tabs>
          <w:tab w:val="left" w:pos="1134"/>
        </w:tabs>
        <w:spacing w:line="360" w:lineRule="auto"/>
        <w:ind w:firstLine="709"/>
      </w:pPr>
    </w:p>
    <w:p w14:paraId="2384C1D7" w14:textId="370D243B" w:rsidR="001D7EF7" w:rsidRDefault="001D7EF7" w:rsidP="002A3ED5">
      <w:pPr>
        <w:tabs>
          <w:tab w:val="left" w:pos="1134"/>
        </w:tabs>
        <w:spacing w:line="360" w:lineRule="auto"/>
        <w:ind w:firstLine="709"/>
      </w:pPr>
    </w:p>
    <w:p w14:paraId="0E33BE15" w14:textId="720FEC84" w:rsidR="001D7EF7" w:rsidRDefault="001D7EF7" w:rsidP="002A3ED5">
      <w:pPr>
        <w:tabs>
          <w:tab w:val="left" w:pos="1134"/>
        </w:tabs>
        <w:spacing w:line="360" w:lineRule="auto"/>
        <w:ind w:firstLine="709"/>
      </w:pPr>
    </w:p>
    <w:p w14:paraId="67F16954" w14:textId="3362B294" w:rsidR="001D7EF7" w:rsidRDefault="001D7EF7" w:rsidP="002A3ED5">
      <w:pPr>
        <w:tabs>
          <w:tab w:val="left" w:pos="1134"/>
        </w:tabs>
        <w:spacing w:line="360" w:lineRule="auto"/>
        <w:ind w:firstLine="709"/>
      </w:pPr>
    </w:p>
    <w:p w14:paraId="6C69A34A" w14:textId="2BAA51AF" w:rsidR="001D7EF7" w:rsidRDefault="001D7EF7" w:rsidP="002A3ED5">
      <w:pPr>
        <w:tabs>
          <w:tab w:val="left" w:pos="1134"/>
        </w:tabs>
        <w:spacing w:line="360" w:lineRule="auto"/>
        <w:ind w:firstLine="709"/>
      </w:pPr>
    </w:p>
    <w:p w14:paraId="400C6D88" w14:textId="37D2D4C5" w:rsidR="001D7EF7" w:rsidRDefault="001D7EF7" w:rsidP="002A3ED5">
      <w:pPr>
        <w:tabs>
          <w:tab w:val="left" w:pos="1134"/>
        </w:tabs>
        <w:spacing w:line="360" w:lineRule="auto"/>
        <w:ind w:firstLine="709"/>
      </w:pPr>
    </w:p>
    <w:p w14:paraId="2E3965A8" w14:textId="6AFD9A92" w:rsidR="001D7EF7" w:rsidRDefault="001D7EF7" w:rsidP="002A3ED5">
      <w:pPr>
        <w:tabs>
          <w:tab w:val="left" w:pos="1134"/>
        </w:tabs>
        <w:spacing w:line="360" w:lineRule="auto"/>
        <w:ind w:firstLine="709"/>
      </w:pPr>
    </w:p>
    <w:p w14:paraId="1E1FCA41" w14:textId="449ED2CA" w:rsidR="001D7EF7" w:rsidRDefault="001D7EF7" w:rsidP="002A3ED5">
      <w:pPr>
        <w:tabs>
          <w:tab w:val="left" w:pos="1134"/>
        </w:tabs>
        <w:spacing w:line="360" w:lineRule="auto"/>
        <w:ind w:firstLine="709"/>
      </w:pPr>
    </w:p>
    <w:p w14:paraId="1C096B8C" w14:textId="306F9D5F" w:rsidR="001D7EF7" w:rsidRDefault="001D7EF7" w:rsidP="002A3ED5">
      <w:pPr>
        <w:tabs>
          <w:tab w:val="left" w:pos="1134"/>
        </w:tabs>
        <w:spacing w:line="360" w:lineRule="auto"/>
        <w:ind w:firstLine="709"/>
      </w:pPr>
    </w:p>
    <w:p w14:paraId="44F5123D" w14:textId="08C98801" w:rsidR="001D7EF7" w:rsidRDefault="001D7EF7" w:rsidP="002A3ED5">
      <w:pPr>
        <w:tabs>
          <w:tab w:val="left" w:pos="1134"/>
        </w:tabs>
        <w:spacing w:line="360" w:lineRule="auto"/>
        <w:ind w:firstLine="709"/>
      </w:pPr>
    </w:p>
    <w:p w14:paraId="367339AC" w14:textId="7D7854DF" w:rsidR="001D7EF7" w:rsidRDefault="001D7EF7" w:rsidP="002A3ED5">
      <w:pPr>
        <w:tabs>
          <w:tab w:val="left" w:pos="1134"/>
        </w:tabs>
        <w:spacing w:line="360" w:lineRule="auto"/>
        <w:ind w:firstLine="709"/>
      </w:pPr>
    </w:p>
    <w:p w14:paraId="0C5CE39B" w14:textId="629456B2" w:rsidR="001D7EF7" w:rsidRDefault="001D7EF7" w:rsidP="002A3ED5">
      <w:pPr>
        <w:tabs>
          <w:tab w:val="left" w:pos="1134"/>
        </w:tabs>
        <w:spacing w:line="360" w:lineRule="auto"/>
        <w:ind w:firstLine="709"/>
      </w:pPr>
    </w:p>
    <w:p w14:paraId="6FCEDD01" w14:textId="6E01503E" w:rsidR="001D7EF7" w:rsidRDefault="001D7EF7" w:rsidP="002A3ED5">
      <w:pPr>
        <w:tabs>
          <w:tab w:val="left" w:pos="1134"/>
        </w:tabs>
        <w:spacing w:line="360" w:lineRule="auto"/>
        <w:ind w:firstLine="709"/>
      </w:pPr>
    </w:p>
    <w:p w14:paraId="4370557B" w14:textId="478C2C5F" w:rsidR="001D7EF7" w:rsidRDefault="001D7EF7" w:rsidP="002A3ED5">
      <w:pPr>
        <w:tabs>
          <w:tab w:val="left" w:pos="1134"/>
        </w:tabs>
        <w:spacing w:line="360" w:lineRule="auto"/>
        <w:ind w:firstLine="709"/>
      </w:pPr>
    </w:p>
    <w:p w14:paraId="678F066F" w14:textId="74F6CCED" w:rsidR="001D7EF7" w:rsidRDefault="001D7EF7" w:rsidP="002A3ED5">
      <w:pPr>
        <w:tabs>
          <w:tab w:val="left" w:pos="1134"/>
        </w:tabs>
        <w:spacing w:line="360" w:lineRule="auto"/>
        <w:ind w:firstLine="709"/>
      </w:pPr>
    </w:p>
    <w:p w14:paraId="3C3992D1" w14:textId="2F6D46A1" w:rsidR="001D7EF7" w:rsidRPr="003C22A7" w:rsidRDefault="001D7EF7" w:rsidP="001D7EF7">
      <w:pPr>
        <w:ind w:left="4820"/>
        <w:rPr>
          <w:b/>
          <w:bCs/>
          <w:caps/>
          <w:sz w:val="22"/>
          <w:szCs w:val="22"/>
          <w:lang w:val="en-US"/>
        </w:rPr>
      </w:pPr>
      <w:r>
        <w:rPr>
          <w:lang w:eastAsia="ar-SA"/>
        </w:rPr>
        <w:lastRenderedPageBreak/>
        <w:t>Lietuvos Respublikos Vyriausybės</w:t>
      </w:r>
      <w:r>
        <w:rPr>
          <w:lang w:eastAsia="ar-SA"/>
        </w:rPr>
        <w:br/>
      </w:r>
      <w:r>
        <w:t xml:space="preserve">2020 m. </w:t>
      </w:r>
      <w:r w:rsidR="00FF75E3">
        <w:t xml:space="preserve">lapkričio          </w:t>
      </w:r>
      <w:r>
        <w:t xml:space="preserve"> d. pasitarimo sprendimo</w:t>
      </w:r>
      <w:r>
        <w:br/>
        <w:t>(protokolo Nr.</w:t>
      </w:r>
      <w:r w:rsidR="00FF75E3">
        <w:t xml:space="preserve">     </w:t>
      </w:r>
      <w:r>
        <w:t>,</w:t>
      </w:r>
      <w:r w:rsidR="00FF75E3">
        <w:t xml:space="preserve">      </w:t>
      </w:r>
      <w:r>
        <w:t xml:space="preserve"> klausimas)</w:t>
      </w:r>
      <w:r>
        <w:br/>
        <w:t>priedas</w:t>
      </w:r>
      <w:r w:rsidR="003C22A7">
        <w:t xml:space="preserve"> </w:t>
      </w:r>
      <w:r w:rsidR="003C22A7">
        <w:rPr>
          <w:lang w:val="en-US"/>
        </w:rPr>
        <w:t>1</w:t>
      </w:r>
    </w:p>
    <w:p w14:paraId="3B20A2EC" w14:textId="1FEC5E52" w:rsidR="001D7EF7" w:rsidRDefault="001D7EF7" w:rsidP="002A3ED5">
      <w:pPr>
        <w:tabs>
          <w:tab w:val="left" w:pos="1134"/>
        </w:tabs>
        <w:spacing w:line="360" w:lineRule="auto"/>
        <w:ind w:firstLine="709"/>
      </w:pPr>
    </w:p>
    <w:p w14:paraId="49EB3240" w14:textId="5B73767C" w:rsidR="00FF75E3" w:rsidRDefault="004008D5" w:rsidP="00BF43C3">
      <w:pPr>
        <w:tabs>
          <w:tab w:val="left" w:pos="1134"/>
        </w:tabs>
        <w:spacing w:line="360" w:lineRule="auto"/>
        <w:ind w:firstLine="709"/>
        <w:jc w:val="center"/>
        <w:rPr>
          <w:b/>
          <w:bCs/>
        </w:rPr>
      </w:pPr>
      <w:r>
        <w:rPr>
          <w:b/>
          <w:bCs/>
        </w:rPr>
        <w:t>DĖL KARANTINO PASKELBIMO</w:t>
      </w:r>
      <w:r w:rsidR="00BF43C3">
        <w:rPr>
          <w:b/>
          <w:bCs/>
        </w:rPr>
        <w:t xml:space="preserve"> NETIESIOGIAI</w:t>
      </w:r>
      <w:r>
        <w:rPr>
          <w:b/>
          <w:bCs/>
        </w:rPr>
        <w:t xml:space="preserve"> RIBOJAMŲ ŪKINIŲ VEIKLŲ SĄRAŠAS</w:t>
      </w:r>
    </w:p>
    <w:p w14:paraId="31AC4AC5" w14:textId="39BD2D8D" w:rsidR="004008D5" w:rsidRDefault="004008D5" w:rsidP="002A3ED5">
      <w:pPr>
        <w:tabs>
          <w:tab w:val="left" w:pos="1134"/>
        </w:tabs>
        <w:spacing w:line="360" w:lineRule="auto"/>
        <w:ind w:firstLine="709"/>
        <w:rPr>
          <w:b/>
          <w:bCs/>
        </w:rPr>
      </w:pPr>
    </w:p>
    <w:tbl>
      <w:tblPr>
        <w:tblW w:w="9634" w:type="dxa"/>
        <w:tblCellMar>
          <w:left w:w="10" w:type="dxa"/>
          <w:right w:w="10" w:type="dxa"/>
        </w:tblCellMar>
        <w:tblLook w:val="0000" w:firstRow="0" w:lastRow="0" w:firstColumn="0" w:lastColumn="0" w:noHBand="0" w:noVBand="0"/>
      </w:tblPr>
      <w:tblGrid>
        <w:gridCol w:w="1817"/>
        <w:gridCol w:w="7817"/>
      </w:tblGrid>
      <w:tr w:rsidR="00BE0E2F" w14:paraId="48AFEE08" w14:textId="77777777" w:rsidTr="001606E4">
        <w:trPr>
          <w:trHeight w:val="499"/>
        </w:trPr>
        <w:tc>
          <w:tcPr>
            <w:tcW w:w="1817"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bottom"/>
          </w:tcPr>
          <w:p w14:paraId="02B59DCE" w14:textId="77777777" w:rsidR="00BE0E2F" w:rsidRDefault="00BE0E2F" w:rsidP="001606E4">
            <w:bookmarkStart w:id="1" w:name="_Hlk56875832"/>
            <w:r>
              <w:rPr>
                <w:b/>
                <w:bCs/>
                <w:color w:val="000000"/>
              </w:rPr>
              <w:t>Ekonominės veiklos rūšių klasifikatoriaus kodas</w:t>
            </w:r>
          </w:p>
        </w:tc>
        <w:tc>
          <w:tcPr>
            <w:tcW w:w="7817" w:type="dxa"/>
            <w:tcBorders>
              <w:top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bottom"/>
          </w:tcPr>
          <w:p w14:paraId="0C7391E0" w14:textId="77777777" w:rsidR="00BE0E2F" w:rsidRDefault="00BE0E2F" w:rsidP="001606E4">
            <w:r>
              <w:rPr>
                <w:b/>
                <w:bCs/>
                <w:color w:val="000000"/>
              </w:rPr>
              <w:t>Ūkinė veikla</w:t>
            </w:r>
          </w:p>
        </w:tc>
      </w:tr>
      <w:tr w:rsidR="00BE0E2F" w14:paraId="6F9F4F92" w14:textId="77777777" w:rsidTr="009D3A55">
        <w:trPr>
          <w:trHeight w:val="300"/>
        </w:trPr>
        <w:tc>
          <w:tcPr>
            <w:tcW w:w="1817" w:type="dxa"/>
            <w:tcBorders>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8F36B4F" w14:textId="77777777" w:rsidR="00BE0E2F" w:rsidRPr="009D3A55" w:rsidRDefault="00BE0E2F" w:rsidP="001606E4">
            <w:pPr>
              <w:rPr>
                <w:color w:val="000000"/>
              </w:rPr>
            </w:pPr>
            <w:r w:rsidRPr="009D3A55">
              <w:rPr>
                <w:color w:val="000000"/>
              </w:rPr>
              <w:t>52.23</w:t>
            </w:r>
          </w:p>
        </w:tc>
        <w:tc>
          <w:tcPr>
            <w:tcW w:w="7817" w:type="dxa"/>
            <w:tcBorders>
              <w:bottom w:val="single" w:sz="4" w:space="0" w:color="808080"/>
              <w:right w:val="single" w:sz="4" w:space="0" w:color="808080"/>
            </w:tcBorders>
            <w:shd w:val="clear" w:color="auto" w:fill="auto"/>
            <w:tcMar>
              <w:top w:w="0" w:type="dxa"/>
              <w:left w:w="108" w:type="dxa"/>
              <w:bottom w:w="0" w:type="dxa"/>
              <w:right w:w="108" w:type="dxa"/>
            </w:tcMar>
          </w:tcPr>
          <w:p w14:paraId="3D689169" w14:textId="77777777" w:rsidR="00BE0E2F" w:rsidRPr="009D3A55" w:rsidRDefault="00BE0E2F" w:rsidP="001606E4">
            <w:pPr>
              <w:rPr>
                <w:color w:val="000000"/>
              </w:rPr>
            </w:pPr>
            <w:r w:rsidRPr="009D3A55">
              <w:rPr>
                <w:color w:val="000000"/>
              </w:rPr>
              <w:t>Oro transportui būdingų paslaugų veikla</w:t>
            </w:r>
          </w:p>
        </w:tc>
      </w:tr>
      <w:tr w:rsidR="00BE0E2F" w14:paraId="16D93371" w14:textId="77777777" w:rsidTr="009D3A55">
        <w:trPr>
          <w:trHeight w:val="499"/>
        </w:trPr>
        <w:tc>
          <w:tcPr>
            <w:tcW w:w="1817" w:type="dxa"/>
            <w:tcBorders>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4C270F9" w14:textId="77777777" w:rsidR="00BE0E2F" w:rsidRPr="009D3A55" w:rsidRDefault="00BE0E2F" w:rsidP="001606E4">
            <w:pPr>
              <w:rPr>
                <w:color w:val="000000"/>
              </w:rPr>
            </w:pPr>
            <w:r w:rsidRPr="009D3A55">
              <w:rPr>
                <w:color w:val="000000"/>
              </w:rPr>
              <w:t>59.11</w:t>
            </w:r>
          </w:p>
        </w:tc>
        <w:tc>
          <w:tcPr>
            <w:tcW w:w="7817" w:type="dxa"/>
            <w:tcBorders>
              <w:bottom w:val="single" w:sz="4" w:space="0" w:color="808080"/>
              <w:right w:val="single" w:sz="4" w:space="0" w:color="808080"/>
            </w:tcBorders>
            <w:shd w:val="clear" w:color="auto" w:fill="auto"/>
            <w:tcMar>
              <w:top w:w="0" w:type="dxa"/>
              <w:left w:w="108" w:type="dxa"/>
              <w:bottom w:w="0" w:type="dxa"/>
              <w:right w:w="108" w:type="dxa"/>
            </w:tcMar>
          </w:tcPr>
          <w:p w14:paraId="4274D341" w14:textId="77777777" w:rsidR="00BE0E2F" w:rsidRPr="009D3A55" w:rsidRDefault="00BE0E2F" w:rsidP="001606E4">
            <w:pPr>
              <w:rPr>
                <w:color w:val="000000"/>
              </w:rPr>
            </w:pPr>
            <w:r w:rsidRPr="009D3A55">
              <w:rPr>
                <w:color w:val="000000"/>
              </w:rPr>
              <w:t>Kino filmų, vaizdo filmų ir televizijos programų gamyba</w:t>
            </w:r>
          </w:p>
        </w:tc>
      </w:tr>
      <w:tr w:rsidR="00BE0E2F" w14:paraId="53208797" w14:textId="77777777" w:rsidTr="009D3A55">
        <w:trPr>
          <w:trHeight w:val="499"/>
        </w:trPr>
        <w:tc>
          <w:tcPr>
            <w:tcW w:w="1817" w:type="dxa"/>
            <w:tcBorders>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E75BAB1" w14:textId="77777777" w:rsidR="00BE0E2F" w:rsidRPr="009D3A55" w:rsidRDefault="00BE0E2F" w:rsidP="001606E4">
            <w:pPr>
              <w:rPr>
                <w:color w:val="000000"/>
              </w:rPr>
            </w:pPr>
            <w:r w:rsidRPr="009D3A55">
              <w:rPr>
                <w:color w:val="000000"/>
              </w:rPr>
              <w:t>77.29.10</w:t>
            </w:r>
          </w:p>
        </w:tc>
        <w:tc>
          <w:tcPr>
            <w:tcW w:w="7817" w:type="dxa"/>
            <w:tcBorders>
              <w:bottom w:val="single" w:sz="4" w:space="0" w:color="808080"/>
              <w:right w:val="single" w:sz="4" w:space="0" w:color="808080"/>
            </w:tcBorders>
            <w:shd w:val="clear" w:color="auto" w:fill="auto"/>
            <w:tcMar>
              <w:top w:w="0" w:type="dxa"/>
              <w:left w:w="108" w:type="dxa"/>
              <w:bottom w:w="0" w:type="dxa"/>
              <w:right w:w="108" w:type="dxa"/>
            </w:tcMar>
          </w:tcPr>
          <w:p w14:paraId="058825D8" w14:textId="77777777" w:rsidR="00BE0E2F" w:rsidRPr="009D3A55" w:rsidRDefault="00BE0E2F" w:rsidP="001606E4">
            <w:pPr>
              <w:rPr>
                <w:color w:val="000000"/>
              </w:rPr>
            </w:pPr>
            <w:r w:rsidRPr="009D3A55">
              <w:rPr>
                <w:color w:val="000000"/>
              </w:rPr>
              <w:t>Tekstilės dirbinių, drabužių ir avalynės nuoma</w:t>
            </w:r>
          </w:p>
        </w:tc>
      </w:tr>
      <w:tr w:rsidR="00BE0E2F" w14:paraId="3F4A3894" w14:textId="77777777" w:rsidTr="009D3A55">
        <w:trPr>
          <w:trHeight w:val="300"/>
        </w:trPr>
        <w:tc>
          <w:tcPr>
            <w:tcW w:w="1817" w:type="dxa"/>
            <w:tcBorders>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EEA0D90" w14:textId="77777777" w:rsidR="00BE0E2F" w:rsidRPr="009D3A55" w:rsidRDefault="00BE0E2F" w:rsidP="001606E4">
            <w:pPr>
              <w:rPr>
                <w:color w:val="000000"/>
              </w:rPr>
            </w:pPr>
            <w:r w:rsidRPr="009D3A55">
              <w:rPr>
                <w:color w:val="000000"/>
              </w:rPr>
              <w:t>86</w:t>
            </w:r>
          </w:p>
        </w:tc>
        <w:tc>
          <w:tcPr>
            <w:tcW w:w="7817" w:type="dxa"/>
            <w:tcBorders>
              <w:bottom w:val="single" w:sz="4" w:space="0" w:color="808080"/>
              <w:right w:val="single" w:sz="4" w:space="0" w:color="808080"/>
            </w:tcBorders>
            <w:shd w:val="clear" w:color="auto" w:fill="auto"/>
            <w:tcMar>
              <w:top w:w="0" w:type="dxa"/>
              <w:left w:w="108" w:type="dxa"/>
              <w:bottom w:w="0" w:type="dxa"/>
              <w:right w:w="108" w:type="dxa"/>
            </w:tcMar>
          </w:tcPr>
          <w:p w14:paraId="74175CA6" w14:textId="77777777" w:rsidR="00BE0E2F" w:rsidRPr="009D3A55" w:rsidRDefault="00BE0E2F" w:rsidP="001606E4">
            <w:pPr>
              <w:rPr>
                <w:color w:val="000000"/>
              </w:rPr>
            </w:pPr>
            <w:r w:rsidRPr="009D3A55">
              <w:rPr>
                <w:color w:val="000000"/>
              </w:rPr>
              <w:t>Žmonių sveikatos priežiūros veikla</w:t>
            </w:r>
          </w:p>
        </w:tc>
      </w:tr>
      <w:tr w:rsidR="00BE0E2F" w14:paraId="46875E18" w14:textId="77777777" w:rsidTr="009D3A55">
        <w:trPr>
          <w:trHeight w:val="300"/>
        </w:trPr>
        <w:tc>
          <w:tcPr>
            <w:tcW w:w="1817" w:type="dxa"/>
            <w:tcBorders>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D694B60" w14:textId="77777777" w:rsidR="00BE0E2F" w:rsidRPr="009D3A55" w:rsidRDefault="00BE0E2F" w:rsidP="001606E4">
            <w:pPr>
              <w:rPr>
                <w:color w:val="000000"/>
              </w:rPr>
            </w:pPr>
            <w:bookmarkStart w:id="2" w:name="_Hlk56807087"/>
            <w:r w:rsidRPr="009D3A55">
              <w:rPr>
                <w:color w:val="000000"/>
              </w:rPr>
              <w:t>87</w:t>
            </w:r>
          </w:p>
        </w:tc>
        <w:tc>
          <w:tcPr>
            <w:tcW w:w="7817" w:type="dxa"/>
            <w:tcBorders>
              <w:bottom w:val="single" w:sz="4" w:space="0" w:color="808080"/>
              <w:right w:val="single" w:sz="4" w:space="0" w:color="808080"/>
            </w:tcBorders>
            <w:shd w:val="clear" w:color="auto" w:fill="auto"/>
            <w:tcMar>
              <w:top w:w="0" w:type="dxa"/>
              <w:left w:w="108" w:type="dxa"/>
              <w:bottom w:w="0" w:type="dxa"/>
              <w:right w:w="108" w:type="dxa"/>
            </w:tcMar>
          </w:tcPr>
          <w:p w14:paraId="6B7D71E5" w14:textId="77777777" w:rsidR="00BE0E2F" w:rsidRPr="009D3A55" w:rsidRDefault="00BE0E2F" w:rsidP="001606E4">
            <w:pPr>
              <w:rPr>
                <w:color w:val="000000"/>
              </w:rPr>
            </w:pPr>
            <w:r w:rsidRPr="009D3A55">
              <w:rPr>
                <w:color w:val="000000"/>
              </w:rPr>
              <w:t>Kita stacionarinė globos veikla</w:t>
            </w:r>
          </w:p>
        </w:tc>
      </w:tr>
      <w:bookmarkEnd w:id="2"/>
      <w:tr w:rsidR="00BE0E2F" w14:paraId="62E524A7" w14:textId="77777777" w:rsidTr="009D3A55">
        <w:trPr>
          <w:trHeight w:val="300"/>
        </w:trPr>
        <w:tc>
          <w:tcPr>
            <w:tcW w:w="1817" w:type="dxa"/>
            <w:tcBorders>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2319AF4" w14:textId="77777777" w:rsidR="00BE0E2F" w:rsidRPr="009D3A55" w:rsidRDefault="00BE0E2F" w:rsidP="001606E4">
            <w:pPr>
              <w:rPr>
                <w:color w:val="000000"/>
              </w:rPr>
            </w:pPr>
            <w:r w:rsidRPr="009D3A55">
              <w:rPr>
                <w:color w:val="000000"/>
              </w:rPr>
              <w:t>88</w:t>
            </w:r>
          </w:p>
        </w:tc>
        <w:tc>
          <w:tcPr>
            <w:tcW w:w="7817" w:type="dxa"/>
            <w:tcBorders>
              <w:bottom w:val="single" w:sz="4" w:space="0" w:color="808080"/>
              <w:right w:val="single" w:sz="4" w:space="0" w:color="808080"/>
            </w:tcBorders>
            <w:shd w:val="clear" w:color="auto" w:fill="auto"/>
            <w:tcMar>
              <w:top w:w="0" w:type="dxa"/>
              <w:left w:w="108" w:type="dxa"/>
              <w:bottom w:w="0" w:type="dxa"/>
              <w:right w:w="108" w:type="dxa"/>
            </w:tcMar>
          </w:tcPr>
          <w:p w14:paraId="5412737B" w14:textId="77777777" w:rsidR="00BE0E2F" w:rsidRPr="009D3A55" w:rsidRDefault="00BE0E2F" w:rsidP="001606E4">
            <w:pPr>
              <w:rPr>
                <w:color w:val="000000"/>
              </w:rPr>
            </w:pPr>
            <w:r w:rsidRPr="009D3A55">
              <w:rPr>
                <w:color w:val="000000"/>
              </w:rPr>
              <w:t>Nesusijusio su apgyvendinimu socialinio darbo veikla</w:t>
            </w:r>
          </w:p>
        </w:tc>
      </w:tr>
      <w:tr w:rsidR="00BE0E2F" w14:paraId="55E50DAB" w14:textId="77777777" w:rsidTr="009D3A55">
        <w:trPr>
          <w:trHeight w:val="300"/>
        </w:trPr>
        <w:tc>
          <w:tcPr>
            <w:tcW w:w="1817" w:type="dxa"/>
            <w:tcBorders>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9EDF739" w14:textId="77777777" w:rsidR="00BE0E2F" w:rsidRPr="009D3A55" w:rsidRDefault="00BE0E2F" w:rsidP="001606E4">
            <w:pPr>
              <w:rPr>
                <w:color w:val="000000"/>
              </w:rPr>
            </w:pPr>
            <w:r w:rsidRPr="009D3A55">
              <w:rPr>
                <w:color w:val="000000"/>
              </w:rPr>
              <w:t>96.02</w:t>
            </w:r>
          </w:p>
        </w:tc>
        <w:tc>
          <w:tcPr>
            <w:tcW w:w="7817" w:type="dxa"/>
            <w:tcBorders>
              <w:bottom w:val="single" w:sz="4" w:space="0" w:color="808080"/>
              <w:right w:val="single" w:sz="4" w:space="0" w:color="808080"/>
            </w:tcBorders>
            <w:shd w:val="clear" w:color="auto" w:fill="auto"/>
            <w:tcMar>
              <w:top w:w="0" w:type="dxa"/>
              <w:left w:w="108" w:type="dxa"/>
              <w:bottom w:w="0" w:type="dxa"/>
              <w:right w:w="108" w:type="dxa"/>
            </w:tcMar>
          </w:tcPr>
          <w:p w14:paraId="39323341" w14:textId="77777777" w:rsidR="00BE0E2F" w:rsidRPr="009D3A55" w:rsidRDefault="00BE0E2F" w:rsidP="001606E4">
            <w:pPr>
              <w:rPr>
                <w:color w:val="000000"/>
              </w:rPr>
            </w:pPr>
            <w:r w:rsidRPr="009D3A55">
              <w:rPr>
                <w:color w:val="000000"/>
              </w:rPr>
              <w:t>Kirpyklų ir kitų grožio salonų veikla</w:t>
            </w:r>
          </w:p>
        </w:tc>
      </w:tr>
      <w:bookmarkEnd w:id="1"/>
    </w:tbl>
    <w:p w14:paraId="298946BA" w14:textId="480D1EFA" w:rsidR="004008D5" w:rsidRDefault="004008D5" w:rsidP="002A3ED5">
      <w:pPr>
        <w:tabs>
          <w:tab w:val="left" w:pos="1134"/>
        </w:tabs>
        <w:spacing w:line="360" w:lineRule="auto"/>
        <w:ind w:firstLine="709"/>
      </w:pPr>
    </w:p>
    <w:p w14:paraId="3A6A2A39" w14:textId="7D62333F" w:rsidR="00BE0E2F" w:rsidRDefault="00BE0E2F" w:rsidP="002A3ED5">
      <w:pPr>
        <w:tabs>
          <w:tab w:val="left" w:pos="1134"/>
        </w:tabs>
        <w:spacing w:line="360" w:lineRule="auto"/>
        <w:ind w:firstLine="709"/>
      </w:pPr>
    </w:p>
    <w:p w14:paraId="3B54FD8F" w14:textId="46903296" w:rsidR="00BE69F7" w:rsidRDefault="00BE69F7" w:rsidP="002A3ED5">
      <w:pPr>
        <w:tabs>
          <w:tab w:val="left" w:pos="1134"/>
        </w:tabs>
        <w:spacing w:line="360" w:lineRule="auto"/>
        <w:ind w:firstLine="709"/>
      </w:pPr>
    </w:p>
    <w:p w14:paraId="24F183F4" w14:textId="605FEADA" w:rsidR="00BE69F7" w:rsidRDefault="00BE69F7" w:rsidP="002A3ED5">
      <w:pPr>
        <w:tabs>
          <w:tab w:val="left" w:pos="1134"/>
        </w:tabs>
        <w:spacing w:line="360" w:lineRule="auto"/>
        <w:ind w:firstLine="709"/>
      </w:pPr>
    </w:p>
    <w:p w14:paraId="5AC18469" w14:textId="4D019A78" w:rsidR="00BE69F7" w:rsidRDefault="00BE69F7" w:rsidP="002A3ED5">
      <w:pPr>
        <w:tabs>
          <w:tab w:val="left" w:pos="1134"/>
        </w:tabs>
        <w:spacing w:line="360" w:lineRule="auto"/>
        <w:ind w:firstLine="709"/>
      </w:pPr>
    </w:p>
    <w:p w14:paraId="518FBDC4" w14:textId="126FEFAF" w:rsidR="00BE69F7" w:rsidRDefault="00BE69F7" w:rsidP="002A3ED5">
      <w:pPr>
        <w:tabs>
          <w:tab w:val="left" w:pos="1134"/>
        </w:tabs>
        <w:spacing w:line="360" w:lineRule="auto"/>
        <w:ind w:firstLine="709"/>
      </w:pPr>
    </w:p>
    <w:p w14:paraId="6B4ABA21" w14:textId="2CD36E9D" w:rsidR="00BE69F7" w:rsidRDefault="00BE69F7" w:rsidP="002A3ED5">
      <w:pPr>
        <w:tabs>
          <w:tab w:val="left" w:pos="1134"/>
        </w:tabs>
        <w:spacing w:line="360" w:lineRule="auto"/>
        <w:ind w:firstLine="709"/>
      </w:pPr>
    </w:p>
    <w:p w14:paraId="15E7AF45" w14:textId="743BB811" w:rsidR="00BE69F7" w:rsidRDefault="00BE69F7" w:rsidP="002A3ED5">
      <w:pPr>
        <w:tabs>
          <w:tab w:val="left" w:pos="1134"/>
        </w:tabs>
        <w:spacing w:line="360" w:lineRule="auto"/>
        <w:ind w:firstLine="709"/>
      </w:pPr>
    </w:p>
    <w:p w14:paraId="294627FE" w14:textId="0378FF2A" w:rsidR="00BE69F7" w:rsidRDefault="00BE69F7" w:rsidP="002A3ED5">
      <w:pPr>
        <w:tabs>
          <w:tab w:val="left" w:pos="1134"/>
        </w:tabs>
        <w:spacing w:line="360" w:lineRule="auto"/>
        <w:ind w:firstLine="709"/>
      </w:pPr>
    </w:p>
    <w:p w14:paraId="53E19119" w14:textId="3FC5A80F" w:rsidR="00BE69F7" w:rsidRDefault="00BE69F7" w:rsidP="002A3ED5">
      <w:pPr>
        <w:tabs>
          <w:tab w:val="left" w:pos="1134"/>
        </w:tabs>
        <w:spacing w:line="360" w:lineRule="auto"/>
        <w:ind w:firstLine="709"/>
      </w:pPr>
    </w:p>
    <w:p w14:paraId="1CCD1813" w14:textId="03215577" w:rsidR="003C29D0" w:rsidRDefault="003C29D0" w:rsidP="002A3ED5">
      <w:pPr>
        <w:tabs>
          <w:tab w:val="left" w:pos="1134"/>
        </w:tabs>
        <w:spacing w:line="360" w:lineRule="auto"/>
        <w:ind w:firstLine="709"/>
      </w:pPr>
    </w:p>
    <w:p w14:paraId="30D8716D" w14:textId="7A84291B" w:rsidR="003C29D0" w:rsidRDefault="003C29D0" w:rsidP="002A3ED5">
      <w:pPr>
        <w:tabs>
          <w:tab w:val="left" w:pos="1134"/>
        </w:tabs>
        <w:spacing w:line="360" w:lineRule="auto"/>
        <w:ind w:firstLine="709"/>
      </w:pPr>
    </w:p>
    <w:p w14:paraId="3B29DEBB" w14:textId="50527164" w:rsidR="003C29D0" w:rsidRDefault="003C29D0" w:rsidP="002A3ED5">
      <w:pPr>
        <w:tabs>
          <w:tab w:val="left" w:pos="1134"/>
        </w:tabs>
        <w:spacing w:line="360" w:lineRule="auto"/>
        <w:ind w:firstLine="709"/>
      </w:pPr>
    </w:p>
    <w:p w14:paraId="05D4F1C8" w14:textId="554C4113" w:rsidR="003C29D0" w:rsidRDefault="003C29D0" w:rsidP="002A3ED5">
      <w:pPr>
        <w:tabs>
          <w:tab w:val="left" w:pos="1134"/>
        </w:tabs>
        <w:spacing w:line="360" w:lineRule="auto"/>
        <w:ind w:firstLine="709"/>
      </w:pPr>
    </w:p>
    <w:p w14:paraId="69695150" w14:textId="08615AFC" w:rsidR="003C29D0" w:rsidRDefault="003C29D0" w:rsidP="002A3ED5">
      <w:pPr>
        <w:tabs>
          <w:tab w:val="left" w:pos="1134"/>
        </w:tabs>
        <w:spacing w:line="360" w:lineRule="auto"/>
        <w:ind w:firstLine="709"/>
      </w:pPr>
    </w:p>
    <w:p w14:paraId="19EC1EC3" w14:textId="1264CE93" w:rsidR="003C29D0" w:rsidRDefault="003C29D0" w:rsidP="002A3ED5">
      <w:pPr>
        <w:tabs>
          <w:tab w:val="left" w:pos="1134"/>
        </w:tabs>
        <w:spacing w:line="360" w:lineRule="auto"/>
        <w:ind w:firstLine="709"/>
      </w:pPr>
    </w:p>
    <w:p w14:paraId="40558590" w14:textId="77777777" w:rsidR="003C29D0" w:rsidRDefault="003C29D0" w:rsidP="002A3ED5">
      <w:pPr>
        <w:tabs>
          <w:tab w:val="left" w:pos="1134"/>
        </w:tabs>
        <w:spacing w:line="360" w:lineRule="auto"/>
        <w:ind w:firstLine="709"/>
      </w:pPr>
    </w:p>
    <w:p w14:paraId="0D746EE7" w14:textId="1F33E25C" w:rsidR="003C22A7" w:rsidRDefault="003C22A7" w:rsidP="00256047"/>
    <w:p w14:paraId="247FB35F" w14:textId="77777777" w:rsidR="00256047" w:rsidRDefault="00256047" w:rsidP="00256047">
      <w:pPr>
        <w:rPr>
          <w:b/>
        </w:rPr>
      </w:pPr>
    </w:p>
    <w:p w14:paraId="09B3ED03" w14:textId="3BE03EE2" w:rsidR="003C22A7" w:rsidRPr="003C22A7" w:rsidRDefault="003C22A7" w:rsidP="003C22A7">
      <w:pPr>
        <w:ind w:left="4820"/>
        <w:rPr>
          <w:b/>
          <w:bCs/>
          <w:caps/>
          <w:sz w:val="22"/>
          <w:szCs w:val="22"/>
          <w:lang w:val="en-US"/>
        </w:rPr>
      </w:pPr>
      <w:r>
        <w:rPr>
          <w:lang w:eastAsia="ar-SA"/>
        </w:rPr>
        <w:lastRenderedPageBreak/>
        <w:t>Lietuvos Respublikos Vyriausybės</w:t>
      </w:r>
      <w:r>
        <w:rPr>
          <w:lang w:eastAsia="ar-SA"/>
        </w:rPr>
        <w:br/>
      </w:r>
      <w:r>
        <w:t>2020 m. lapkričio           d. pasitarimo sprendimo</w:t>
      </w:r>
      <w:r>
        <w:br/>
        <w:t>(protokolo Nr.     ,       klausimas)</w:t>
      </w:r>
      <w:r>
        <w:br/>
        <w:t xml:space="preserve">priedas </w:t>
      </w:r>
      <w:r>
        <w:rPr>
          <w:lang w:val="en-US"/>
        </w:rPr>
        <w:t>2</w:t>
      </w:r>
    </w:p>
    <w:p w14:paraId="16E4B708" w14:textId="77777777" w:rsidR="003C22A7" w:rsidRDefault="003C22A7" w:rsidP="001557BC">
      <w:pPr>
        <w:ind w:left="-993"/>
        <w:jc w:val="center"/>
        <w:rPr>
          <w:b/>
        </w:rPr>
      </w:pPr>
    </w:p>
    <w:p w14:paraId="4ECCA636" w14:textId="57AA61AE" w:rsidR="001557BC" w:rsidRDefault="001557BC" w:rsidP="001557BC">
      <w:pPr>
        <w:ind w:left="-993"/>
        <w:jc w:val="center"/>
        <w:rPr>
          <w:b/>
        </w:rPr>
      </w:pPr>
      <w:r w:rsidRPr="00F625D0">
        <w:rPr>
          <w:b/>
        </w:rPr>
        <w:t xml:space="preserve">SUBSIDIJOS NUO COVID-19 NUKENTĖJUSIOMS </w:t>
      </w:r>
      <w:r>
        <w:rPr>
          <w:b/>
        </w:rPr>
        <w:t xml:space="preserve">MVĮ </w:t>
      </w:r>
      <w:r w:rsidR="003C22A7">
        <w:rPr>
          <w:b/>
        </w:rPr>
        <w:t>KONCEPCIJA</w:t>
      </w:r>
      <w:r w:rsidR="00A42CD0">
        <w:rPr>
          <w:b/>
        </w:rPr>
        <w:t xml:space="preserve"> </w:t>
      </w:r>
      <w:r w:rsidR="00A42CD0" w:rsidRPr="000B1A0F">
        <w:rPr>
          <w:b/>
        </w:rPr>
        <w:t xml:space="preserve">(IKI </w:t>
      </w:r>
      <w:r w:rsidR="00A42CD0" w:rsidRPr="008B1981">
        <w:rPr>
          <w:b/>
        </w:rPr>
        <w:t>150 MLN. EUR)</w:t>
      </w:r>
    </w:p>
    <w:p w14:paraId="528BA441" w14:textId="77777777" w:rsidR="003C22A7" w:rsidRPr="00F625D0" w:rsidRDefault="003C22A7" w:rsidP="001557BC">
      <w:pPr>
        <w:ind w:left="-993"/>
        <w:jc w:val="center"/>
        <w:rPr>
          <w:b/>
          <w:lang w:val="de-DE"/>
        </w:rPr>
      </w:pPr>
    </w:p>
    <w:p w14:paraId="21F4EB24" w14:textId="77777777" w:rsidR="008C5E0B" w:rsidRPr="00C72427" w:rsidRDefault="008C5E0B" w:rsidP="008C5E0B">
      <w:pPr>
        <w:ind w:left="-992"/>
        <w:jc w:val="both"/>
        <w:rPr>
          <w:b/>
        </w:rPr>
      </w:pPr>
      <w:r w:rsidRPr="00C72427">
        <w:rPr>
          <w:b/>
        </w:rPr>
        <w:t>Subsidijos būtų teikiamos dviem greičiais (skelbiami du kvietimai):</w:t>
      </w:r>
    </w:p>
    <w:p w14:paraId="4BED826B" w14:textId="77777777" w:rsidR="008C5E0B" w:rsidRPr="00907E9B" w:rsidRDefault="008C5E0B" w:rsidP="008C5E0B">
      <w:pPr>
        <w:ind w:left="-992"/>
        <w:jc w:val="both"/>
        <w:rPr>
          <w:b/>
        </w:rPr>
      </w:pPr>
      <w:r w:rsidRPr="00062483">
        <w:t xml:space="preserve">- </w:t>
      </w:r>
      <w:r w:rsidRPr="00C72427">
        <w:rPr>
          <w:b/>
        </w:rPr>
        <w:t>pirmiausiai subsidijas gautų l. mažos ir mažos įmonės, bei naujos įmonės</w:t>
      </w:r>
      <w:r w:rsidRPr="00062483">
        <w:t xml:space="preserve">, nes jų vertinimo procesas paprastesnis ir greitesnis (nereikia tikrinti sąsajų su kitais subjektais, dėl ko pasikeistų jų statusas į vidutines, nereikia vertinti sunkumų patyrimo); tokias įmones subsidijos pasiektų per </w:t>
      </w:r>
      <w:r w:rsidRPr="008C30BF">
        <w:rPr>
          <w:b/>
        </w:rPr>
        <w:t>2 savaites</w:t>
      </w:r>
      <w:r w:rsidRPr="008C30BF">
        <w:t xml:space="preserve"> nuo parai</w:t>
      </w:r>
      <w:r w:rsidRPr="00062483">
        <w:t xml:space="preserve">škos pateikimo. - </w:t>
      </w:r>
      <w:r w:rsidRPr="00C72427">
        <w:rPr>
          <w:b/>
        </w:rPr>
        <w:t>vidutinių ir mažų įmonių, kurios susijusios su kitais subjektais</w:t>
      </w:r>
      <w:r w:rsidRPr="00062483">
        <w:t xml:space="preserve">, atveju vertinimo procesas sudėtingesnis dėl griežtesnių Komunikato reikalavimų (reikia vertinti sunkumų patyrimą), todėl kartu su paraiška įmonės turės pateikti daugiau duomenų. Tikimasi, kad tokias įmones </w:t>
      </w:r>
      <w:r w:rsidRPr="00C72427">
        <w:rPr>
          <w:b/>
        </w:rPr>
        <w:t>subsidijos galėtų pasiekti per mėnesį</w:t>
      </w:r>
      <w:r w:rsidRPr="00062483">
        <w:t xml:space="preserve"> nuo paraiškos pateikimo. Šiai pareiškėjų grupei kvietimas būtų skelbiamas vėliau, nes šiuo metu vertinamos paraiškų teikimo su papildomais failais ir jų apdorojimo techninės galimybės (labai didelis pareiškėjų kiekis, todėl vertinimo procesas turi būti kuo labiau automatizuotas). </w:t>
      </w:r>
    </w:p>
    <w:tbl>
      <w:tblPr>
        <w:tblStyle w:val="TableGrid"/>
        <w:tblW w:w="0" w:type="auto"/>
        <w:tblInd w:w="-885" w:type="dxa"/>
        <w:tblLook w:val="04A0" w:firstRow="1" w:lastRow="0" w:firstColumn="1" w:lastColumn="0" w:noHBand="0" w:noVBand="1"/>
      </w:tblPr>
      <w:tblGrid>
        <w:gridCol w:w="7117"/>
        <w:gridCol w:w="3396"/>
      </w:tblGrid>
      <w:tr w:rsidR="008C5E0B" w:rsidRPr="00907E9B" w14:paraId="722CC7DF" w14:textId="77777777" w:rsidTr="00613427">
        <w:tc>
          <w:tcPr>
            <w:tcW w:w="7117" w:type="dxa"/>
          </w:tcPr>
          <w:p w14:paraId="71B12181" w14:textId="77777777" w:rsidR="008C5E0B" w:rsidRPr="00907E9B" w:rsidRDefault="008C5E0B" w:rsidP="00613427">
            <w:pPr>
              <w:rPr>
                <w:rFonts w:hAnsi="Times New Roman" w:cs="Times New Roman"/>
                <w:b/>
              </w:rPr>
            </w:pPr>
            <w:r w:rsidRPr="00907E9B">
              <w:rPr>
                <w:rFonts w:hAnsi="Times New Roman" w:cs="Times New Roman"/>
                <w:b/>
              </w:rPr>
              <w:t>Priemonės elementai ir jų pagrindimas</w:t>
            </w:r>
          </w:p>
        </w:tc>
        <w:tc>
          <w:tcPr>
            <w:tcW w:w="3396" w:type="dxa"/>
          </w:tcPr>
          <w:p w14:paraId="335F3B83" w14:textId="77777777" w:rsidR="008C5E0B" w:rsidRPr="00907E9B" w:rsidRDefault="008C5E0B" w:rsidP="00613427">
            <w:pPr>
              <w:rPr>
                <w:rFonts w:hAnsi="Times New Roman" w:cs="Times New Roman"/>
                <w:b/>
                <w:bCs/>
              </w:rPr>
            </w:pPr>
            <w:r w:rsidRPr="00907E9B">
              <w:rPr>
                <w:rFonts w:hAnsi="Times New Roman" w:cs="Times New Roman"/>
                <w:b/>
                <w:bCs/>
              </w:rPr>
              <w:t xml:space="preserve">Valstybės biudžeto lėšų suma: </w:t>
            </w:r>
          </w:p>
          <w:p w14:paraId="677AEEEC" w14:textId="77777777" w:rsidR="008C5E0B" w:rsidRPr="00907E9B" w:rsidRDefault="008C5E0B" w:rsidP="00613427">
            <w:pPr>
              <w:rPr>
                <w:rFonts w:hAnsi="Times New Roman" w:cs="Times New Roman"/>
                <w:b/>
              </w:rPr>
            </w:pPr>
            <w:r w:rsidRPr="00907E9B">
              <w:rPr>
                <w:rFonts w:hAnsi="Times New Roman" w:cs="Times New Roman"/>
                <w:b/>
                <w:bCs/>
              </w:rPr>
              <w:t xml:space="preserve">2021 m. </w:t>
            </w:r>
            <w:r w:rsidRPr="000B1A0F">
              <w:rPr>
                <w:rFonts w:hAnsi="Times New Roman" w:cs="Times New Roman"/>
                <w:b/>
              </w:rPr>
              <w:t>(</w:t>
            </w:r>
            <w:r w:rsidRPr="008B1981">
              <w:rPr>
                <w:rFonts w:hAnsi="Times New Roman" w:cs="Times New Roman"/>
                <w:b/>
              </w:rPr>
              <w:t>iki</w:t>
            </w:r>
            <w:r>
              <w:rPr>
                <w:rFonts w:hAnsi="Times New Roman" w:cs="Times New Roman"/>
                <w:b/>
              </w:rPr>
              <w:t xml:space="preserve"> </w:t>
            </w:r>
            <w:r w:rsidRPr="008B1981">
              <w:rPr>
                <w:rFonts w:hAnsi="Times New Roman" w:cs="Times New Roman"/>
                <w:b/>
              </w:rPr>
              <w:t>150 mln. Eur)</w:t>
            </w:r>
          </w:p>
        </w:tc>
      </w:tr>
      <w:tr w:rsidR="008C5E0B" w:rsidRPr="00907E9B" w14:paraId="2C2A108C" w14:textId="77777777" w:rsidTr="00613427">
        <w:trPr>
          <w:trHeight w:val="4738"/>
        </w:trPr>
        <w:tc>
          <w:tcPr>
            <w:tcW w:w="7117" w:type="dxa"/>
          </w:tcPr>
          <w:p w14:paraId="3AFCA4AE" w14:textId="77777777" w:rsidR="008C5E0B" w:rsidRPr="00907E9B" w:rsidRDefault="008C5E0B" w:rsidP="00613427">
            <w:pPr>
              <w:jc w:val="both"/>
              <w:rPr>
                <w:rFonts w:hAnsi="Times New Roman" w:cs="Times New Roman"/>
                <w:b/>
                <w:i/>
              </w:rPr>
            </w:pPr>
            <w:r w:rsidRPr="00907E9B">
              <w:rPr>
                <w:rFonts w:hAnsi="Times New Roman" w:cs="Times New Roman"/>
                <w:b/>
                <w:i/>
              </w:rPr>
              <w:t>Priemonės problematika ir būtinumas</w:t>
            </w:r>
          </w:p>
          <w:p w14:paraId="09468BFE" w14:textId="77777777" w:rsidR="008C5E0B" w:rsidRPr="00907E9B" w:rsidRDefault="008C5E0B" w:rsidP="00613427">
            <w:pPr>
              <w:jc w:val="both"/>
              <w:rPr>
                <w:rFonts w:hAnsi="Times New Roman" w:cs="Times New Roman"/>
              </w:rPr>
            </w:pPr>
            <w:r w:rsidRPr="00907E9B">
              <w:rPr>
                <w:rFonts w:hAnsi="Times New Roman" w:cs="Times New Roman"/>
              </w:rPr>
              <w:t xml:space="preserve">Lietuvos Respublikos teritorijoje 2020 m. lapkričio 4 d. nutarimu Nr. 1226 „Dėl karantino Lietuvos Respublikos teritorijoje paskelbimo“ yra paskelbtas karantinas, dėl kurių yra apribota tam tikra įmonių vykdoma veikla. </w:t>
            </w:r>
          </w:p>
          <w:p w14:paraId="72754E83" w14:textId="77777777" w:rsidR="008C5E0B" w:rsidRPr="00907E9B" w:rsidRDefault="008C5E0B" w:rsidP="00613427">
            <w:pPr>
              <w:jc w:val="both"/>
              <w:rPr>
                <w:rFonts w:hAnsi="Times New Roman" w:cs="Times New Roman"/>
              </w:rPr>
            </w:pPr>
          </w:p>
          <w:p w14:paraId="1951DD1F" w14:textId="77777777" w:rsidR="008C5E0B" w:rsidRPr="00907E9B" w:rsidRDefault="008C5E0B" w:rsidP="00613427">
            <w:pPr>
              <w:jc w:val="both"/>
              <w:rPr>
                <w:rFonts w:hAnsi="Times New Roman" w:cs="Times New Roman"/>
              </w:rPr>
            </w:pPr>
            <w:r w:rsidRPr="00907E9B">
              <w:rPr>
                <w:rFonts w:hAnsi="Times New Roman" w:cs="Times New Roman"/>
              </w:rPr>
              <w:t>Europos Komisija, siekdama įveikti ekstremalią sveikatos situaciją, sukeltą COVID-19 protrūkio, sumažinti galimą neigiamą ribojančių priemonių poveikį vidaus rinkai, 2020 m. balandžio 3 d. patvirtino Europos Komisijos komunikatą Laikinosios valstybės pagalbos priemonių, skirtų ekonomikai remti reaguojant į dabartinį COVID-19 protrūkį, sistemos pakeitimą, kuriuo įtraukė galimas trumpas pagalbos priemones  įmonės likvidumui palaikyti.</w:t>
            </w:r>
          </w:p>
          <w:p w14:paraId="749CA688" w14:textId="77777777" w:rsidR="008C5E0B" w:rsidRPr="00907E9B" w:rsidRDefault="008C5E0B" w:rsidP="00613427">
            <w:pPr>
              <w:spacing w:after="120"/>
              <w:jc w:val="both"/>
              <w:rPr>
                <w:rFonts w:hAnsi="Times New Roman" w:cs="Times New Roman"/>
                <w:highlight w:val="yellow"/>
              </w:rPr>
            </w:pPr>
            <w:r w:rsidRPr="00907E9B">
              <w:rPr>
                <w:rFonts w:hAnsi="Times New Roman" w:cs="Times New Roman"/>
                <w:b/>
                <w:color w:val="000000"/>
              </w:rPr>
              <w:t>Priemonės tikslas – padėti labai mažoms, mažoms ir vidutinėms įmonėms (toliau – MVĮ) įveikti COVID-19 sukeltas neigiamas pasekmes ir išsaugoti įmonės likvidumą.</w:t>
            </w:r>
          </w:p>
        </w:tc>
        <w:tc>
          <w:tcPr>
            <w:tcW w:w="3396" w:type="dxa"/>
            <w:vMerge w:val="restart"/>
          </w:tcPr>
          <w:p w14:paraId="38AD990E" w14:textId="77777777" w:rsidR="008C5E0B" w:rsidRPr="00907E9B" w:rsidRDefault="008C5E0B" w:rsidP="00613427">
            <w:pPr>
              <w:suppressAutoHyphens/>
              <w:autoSpaceDE w:val="0"/>
              <w:autoSpaceDN w:val="0"/>
              <w:adjustRightInd w:val="0"/>
              <w:textAlignment w:val="center"/>
              <w:rPr>
                <w:rFonts w:hAnsi="Times New Roman" w:cs="Times New Roman"/>
                <w:b/>
                <w:color w:val="000000"/>
              </w:rPr>
            </w:pPr>
            <w:r w:rsidRPr="00907E9B">
              <w:rPr>
                <w:rFonts w:hAnsi="Times New Roman" w:cs="Times New Roman"/>
                <w:b/>
                <w:color w:val="000000"/>
              </w:rPr>
              <w:t>Priemonės teisinis pagrindas</w:t>
            </w:r>
          </w:p>
          <w:p w14:paraId="76D58C6B" w14:textId="77777777" w:rsidR="008C5E0B" w:rsidRPr="00907E9B" w:rsidRDefault="008C5E0B" w:rsidP="00613427">
            <w:pPr>
              <w:pStyle w:val="Default"/>
              <w:jc w:val="both"/>
            </w:pPr>
            <w:r w:rsidRPr="00907E9B">
              <w:t xml:space="preserve">2020 m. kovo 19 d. Europos Komisijos komunikatas </w:t>
            </w:r>
            <w:r w:rsidRPr="00907E9B">
              <w:t>„</w:t>
            </w:r>
            <w:r w:rsidRPr="00907E9B">
              <w:t>Laikinoji valstyb</w:t>
            </w:r>
            <w:r w:rsidRPr="00907E9B">
              <w:t>ė</w:t>
            </w:r>
            <w:r w:rsidRPr="00907E9B">
              <w:t>s pagalbos priemoni</w:t>
            </w:r>
            <w:r w:rsidRPr="00907E9B">
              <w:t>ų</w:t>
            </w:r>
            <w:r w:rsidRPr="00907E9B">
              <w:t>, skirt</w:t>
            </w:r>
            <w:r w:rsidRPr="00907E9B">
              <w:t>ų</w:t>
            </w:r>
            <w:r w:rsidRPr="00907E9B">
              <w:t xml:space="preserve"> ekonomikai remti reaguojant </w:t>
            </w:r>
            <w:r w:rsidRPr="00907E9B">
              <w:t>į</w:t>
            </w:r>
            <w:r w:rsidRPr="00907E9B">
              <w:t xml:space="preserve"> dabartin</w:t>
            </w:r>
            <w:r w:rsidRPr="00907E9B">
              <w:t>į</w:t>
            </w:r>
            <w:r w:rsidRPr="00907E9B">
              <w:t xml:space="preserve"> COVID-19 protr</w:t>
            </w:r>
            <w:r w:rsidRPr="00907E9B">
              <w:t>ū</w:t>
            </w:r>
            <w:r w:rsidRPr="00907E9B">
              <w:t>k</w:t>
            </w:r>
            <w:r w:rsidRPr="00907E9B">
              <w:t>į</w:t>
            </w:r>
            <w:r w:rsidRPr="00907E9B">
              <w:t>, sistema</w:t>
            </w:r>
            <w:r w:rsidRPr="00907E9B">
              <w:t>“</w:t>
            </w:r>
            <w:r w:rsidRPr="00907E9B">
              <w:t xml:space="preserve"> su paskutiniais pakeitimais, padarytais 2020 m. spalio 13 d. Europos Komisijos komunikatu (toliau </w:t>
            </w:r>
            <w:r w:rsidRPr="00907E9B">
              <w:t>–</w:t>
            </w:r>
            <w:r w:rsidRPr="00907E9B">
              <w:t xml:space="preserve"> Komunikatas), 3.1</w:t>
            </w:r>
            <w:r>
              <w:t xml:space="preserve"> </w:t>
            </w:r>
            <w:r w:rsidRPr="00907E9B">
              <w:t>skirsnis.</w:t>
            </w:r>
          </w:p>
          <w:p w14:paraId="7978D902" w14:textId="77777777" w:rsidR="008C5E0B" w:rsidRPr="00907E9B" w:rsidRDefault="008C5E0B" w:rsidP="00613427">
            <w:pPr>
              <w:pStyle w:val="Default"/>
              <w:jc w:val="both"/>
              <w:rPr>
                <w:color w:val="auto"/>
              </w:rPr>
            </w:pPr>
            <w:r w:rsidRPr="00907E9B">
              <w:t>Į</w:t>
            </w:r>
            <w:r w:rsidRPr="00907E9B">
              <w:t>monei valstyb</w:t>
            </w:r>
            <w:r w:rsidRPr="00907E9B">
              <w:t>ė</w:t>
            </w:r>
            <w:r w:rsidRPr="00907E9B">
              <w:t>s pagalba bus teikiama pagal parengt</w:t>
            </w:r>
            <w:r w:rsidRPr="00907E9B">
              <w:t>ą</w:t>
            </w:r>
            <w:r w:rsidRPr="00907E9B">
              <w:t xml:space="preserve"> valstyb</w:t>
            </w:r>
            <w:r w:rsidRPr="00907E9B">
              <w:t>ė</w:t>
            </w:r>
            <w:r w:rsidRPr="00907E9B">
              <w:t>s pagalbos schem</w:t>
            </w:r>
            <w:r w:rsidRPr="00907E9B">
              <w:t>ą</w:t>
            </w:r>
            <w:r w:rsidRPr="00907E9B">
              <w:t>, suderint</w:t>
            </w:r>
            <w:r w:rsidRPr="00907E9B">
              <w:t>ą</w:t>
            </w:r>
            <w:r w:rsidRPr="00907E9B">
              <w:t xml:space="preserve"> ir patvirtint</w:t>
            </w:r>
            <w:r w:rsidRPr="00907E9B">
              <w:t>ą</w:t>
            </w:r>
            <w:r w:rsidRPr="00907E9B">
              <w:t xml:space="preserve"> EK sprendimu, vadovaujantis Komunikatu.</w:t>
            </w:r>
          </w:p>
        </w:tc>
      </w:tr>
      <w:tr w:rsidR="008C5E0B" w:rsidRPr="00907E9B" w14:paraId="03BD71EE" w14:textId="77777777" w:rsidTr="00613427">
        <w:trPr>
          <w:trHeight w:val="377"/>
        </w:trPr>
        <w:tc>
          <w:tcPr>
            <w:tcW w:w="7117" w:type="dxa"/>
          </w:tcPr>
          <w:p w14:paraId="64C99736" w14:textId="77777777" w:rsidR="008C5E0B" w:rsidRPr="00907E9B" w:rsidRDefault="008C5E0B" w:rsidP="00613427">
            <w:pPr>
              <w:jc w:val="both"/>
              <w:rPr>
                <w:rFonts w:hAnsi="Times New Roman" w:cs="Times New Roman"/>
                <w:b/>
                <w:bCs/>
                <w:i/>
              </w:rPr>
            </w:pPr>
            <w:r w:rsidRPr="00907E9B">
              <w:rPr>
                <w:rFonts w:hAnsi="Times New Roman" w:cs="Times New Roman"/>
                <w:b/>
                <w:bCs/>
                <w:i/>
              </w:rPr>
              <w:t>Pareiškėjai:</w:t>
            </w:r>
          </w:p>
          <w:p w14:paraId="24BACFFB" w14:textId="77777777" w:rsidR="008C5E0B" w:rsidRPr="00907E9B" w:rsidRDefault="008C5E0B" w:rsidP="008C5E0B">
            <w:pPr>
              <w:pStyle w:val="ListParagraph"/>
              <w:numPr>
                <w:ilvl w:val="0"/>
                <w:numId w:val="13"/>
              </w:numPr>
              <w:tabs>
                <w:tab w:val="left" w:pos="284"/>
              </w:tabs>
              <w:jc w:val="both"/>
              <w:rPr>
                <w:rFonts w:hAnsi="Times New Roman" w:cs="Times New Roman"/>
                <w:b/>
              </w:rPr>
            </w:pPr>
            <w:r w:rsidRPr="00907E9B">
              <w:rPr>
                <w:rFonts w:hAnsi="Times New Roman" w:cs="Times New Roman"/>
                <w:b/>
              </w:rPr>
              <w:t>MVĮ, kurių ūkinės veiklos vidutinė vieno mėnesio apyvarta sumažėjo ne mažiau nei 30 proc.</w:t>
            </w:r>
            <w:r w:rsidRPr="00907E9B">
              <w:rPr>
                <w:rFonts w:hAnsi="Times New Roman" w:cs="Times New Roman"/>
              </w:rPr>
              <w:t xml:space="preserve"> (lyginama 2020-03-01–2020-10-31 laikotarpio apyvarta su 2019 m. atitinkamo laikotarpio vidutine vieno mėnesio apyvarta; remiamasi VMI teikiamoje PVM deklaracijoje (PVM mokėtojų atveju) arba paraiškoje (ne PVM mokėtojų atveju) deklaruotais duomenimis) (taikoma įmonėms, kurios 2019 m. kovo 1 d. iki 2019 m. spalio 31 d. laikotarpiu gavo pajamų). </w:t>
            </w:r>
          </w:p>
          <w:p w14:paraId="2DC99019" w14:textId="77777777" w:rsidR="008C5E0B" w:rsidRPr="00907E9B" w:rsidRDefault="008C5E0B" w:rsidP="008C5E0B">
            <w:pPr>
              <w:pStyle w:val="ListParagraph"/>
              <w:numPr>
                <w:ilvl w:val="0"/>
                <w:numId w:val="13"/>
              </w:numPr>
              <w:tabs>
                <w:tab w:val="left" w:pos="284"/>
              </w:tabs>
              <w:jc w:val="both"/>
              <w:rPr>
                <w:rFonts w:hAnsi="Times New Roman" w:cs="Times New Roman"/>
                <w:b/>
              </w:rPr>
            </w:pPr>
            <w:r w:rsidRPr="00907E9B">
              <w:rPr>
                <w:rFonts w:hAnsi="Times New Roman" w:cs="Times New Roman"/>
                <w:b/>
              </w:rPr>
              <w:t xml:space="preserve">nuo 2019-03-01 iki 2020-03-16 įsteigtos MVĮ, kurių vykdoma ūkinė veikla yra įtraukta į EVRK sąrašą </w:t>
            </w:r>
            <w:r w:rsidRPr="00907E9B">
              <w:rPr>
                <w:rFonts w:hAnsi="Times New Roman" w:cs="Times New Roman"/>
              </w:rPr>
              <w:t>(Dėl karantino paskelbimo ribojamų ūkinių veiklų (EVRK) sąrašas tvirtinamas bendru EIM ir SADM ministrų įsakymu) (taikoma, jeigu MVĮ nuo 2019 m. kovo 1 d. iki 2019 m. spalio 31 d. pajamų negavo).</w:t>
            </w:r>
            <w:r w:rsidRPr="00907E9B">
              <w:rPr>
                <w:rFonts w:hAnsi="Times New Roman" w:cs="Times New Roman"/>
                <w:b/>
              </w:rPr>
              <w:t xml:space="preserve"> </w:t>
            </w:r>
          </w:p>
          <w:p w14:paraId="28A9E69A" w14:textId="77777777" w:rsidR="008C5E0B" w:rsidRPr="00907E9B" w:rsidRDefault="008C5E0B" w:rsidP="00613427">
            <w:pPr>
              <w:pStyle w:val="ListParagraph"/>
              <w:tabs>
                <w:tab w:val="left" w:pos="284"/>
              </w:tabs>
              <w:jc w:val="both"/>
              <w:rPr>
                <w:rFonts w:hAnsi="Times New Roman" w:cs="Times New Roman"/>
                <w:b/>
              </w:rPr>
            </w:pPr>
          </w:p>
          <w:p w14:paraId="19005B6B" w14:textId="77777777" w:rsidR="008C5E0B" w:rsidRPr="00907E9B" w:rsidRDefault="008C5E0B" w:rsidP="00613427">
            <w:pPr>
              <w:tabs>
                <w:tab w:val="left" w:pos="284"/>
              </w:tabs>
              <w:jc w:val="both"/>
              <w:rPr>
                <w:rFonts w:hAnsi="Times New Roman" w:cs="Times New Roman"/>
                <w:b/>
              </w:rPr>
            </w:pPr>
            <w:r w:rsidRPr="00A42CD0">
              <w:rPr>
                <w:rFonts w:hAnsi="Times New Roman" w:cs="Times New Roman"/>
                <w:b/>
              </w:rPr>
              <w:lastRenderedPageBreak/>
              <w:t xml:space="preserve">Siūlome </w:t>
            </w:r>
            <w:r w:rsidRPr="00A42CD0">
              <w:rPr>
                <w:rFonts w:hAnsi="Times New Roman" w:cs="Times New Roman"/>
                <w:b/>
                <w:u w:val="single"/>
              </w:rPr>
              <w:t xml:space="preserve">neteikti subsidijų </w:t>
            </w:r>
            <w:r w:rsidRPr="00A42CD0">
              <w:rPr>
                <w:rFonts w:eastAsia="Times New Roman" w:hAnsi="Times New Roman" w:cs="Times New Roman"/>
                <w:b/>
                <w:szCs w:val="20"/>
                <w:u w:val="single"/>
                <w:lang w:eastAsia="en-US"/>
              </w:rPr>
              <w:t xml:space="preserve">žemės ūkio, žuvininkystės, akvakultūros </w:t>
            </w:r>
            <w:r w:rsidRPr="00A42CD0">
              <w:rPr>
                <w:rFonts w:eastAsia="Times New Roman" w:hAnsi="Times New Roman" w:cs="Times New Roman"/>
                <w:b/>
                <w:szCs w:val="20"/>
                <w:lang w:eastAsia="en-US"/>
              </w:rPr>
              <w:t>sričių MVĮ.</w:t>
            </w:r>
            <w:r w:rsidRPr="00907E9B">
              <w:rPr>
                <w:rFonts w:eastAsia="Times New Roman" w:hAnsi="Times New Roman" w:cs="Times New Roman"/>
                <w:b/>
                <w:szCs w:val="20"/>
                <w:lang w:eastAsia="en-US"/>
              </w:rPr>
              <w:t xml:space="preserve"> </w:t>
            </w:r>
          </w:p>
        </w:tc>
        <w:tc>
          <w:tcPr>
            <w:tcW w:w="3396" w:type="dxa"/>
            <w:vMerge/>
          </w:tcPr>
          <w:p w14:paraId="3DBFD790" w14:textId="77777777" w:rsidR="008C5E0B" w:rsidRPr="00907E9B" w:rsidRDefault="008C5E0B" w:rsidP="00613427">
            <w:pPr>
              <w:rPr>
                <w:rFonts w:hAnsi="Times New Roman" w:cs="Times New Roman"/>
              </w:rPr>
            </w:pPr>
          </w:p>
        </w:tc>
      </w:tr>
      <w:tr w:rsidR="008C5E0B" w:rsidRPr="00907E9B" w14:paraId="78398D1C" w14:textId="77777777" w:rsidTr="00613427">
        <w:tc>
          <w:tcPr>
            <w:tcW w:w="7117" w:type="dxa"/>
          </w:tcPr>
          <w:p w14:paraId="15C856EF" w14:textId="77777777" w:rsidR="008C5E0B" w:rsidRPr="00907E9B" w:rsidRDefault="008C5E0B" w:rsidP="00613427">
            <w:pPr>
              <w:jc w:val="both"/>
              <w:rPr>
                <w:rFonts w:hAnsi="Times New Roman" w:cs="Times New Roman"/>
                <w:b/>
                <w:i/>
              </w:rPr>
            </w:pPr>
            <w:r w:rsidRPr="00907E9B">
              <w:rPr>
                <w:rFonts w:hAnsi="Times New Roman" w:cs="Times New Roman"/>
                <w:b/>
                <w:i/>
              </w:rPr>
              <w:t xml:space="preserve">Remiama veikla: </w:t>
            </w:r>
          </w:p>
          <w:p w14:paraId="41BBCD64" w14:textId="77777777" w:rsidR="008C5E0B" w:rsidRDefault="008C5E0B" w:rsidP="00613427">
            <w:pPr>
              <w:jc w:val="both"/>
              <w:rPr>
                <w:rFonts w:hAnsi="Times New Roman" w:cs="Times New Roman"/>
              </w:rPr>
            </w:pPr>
            <w:r w:rsidRPr="00907E9B">
              <w:rPr>
                <w:rFonts w:hAnsi="Times New Roman" w:cs="Times New Roman"/>
                <w:b/>
              </w:rPr>
              <w:t>MVĮ veiklos skatinimas, skiriant subsidiją apyvartinėms lėšoms (likvidumo išsaugojimui).</w:t>
            </w:r>
            <w:r w:rsidRPr="00907E9B">
              <w:rPr>
                <w:rFonts w:hAnsi="Times New Roman" w:cs="Times New Roman"/>
              </w:rPr>
              <w:t xml:space="preserve"> Skirtos subsidijos MVĮ </w:t>
            </w:r>
            <w:r w:rsidRPr="00907E9B">
              <w:rPr>
                <w:rFonts w:hAnsi="Times New Roman" w:cs="Times New Roman"/>
                <w:b/>
              </w:rPr>
              <w:t>negali naudoti</w:t>
            </w:r>
            <w:r w:rsidRPr="00907E9B">
              <w:rPr>
                <w:rFonts w:hAnsi="Times New Roman" w:cs="Times New Roman"/>
              </w:rPr>
              <w:t xml:space="preserve"> dividendams išsimokėti, kapitalui išmokant lėšas pareiškėjo dalyviams mažinti, savoms akcijoms supirkti ar kitokiems mokėjimams iš kapitalo pareiškėjo dalyviams atlikti, taip pat paskoloms pareiškėjo dalyviams grąžinti arba suteikti.</w:t>
            </w:r>
            <w:r>
              <w:rPr>
                <w:rFonts w:hAnsi="Times New Roman" w:cs="Times New Roman"/>
              </w:rPr>
              <w:t xml:space="preserve"> </w:t>
            </w:r>
          </w:p>
          <w:p w14:paraId="5CC34281" w14:textId="77777777" w:rsidR="008C5E0B" w:rsidRPr="00907E9B" w:rsidRDefault="008C5E0B" w:rsidP="00613427">
            <w:pPr>
              <w:jc w:val="both"/>
              <w:rPr>
                <w:rFonts w:hAnsi="Times New Roman" w:cs="Times New Roman"/>
              </w:rPr>
            </w:pPr>
            <w:r w:rsidRPr="00A42CD0">
              <w:rPr>
                <w:rFonts w:hAnsi="Times New Roman" w:cs="Times New Roman"/>
                <w:b/>
              </w:rPr>
              <w:t>K</w:t>
            </w:r>
            <w:r w:rsidRPr="00A42CD0">
              <w:rPr>
                <w:rFonts w:hAnsi="Times New Roman" w:cs="Times New Roman"/>
                <w:b/>
                <w:shd w:val="clear" w:color="auto" w:fill="FFFFFF" w:themeFill="background1"/>
              </w:rPr>
              <w:t>lausimas</w:t>
            </w:r>
            <w:r w:rsidRPr="00A42CD0">
              <w:rPr>
                <w:rFonts w:hAnsi="Times New Roman" w:cs="Times New Roman"/>
                <w:shd w:val="clear" w:color="auto" w:fill="FFFFFF" w:themeFill="background1"/>
              </w:rPr>
              <w:t>, ar reikalinga nustatyti ribojimą, kad subsidijos negali panaudoti DU, nuomai,</w:t>
            </w:r>
            <w:r>
              <w:rPr>
                <w:rFonts w:hAnsi="Times New Roman" w:cs="Times New Roman"/>
              </w:rPr>
              <w:t xml:space="preserve"> jeigu MVĮ gauna subsidijas už prastovose esančius darbuotojus, nuomos kompensaciją ir kitas pagalbos priemones (likvidumui skirta subsidija taip pat gali būti naudojama šioms išlaidoms dengti). </w:t>
            </w:r>
          </w:p>
        </w:tc>
        <w:tc>
          <w:tcPr>
            <w:tcW w:w="3396" w:type="dxa"/>
            <w:vMerge/>
          </w:tcPr>
          <w:p w14:paraId="49DB2C26" w14:textId="77777777" w:rsidR="008C5E0B" w:rsidRPr="00907E9B" w:rsidRDefault="008C5E0B" w:rsidP="00613427">
            <w:pPr>
              <w:rPr>
                <w:rFonts w:hAnsi="Times New Roman" w:cs="Times New Roman"/>
              </w:rPr>
            </w:pPr>
          </w:p>
        </w:tc>
      </w:tr>
      <w:tr w:rsidR="008C5E0B" w:rsidRPr="00907E9B" w14:paraId="3A2699D6" w14:textId="77777777" w:rsidTr="00613427">
        <w:tc>
          <w:tcPr>
            <w:tcW w:w="7117" w:type="dxa"/>
          </w:tcPr>
          <w:p w14:paraId="52E76D2C" w14:textId="77777777" w:rsidR="008C5E0B" w:rsidRPr="00907E9B" w:rsidRDefault="008C5E0B" w:rsidP="00613427">
            <w:pPr>
              <w:pStyle w:val="Default"/>
              <w:jc w:val="both"/>
              <w:rPr>
                <w:i/>
                <w:color w:val="auto"/>
              </w:rPr>
            </w:pPr>
            <w:r w:rsidRPr="00907E9B">
              <w:rPr>
                <w:b/>
                <w:bCs/>
                <w:i/>
                <w:color w:val="auto"/>
              </w:rPr>
              <w:t>Pagalbos dydis, intensyvumas ir laikotarpis</w:t>
            </w:r>
          </w:p>
          <w:p w14:paraId="13541085" w14:textId="77777777" w:rsidR="008C5E0B" w:rsidRPr="00907E9B" w:rsidRDefault="008C5E0B" w:rsidP="00613427">
            <w:pPr>
              <w:jc w:val="both"/>
              <w:rPr>
                <w:rFonts w:hAnsi="Times New Roman" w:cs="Times New Roman"/>
                <w:b/>
              </w:rPr>
            </w:pPr>
            <w:r w:rsidRPr="00907E9B">
              <w:rPr>
                <w:rFonts w:hAnsi="Times New Roman" w:cs="Times New Roman"/>
                <w:b/>
              </w:rPr>
              <w:t xml:space="preserve">Pagalbos dydis ir intensyvumas: </w:t>
            </w:r>
          </w:p>
          <w:p w14:paraId="1B0A887F" w14:textId="77777777" w:rsidR="008C5E0B" w:rsidRPr="00907E9B" w:rsidRDefault="008C5E0B" w:rsidP="008C5E0B">
            <w:pPr>
              <w:pStyle w:val="ListParagraph"/>
              <w:numPr>
                <w:ilvl w:val="0"/>
                <w:numId w:val="14"/>
              </w:numPr>
              <w:jc w:val="both"/>
              <w:rPr>
                <w:rFonts w:hAnsi="Times New Roman" w:cs="Times New Roman"/>
              </w:rPr>
            </w:pPr>
            <w:r w:rsidRPr="00907E9B">
              <w:rPr>
                <w:rFonts w:hAnsi="Times New Roman" w:cs="Times New Roman"/>
                <w:b/>
              </w:rPr>
              <w:t xml:space="preserve">1 grupei pareiškėjų: </w:t>
            </w:r>
          </w:p>
          <w:p w14:paraId="7E23433B" w14:textId="77777777" w:rsidR="008C5E0B" w:rsidRPr="00907E9B" w:rsidRDefault="008C5E0B" w:rsidP="008C5E0B">
            <w:pPr>
              <w:pStyle w:val="ListParagraph"/>
              <w:numPr>
                <w:ilvl w:val="0"/>
                <w:numId w:val="15"/>
              </w:numPr>
              <w:ind w:left="1042" w:hanging="270"/>
              <w:jc w:val="both"/>
              <w:rPr>
                <w:rFonts w:hAnsi="Times New Roman" w:cs="Times New Roman"/>
              </w:rPr>
            </w:pPr>
            <w:r w:rsidRPr="00907E9B">
              <w:rPr>
                <w:rFonts w:hAnsi="Times New Roman" w:cs="Times New Roman"/>
                <w:b/>
              </w:rPr>
              <w:t>25 proc. nuo sumokėtos/ įskaitytos GPM sumos</w:t>
            </w:r>
            <w:r w:rsidRPr="00907E9B">
              <w:rPr>
                <w:rFonts w:hAnsi="Times New Roman" w:cs="Times New Roman"/>
              </w:rPr>
              <w:t xml:space="preserve"> (visos ar jos dalies), kuri padengė 2019 metų mokestinio laikotarpio GPM prievolę (vertinami mokėjimai/ įskaitymai, atlikti iki 2020 m. sausio 31 d.); </w:t>
            </w:r>
          </w:p>
          <w:p w14:paraId="29D71922" w14:textId="77777777" w:rsidR="008C5E0B" w:rsidRPr="00907E9B" w:rsidRDefault="008C5E0B" w:rsidP="008C5E0B">
            <w:pPr>
              <w:pStyle w:val="ListParagraph"/>
              <w:numPr>
                <w:ilvl w:val="0"/>
                <w:numId w:val="15"/>
              </w:numPr>
              <w:ind w:left="1042" w:hanging="270"/>
              <w:jc w:val="both"/>
              <w:rPr>
                <w:rFonts w:hAnsi="Times New Roman" w:cs="Times New Roman"/>
              </w:rPr>
            </w:pPr>
            <w:r w:rsidRPr="00A42CD0">
              <w:rPr>
                <w:rFonts w:hAnsi="Times New Roman" w:cs="Times New Roman"/>
                <w:b/>
              </w:rPr>
              <w:t xml:space="preserve">mažiausia galima skirti suma </w:t>
            </w:r>
            <w:r w:rsidRPr="00A42CD0">
              <w:rPr>
                <w:rFonts w:hAnsi="Times New Roman" w:cs="Times New Roman"/>
              </w:rPr>
              <w:t xml:space="preserve">– </w:t>
            </w:r>
            <w:r w:rsidRPr="00A42CD0">
              <w:rPr>
                <w:rFonts w:hAnsi="Times New Roman" w:cs="Times New Roman"/>
                <w:b/>
              </w:rPr>
              <w:t>500 Eur</w:t>
            </w:r>
            <w:r w:rsidRPr="00907E9B">
              <w:rPr>
                <w:rFonts w:hAnsi="Times New Roman" w:cs="Times New Roman"/>
                <w:b/>
              </w:rPr>
              <w:t>,</w:t>
            </w:r>
            <w:r w:rsidRPr="00907E9B">
              <w:rPr>
                <w:rFonts w:hAnsi="Times New Roman" w:cs="Times New Roman"/>
              </w:rPr>
              <w:t xml:space="preserve"> jeigu 25 proc. nuo sumokėtos/ įskaitytos GPM sumos būtų mažiau nei 500 Eur (</w:t>
            </w:r>
            <w:r w:rsidRPr="00907E9B">
              <w:rPr>
                <w:rFonts w:hAnsi="Times New Roman" w:cs="Times New Roman"/>
                <w:b/>
              </w:rPr>
              <w:t>papildomai reiktų 2,5 mln. Eur</w:t>
            </w:r>
            <w:r w:rsidRPr="00907E9B">
              <w:rPr>
                <w:rFonts w:hAnsi="Times New Roman" w:cs="Times New Roman"/>
              </w:rPr>
              <w:t>, tačiau taip užtikrinama</w:t>
            </w:r>
            <w:r>
              <w:rPr>
                <w:rFonts w:hAnsi="Times New Roman" w:cs="Times New Roman"/>
              </w:rPr>
              <w:t>s</w:t>
            </w:r>
            <w:r w:rsidRPr="00907E9B">
              <w:rPr>
                <w:rFonts w:hAnsi="Times New Roman" w:cs="Times New Roman"/>
              </w:rPr>
              <w:t xml:space="preserve"> lygiateisiškumas su „naujokais“ (2 grupė pareiškėjų). </w:t>
            </w:r>
          </w:p>
          <w:p w14:paraId="3BEBFA01" w14:textId="77777777" w:rsidR="008C5E0B" w:rsidRPr="00A42CD0" w:rsidRDefault="008C5E0B" w:rsidP="008C5E0B">
            <w:pPr>
              <w:pStyle w:val="ListParagraph"/>
              <w:numPr>
                <w:ilvl w:val="0"/>
                <w:numId w:val="14"/>
              </w:numPr>
              <w:jc w:val="both"/>
              <w:rPr>
                <w:rFonts w:hAnsi="Times New Roman" w:cs="Times New Roman"/>
              </w:rPr>
            </w:pPr>
            <w:r w:rsidRPr="00A42CD0">
              <w:rPr>
                <w:rFonts w:hAnsi="Times New Roman" w:cs="Times New Roman"/>
                <w:b/>
              </w:rPr>
              <w:t>2 grupei pareiškėjų:</w:t>
            </w:r>
            <w:r w:rsidRPr="00A42CD0">
              <w:rPr>
                <w:rFonts w:hAnsi="Times New Roman" w:cs="Times New Roman"/>
              </w:rPr>
              <w:t xml:space="preserve"> </w:t>
            </w:r>
            <w:r w:rsidRPr="00A42CD0">
              <w:rPr>
                <w:rFonts w:hAnsi="Times New Roman" w:cs="Times New Roman"/>
                <w:b/>
              </w:rPr>
              <w:t>fiksuotas dydis</w:t>
            </w:r>
            <w:r w:rsidRPr="00A42CD0">
              <w:rPr>
                <w:rFonts w:hAnsi="Times New Roman" w:cs="Times New Roman"/>
              </w:rPr>
              <w:t xml:space="preserve"> – </w:t>
            </w:r>
            <w:r w:rsidRPr="00A42CD0">
              <w:rPr>
                <w:rFonts w:hAnsi="Times New Roman" w:cs="Times New Roman"/>
                <w:b/>
              </w:rPr>
              <w:t>500 Eur</w:t>
            </w:r>
            <w:r w:rsidRPr="00A42CD0">
              <w:rPr>
                <w:rFonts w:hAnsi="Times New Roman" w:cs="Times New Roman"/>
              </w:rPr>
              <w:t>.</w:t>
            </w:r>
          </w:p>
          <w:p w14:paraId="66E2CB3B" w14:textId="77777777" w:rsidR="008C5E0B" w:rsidRPr="00907E9B" w:rsidRDefault="008C5E0B" w:rsidP="00613427">
            <w:pPr>
              <w:jc w:val="both"/>
              <w:rPr>
                <w:rFonts w:hAnsi="Times New Roman" w:cs="Times New Roman"/>
              </w:rPr>
            </w:pPr>
            <w:r w:rsidRPr="00907E9B">
              <w:rPr>
                <w:rFonts w:hAnsi="Times New Roman" w:cs="Times New Roman"/>
                <w:b/>
              </w:rPr>
              <w:t>Subsidijos „lubos“</w:t>
            </w:r>
            <w:r w:rsidRPr="00907E9B">
              <w:rPr>
                <w:rFonts w:hAnsi="Times New Roman" w:cs="Times New Roman"/>
              </w:rPr>
              <w:t xml:space="preserve"> – ne daugiau nei </w:t>
            </w:r>
            <w:r w:rsidRPr="00907E9B">
              <w:rPr>
                <w:rFonts w:hAnsi="Times New Roman" w:cs="Times New Roman"/>
                <w:b/>
              </w:rPr>
              <w:t>800.000 Eur</w:t>
            </w:r>
            <w:r w:rsidRPr="00907E9B">
              <w:rPr>
                <w:rFonts w:hAnsi="Times New Roman" w:cs="Times New Roman"/>
              </w:rPr>
              <w:t xml:space="preserve"> vienai įmonei (skaičiuojama visa pagal Komunikato 3.1 skirsnį gauta pagalba).</w:t>
            </w:r>
          </w:p>
          <w:p w14:paraId="259B9297" w14:textId="77777777" w:rsidR="008C5E0B" w:rsidRPr="00907E9B" w:rsidRDefault="008C5E0B" w:rsidP="00613427">
            <w:pPr>
              <w:pStyle w:val="ListParagraph"/>
              <w:jc w:val="both"/>
              <w:rPr>
                <w:rFonts w:hAnsi="Times New Roman" w:cs="Times New Roman"/>
              </w:rPr>
            </w:pPr>
          </w:p>
          <w:p w14:paraId="5C5383DE" w14:textId="77777777" w:rsidR="008C5E0B" w:rsidRPr="00907E9B" w:rsidRDefault="008C5E0B" w:rsidP="00613427">
            <w:pPr>
              <w:jc w:val="both"/>
              <w:rPr>
                <w:rFonts w:hAnsi="Times New Roman" w:cs="Times New Roman"/>
                <w:b/>
              </w:rPr>
            </w:pPr>
            <w:r w:rsidRPr="00907E9B">
              <w:rPr>
                <w:rFonts w:hAnsi="Times New Roman" w:cs="Times New Roman"/>
                <w:b/>
              </w:rPr>
              <w:t>Subsidija teikiama vienam pareiškėjui tik vieną kartą ne vėliau kaip iki 2021-06-30.</w:t>
            </w:r>
          </w:p>
        </w:tc>
        <w:tc>
          <w:tcPr>
            <w:tcW w:w="3396" w:type="dxa"/>
            <w:vMerge/>
          </w:tcPr>
          <w:p w14:paraId="0AF6D3C3" w14:textId="77777777" w:rsidR="008C5E0B" w:rsidRPr="00907E9B" w:rsidRDefault="008C5E0B" w:rsidP="00613427">
            <w:pPr>
              <w:rPr>
                <w:rFonts w:hAnsi="Times New Roman" w:cs="Times New Roman"/>
              </w:rPr>
            </w:pPr>
          </w:p>
        </w:tc>
      </w:tr>
      <w:tr w:rsidR="008C5E0B" w:rsidRPr="00907E9B" w14:paraId="648AE0BC" w14:textId="77777777" w:rsidTr="00613427">
        <w:tc>
          <w:tcPr>
            <w:tcW w:w="7117" w:type="dxa"/>
          </w:tcPr>
          <w:p w14:paraId="75E870D8" w14:textId="77777777" w:rsidR="008C5E0B" w:rsidRPr="00907E9B" w:rsidRDefault="008C5E0B" w:rsidP="00613427">
            <w:pPr>
              <w:jc w:val="both"/>
              <w:rPr>
                <w:rFonts w:hAnsi="Times New Roman" w:cs="Times New Roman"/>
                <w:b/>
                <w:i/>
              </w:rPr>
            </w:pPr>
            <w:r w:rsidRPr="00907E9B">
              <w:rPr>
                <w:rFonts w:hAnsi="Times New Roman" w:cs="Times New Roman"/>
                <w:b/>
                <w:i/>
              </w:rPr>
              <w:t>Projektų atrankos būdas:</w:t>
            </w:r>
          </w:p>
          <w:p w14:paraId="713E00F5" w14:textId="77777777" w:rsidR="008C5E0B" w:rsidRDefault="008C5E0B" w:rsidP="00613427">
            <w:pPr>
              <w:jc w:val="both"/>
              <w:rPr>
                <w:rFonts w:hAnsi="Times New Roman" w:cs="Times New Roman"/>
                <w:bCs/>
                <w:color w:val="000000"/>
              </w:rPr>
            </w:pPr>
            <w:r w:rsidRPr="00907E9B">
              <w:rPr>
                <w:rFonts w:hAnsi="Times New Roman" w:cs="Times New Roman"/>
                <w:b/>
              </w:rPr>
              <w:t>Tęstinė atranka</w:t>
            </w:r>
            <w:r w:rsidRPr="00907E9B">
              <w:rPr>
                <w:rFonts w:hAnsi="Times New Roman" w:cs="Times New Roman"/>
                <w:bCs/>
                <w:color w:val="000000"/>
              </w:rPr>
              <w:t xml:space="preserve"> pagal VMI kvietimą teikti subsidijų paraiškas gaunamų subsidijų paraiškų atranka, kurios metu sprendimai dėl subsidijų skyrimo priimami atsižvelgiant į paraiškų pateikimo eilę.</w:t>
            </w:r>
          </w:p>
          <w:p w14:paraId="72B7A5D2" w14:textId="77777777" w:rsidR="008C5E0B" w:rsidRDefault="008C5E0B" w:rsidP="00613427">
            <w:pPr>
              <w:jc w:val="both"/>
              <w:rPr>
                <w:rFonts w:hAnsi="Times New Roman" w:cs="Times New Roman"/>
                <w:b/>
                <w:bCs/>
                <w:color w:val="000000"/>
              </w:rPr>
            </w:pPr>
            <w:r w:rsidRPr="00900B97">
              <w:rPr>
                <w:rFonts w:hAnsi="Times New Roman" w:cs="Times New Roman"/>
                <w:b/>
                <w:bCs/>
                <w:color w:val="000000"/>
              </w:rPr>
              <w:t>Būtų skelbiami du kvietimai</w:t>
            </w:r>
            <w:r>
              <w:rPr>
                <w:rFonts w:hAnsi="Times New Roman" w:cs="Times New Roman"/>
                <w:b/>
                <w:bCs/>
                <w:color w:val="000000"/>
              </w:rPr>
              <w:t>:</w:t>
            </w:r>
          </w:p>
          <w:p w14:paraId="0A615C02" w14:textId="77777777" w:rsidR="008C5E0B" w:rsidRDefault="008C5E0B" w:rsidP="00613427">
            <w:pPr>
              <w:jc w:val="both"/>
              <w:rPr>
                <w:rFonts w:hAnsi="Times New Roman" w:cs="Times New Roman"/>
                <w:bCs/>
                <w:color w:val="000000"/>
              </w:rPr>
            </w:pPr>
            <w:r>
              <w:rPr>
                <w:rFonts w:hAnsi="Times New Roman" w:cs="Times New Roman"/>
                <w:b/>
                <w:bCs/>
                <w:color w:val="000000"/>
              </w:rPr>
              <w:t xml:space="preserve">- </w:t>
            </w:r>
            <w:r>
              <w:rPr>
                <w:rFonts w:hAnsi="Times New Roman" w:cs="Times New Roman"/>
                <w:bCs/>
                <w:color w:val="000000"/>
              </w:rPr>
              <w:t>vienas kvietimas – labai mažoms ir mažoms savarankiškoms įmonėms bei naujoms įmonėms (</w:t>
            </w:r>
            <w:r w:rsidRPr="00900B97">
              <w:rPr>
                <w:rFonts w:hAnsi="Times New Roman" w:cs="Times New Roman"/>
                <w:bCs/>
                <w:color w:val="000000"/>
              </w:rPr>
              <w:t>2 grup</w:t>
            </w:r>
            <w:r>
              <w:rPr>
                <w:rFonts w:hAnsi="Times New Roman" w:cs="Times New Roman"/>
                <w:bCs/>
                <w:color w:val="000000"/>
              </w:rPr>
              <w:t xml:space="preserve">ė pareiškėjų), kurių vertinimo procesas paprastas (nesusijusios su kitomis įmonėmis, nereikia vertinti sunkumų patyrimo, gali būti greitai skiriama subsidija (per </w:t>
            </w:r>
            <w:r w:rsidRPr="00900B97">
              <w:rPr>
                <w:rFonts w:hAnsi="Times New Roman" w:cs="Times New Roman"/>
                <w:bCs/>
                <w:color w:val="000000"/>
              </w:rPr>
              <w:t>2 savait</w:t>
            </w:r>
            <w:r>
              <w:rPr>
                <w:rFonts w:hAnsi="Times New Roman" w:cs="Times New Roman"/>
                <w:bCs/>
                <w:color w:val="000000"/>
              </w:rPr>
              <w:t xml:space="preserve">es nuo paraiškos pateikimo); </w:t>
            </w:r>
          </w:p>
          <w:p w14:paraId="54136FCC" w14:textId="77777777" w:rsidR="008C5E0B" w:rsidRPr="00907E9B" w:rsidRDefault="008C5E0B" w:rsidP="00613427">
            <w:pPr>
              <w:jc w:val="both"/>
              <w:rPr>
                <w:rFonts w:hAnsi="Times New Roman" w:cs="Times New Roman"/>
                <w:bCs/>
                <w:color w:val="000000"/>
              </w:rPr>
            </w:pPr>
            <w:r>
              <w:rPr>
                <w:rFonts w:hAnsi="Times New Roman" w:cs="Times New Roman"/>
                <w:bCs/>
                <w:color w:val="000000"/>
              </w:rPr>
              <w:t xml:space="preserve">- antras kvietimas – susijusioms su kitais asmenimis labai mažoms ir mažoms įmonėms ir vidutinėms įmonėms, kurių vertinimo procesas sudėtingesnis dėl griežtesnių Komunikato reikalavimų (reikalinga įvertinti sunkumų patyrimą, sąsajas su kitais subjektais). </w:t>
            </w:r>
          </w:p>
          <w:p w14:paraId="08B4D25C" w14:textId="77777777" w:rsidR="008C5E0B" w:rsidRDefault="008C5E0B" w:rsidP="00613427">
            <w:pPr>
              <w:jc w:val="both"/>
              <w:rPr>
                <w:rFonts w:hAnsi="Times New Roman" w:cs="Times New Roman"/>
                <w:color w:val="000000" w:themeColor="text1"/>
              </w:rPr>
            </w:pPr>
            <w:bookmarkStart w:id="3" w:name="_GoBack"/>
            <w:bookmarkEnd w:id="3"/>
            <w:r w:rsidRPr="00A42CD0">
              <w:rPr>
                <w:rFonts w:hAnsi="Times New Roman" w:cs="Times New Roman"/>
                <w:b/>
                <w:bCs/>
                <w:color w:val="000000" w:themeColor="text1"/>
              </w:rPr>
              <w:t>Kvietimai stabdomi anksčiau</w:t>
            </w:r>
            <w:r w:rsidRPr="00A42CD0">
              <w:rPr>
                <w:rFonts w:hAnsi="Times New Roman" w:cs="Times New Roman"/>
                <w:color w:val="000000" w:themeColor="text1"/>
              </w:rPr>
              <w:t>, jeigu pagal priimtus sprendimus dėl subsidijos skyrimo ir pateiktas naujas subsidijų paraiškas paskirstyta ir prašomų skirti subsidijų suma sudaro galimybę paskirstyti visą priemonei skirtą lėšų sumą</w:t>
            </w:r>
            <w:r w:rsidRPr="00907E9B">
              <w:rPr>
                <w:rFonts w:hAnsi="Times New Roman" w:cs="Times New Roman"/>
                <w:color w:val="000000" w:themeColor="text1"/>
              </w:rPr>
              <w:t xml:space="preserve"> (kvietimo stabdyti nereikėtų, jeigu FM užtikrintų, kad bus papildytas biudžetas, jei kreipsis daugiau MVĮ nei prognozuojama).</w:t>
            </w:r>
          </w:p>
          <w:p w14:paraId="1BF6C075" w14:textId="77777777" w:rsidR="008C5E0B" w:rsidRDefault="008C5E0B" w:rsidP="00613427">
            <w:pPr>
              <w:jc w:val="both"/>
              <w:rPr>
                <w:rFonts w:hAnsi="Times New Roman" w:cs="Times New Roman"/>
                <w:color w:val="000000" w:themeColor="text1"/>
              </w:rPr>
            </w:pPr>
            <w:r w:rsidRPr="00FA7D94">
              <w:rPr>
                <w:rFonts w:hAnsi="Times New Roman" w:cs="Times New Roman"/>
                <w:b/>
                <w:color w:val="000000" w:themeColor="text1"/>
              </w:rPr>
              <w:lastRenderedPageBreak/>
              <w:t>Rizikos</w:t>
            </w:r>
            <w:r>
              <w:rPr>
                <w:rFonts w:hAnsi="Times New Roman" w:cs="Times New Roman"/>
                <w:color w:val="000000" w:themeColor="text1"/>
              </w:rPr>
              <w:t xml:space="preserve">: </w:t>
            </w:r>
          </w:p>
          <w:p w14:paraId="64420259" w14:textId="77777777" w:rsidR="008C5E0B" w:rsidRPr="00FA7D94" w:rsidRDefault="008C5E0B" w:rsidP="008C5E0B">
            <w:pPr>
              <w:pStyle w:val="ListParagraph"/>
              <w:numPr>
                <w:ilvl w:val="0"/>
                <w:numId w:val="14"/>
              </w:numPr>
              <w:jc w:val="both"/>
              <w:rPr>
                <w:rFonts w:hAnsi="Times New Roman" w:cs="Times New Roman"/>
              </w:rPr>
            </w:pPr>
            <w:r>
              <w:rPr>
                <w:rFonts w:hAnsi="Times New Roman" w:cs="Times New Roman"/>
              </w:rPr>
              <w:t>Ribotas biudžetas – būtina komunikacija įmonėms, kad gali vykti įmonių konkurencija laike.</w:t>
            </w:r>
          </w:p>
          <w:p w14:paraId="5360F2DD" w14:textId="77777777" w:rsidR="008C5E0B" w:rsidRPr="00FA7D94" w:rsidRDefault="008C5E0B" w:rsidP="008C5E0B">
            <w:pPr>
              <w:pStyle w:val="ListParagraph"/>
              <w:numPr>
                <w:ilvl w:val="0"/>
                <w:numId w:val="14"/>
              </w:numPr>
              <w:jc w:val="both"/>
              <w:rPr>
                <w:rFonts w:hAnsi="Times New Roman" w:cs="Times New Roman"/>
              </w:rPr>
            </w:pPr>
            <w:r>
              <w:rPr>
                <w:rFonts w:hAnsi="Times New Roman" w:cs="Times New Roman"/>
                <w:color w:val="000000" w:themeColor="text1"/>
              </w:rPr>
              <w:t xml:space="preserve">Dėl techninių priežasčių užtruksiantis </w:t>
            </w:r>
            <w:r w:rsidRPr="00FA7D94">
              <w:rPr>
                <w:rFonts w:hAnsi="Times New Roman" w:cs="Times New Roman"/>
                <w:color w:val="000000" w:themeColor="text1"/>
              </w:rPr>
              <w:t>antrasis kvietimas</w:t>
            </w:r>
            <w:r>
              <w:rPr>
                <w:rFonts w:hAnsi="Times New Roman" w:cs="Times New Roman"/>
                <w:color w:val="000000" w:themeColor="text1"/>
              </w:rPr>
              <w:t>.</w:t>
            </w:r>
          </w:p>
        </w:tc>
        <w:tc>
          <w:tcPr>
            <w:tcW w:w="3396" w:type="dxa"/>
            <w:vMerge/>
          </w:tcPr>
          <w:p w14:paraId="4951DCA7" w14:textId="77777777" w:rsidR="008C5E0B" w:rsidRPr="00907E9B" w:rsidRDefault="008C5E0B" w:rsidP="00613427">
            <w:pPr>
              <w:rPr>
                <w:rFonts w:hAnsi="Times New Roman" w:cs="Times New Roman"/>
              </w:rPr>
            </w:pPr>
          </w:p>
        </w:tc>
      </w:tr>
      <w:tr w:rsidR="008C5E0B" w:rsidRPr="00907E9B" w14:paraId="1E3EC842" w14:textId="77777777" w:rsidTr="00613427">
        <w:tc>
          <w:tcPr>
            <w:tcW w:w="7117" w:type="dxa"/>
          </w:tcPr>
          <w:p w14:paraId="3EDC85FB" w14:textId="77777777" w:rsidR="008C5E0B" w:rsidRPr="00907E9B" w:rsidRDefault="008C5E0B" w:rsidP="00613427">
            <w:pPr>
              <w:jc w:val="both"/>
              <w:rPr>
                <w:rFonts w:hAnsi="Times New Roman" w:cs="Times New Roman"/>
                <w:b/>
                <w:i/>
              </w:rPr>
            </w:pPr>
            <w:r w:rsidRPr="00907E9B">
              <w:rPr>
                <w:rFonts w:hAnsi="Times New Roman" w:cs="Times New Roman"/>
                <w:b/>
                <w:i/>
              </w:rPr>
              <w:t>Dalyvaujančių institucijų funkcijos:</w:t>
            </w:r>
          </w:p>
          <w:p w14:paraId="2D0CC76D" w14:textId="77777777" w:rsidR="008C5E0B" w:rsidRPr="00907E9B" w:rsidRDefault="008C5E0B" w:rsidP="00613427">
            <w:pPr>
              <w:jc w:val="both"/>
              <w:rPr>
                <w:rFonts w:hAnsi="Times New Roman" w:cs="Times New Roman"/>
                <w:b/>
              </w:rPr>
            </w:pPr>
            <w:r w:rsidRPr="00907E9B">
              <w:rPr>
                <w:rFonts w:hAnsi="Times New Roman" w:cs="Times New Roman"/>
                <w:b/>
              </w:rPr>
              <w:t>VMI ir LVPA:</w:t>
            </w:r>
          </w:p>
          <w:p w14:paraId="5E4B60E2" w14:textId="77777777" w:rsidR="008C5E0B" w:rsidRPr="00907E9B" w:rsidRDefault="008C5E0B" w:rsidP="008C5E0B">
            <w:pPr>
              <w:pStyle w:val="ListParagraph"/>
              <w:numPr>
                <w:ilvl w:val="0"/>
                <w:numId w:val="14"/>
              </w:numPr>
              <w:jc w:val="both"/>
              <w:rPr>
                <w:rFonts w:hAnsi="Times New Roman" w:cs="Times New Roman"/>
              </w:rPr>
            </w:pPr>
            <w:r w:rsidRPr="00907E9B">
              <w:rPr>
                <w:rFonts w:hAnsi="Times New Roman" w:cs="Times New Roman"/>
              </w:rPr>
              <w:t>Paraiškos teikiamos VMI  per „Mano VMI“.</w:t>
            </w:r>
            <w:r w:rsidRPr="00907E9B">
              <w:rPr>
                <w:rFonts w:hAnsi="Times New Roman" w:cs="Times New Roman"/>
                <w:color w:val="000000"/>
              </w:rPr>
              <w:t xml:space="preserve"> </w:t>
            </w:r>
          </w:p>
          <w:p w14:paraId="0CD0B877" w14:textId="77777777" w:rsidR="008C5E0B" w:rsidRPr="00907E9B" w:rsidRDefault="008C5E0B" w:rsidP="008C5E0B">
            <w:pPr>
              <w:pStyle w:val="ListParagraph"/>
              <w:numPr>
                <w:ilvl w:val="0"/>
                <w:numId w:val="14"/>
              </w:numPr>
              <w:jc w:val="both"/>
              <w:rPr>
                <w:rFonts w:hAnsi="Times New Roman" w:cs="Times New Roman"/>
              </w:rPr>
            </w:pPr>
            <w:r w:rsidRPr="00907E9B">
              <w:rPr>
                <w:rFonts w:hAnsi="Times New Roman" w:cs="Times New Roman"/>
                <w:color w:val="000000"/>
              </w:rPr>
              <w:t>Pareiškėjų atranką ir vertinimą atlieka VMI kartu su LVPA</w:t>
            </w:r>
            <w:r>
              <w:rPr>
                <w:rFonts w:hAnsi="Times New Roman" w:cs="Times New Roman"/>
                <w:color w:val="000000"/>
              </w:rPr>
              <w:t>/ INVEGA (KT teikia vertinimui reikalingą informaciją)</w:t>
            </w:r>
            <w:r w:rsidRPr="00907E9B">
              <w:rPr>
                <w:rFonts w:hAnsi="Times New Roman" w:cs="Times New Roman"/>
                <w:color w:val="000000"/>
              </w:rPr>
              <w:t>.</w:t>
            </w:r>
          </w:p>
          <w:p w14:paraId="3E415218" w14:textId="77777777" w:rsidR="008C5E0B" w:rsidRPr="00907E9B" w:rsidRDefault="008C5E0B" w:rsidP="008C5E0B">
            <w:pPr>
              <w:pStyle w:val="ListParagraph"/>
              <w:numPr>
                <w:ilvl w:val="0"/>
                <w:numId w:val="14"/>
              </w:numPr>
              <w:jc w:val="both"/>
              <w:rPr>
                <w:rFonts w:hAnsi="Times New Roman" w:cs="Times New Roman"/>
                <w:b/>
              </w:rPr>
            </w:pPr>
            <w:r w:rsidRPr="00907E9B">
              <w:rPr>
                <w:rFonts w:hAnsi="Times New Roman" w:cs="Times New Roman"/>
                <w:color w:val="000000" w:themeColor="text1"/>
              </w:rPr>
              <w:t>VMI, gavusi iš EIM informaciją, išsiunčia informacinį pranešimą pareiškėjui per „Mano VMI“ ir informuoja apie priimtą sprendimą skirti finansavimą.</w:t>
            </w:r>
          </w:p>
          <w:p w14:paraId="6AF74AA4" w14:textId="77777777" w:rsidR="008C5E0B" w:rsidRPr="00907E9B" w:rsidRDefault="008C5E0B" w:rsidP="00613427">
            <w:pPr>
              <w:jc w:val="both"/>
              <w:rPr>
                <w:rFonts w:hAnsi="Times New Roman" w:cs="Times New Roman"/>
                <w:b/>
              </w:rPr>
            </w:pPr>
            <w:r w:rsidRPr="00907E9B">
              <w:rPr>
                <w:rFonts w:hAnsi="Times New Roman" w:cs="Times New Roman"/>
                <w:b/>
              </w:rPr>
              <w:t xml:space="preserve">EIM per 3 darbo dienas </w:t>
            </w:r>
            <w:r w:rsidRPr="00907E9B">
              <w:rPr>
                <w:rFonts w:hAnsi="Times New Roman" w:cs="Times New Roman"/>
                <w:b/>
                <w:color w:val="000000"/>
              </w:rPr>
              <w:t>priima įsakymą</w:t>
            </w:r>
            <w:r w:rsidRPr="00907E9B">
              <w:rPr>
                <w:rFonts w:hAnsi="Times New Roman" w:cs="Times New Roman"/>
                <w:color w:val="000000"/>
              </w:rPr>
              <w:t xml:space="preserve"> dėl subsidijos skyrimo ir informaciją dėl subsidijų skyrimo nedelsiant, bet ne vėliau kaip per 1 darbo dieną nuo įsakymo įsigaliojimo pateikia LVPA, NBFC ir VMI. </w:t>
            </w:r>
          </w:p>
          <w:p w14:paraId="2BF7734F" w14:textId="77777777" w:rsidR="008C5E0B" w:rsidRPr="00907E9B" w:rsidRDefault="008C5E0B" w:rsidP="00613427">
            <w:pPr>
              <w:jc w:val="both"/>
              <w:rPr>
                <w:rFonts w:hAnsi="Times New Roman" w:cs="Times New Roman"/>
                <w:highlight w:val="yellow"/>
              </w:rPr>
            </w:pPr>
            <w:r w:rsidRPr="00907E9B">
              <w:rPr>
                <w:rFonts w:hAnsi="Times New Roman" w:cs="Times New Roman"/>
                <w:b/>
              </w:rPr>
              <w:t>NBFC</w:t>
            </w:r>
            <w:r w:rsidRPr="00907E9B">
              <w:rPr>
                <w:rFonts w:hAnsi="Times New Roman" w:cs="Times New Roman"/>
              </w:rPr>
              <w:t xml:space="preserve"> </w:t>
            </w:r>
            <w:r w:rsidRPr="00907E9B">
              <w:rPr>
                <w:rFonts w:hAnsi="Times New Roman" w:cs="Times New Roman"/>
                <w:color w:val="000000"/>
              </w:rPr>
              <w:t xml:space="preserve">subsidiją nedelsiant, bet ne vėliau kaip per 3 darbo dienas nuo įsakymo skirti subsidiją įsigaliojimo dienos </w:t>
            </w:r>
            <w:r w:rsidRPr="00907E9B">
              <w:rPr>
                <w:rFonts w:hAnsi="Times New Roman" w:cs="Times New Roman"/>
                <w:b/>
                <w:color w:val="000000"/>
              </w:rPr>
              <w:t>perveda pareiškėjui</w:t>
            </w:r>
            <w:r w:rsidRPr="00907E9B">
              <w:rPr>
                <w:rFonts w:hAnsi="Times New Roman" w:cs="Times New Roman"/>
                <w:color w:val="000000"/>
              </w:rPr>
              <w:t xml:space="preserve"> į subsidijų paraiškoje nurodytą sąskaitą.</w:t>
            </w:r>
          </w:p>
        </w:tc>
        <w:tc>
          <w:tcPr>
            <w:tcW w:w="3396" w:type="dxa"/>
            <w:vMerge/>
          </w:tcPr>
          <w:p w14:paraId="4F0F6FBF" w14:textId="77777777" w:rsidR="008C5E0B" w:rsidRPr="00907E9B" w:rsidRDefault="008C5E0B" w:rsidP="00613427">
            <w:pPr>
              <w:rPr>
                <w:rFonts w:hAnsi="Times New Roman" w:cs="Times New Roman"/>
              </w:rPr>
            </w:pPr>
          </w:p>
        </w:tc>
      </w:tr>
    </w:tbl>
    <w:p w14:paraId="69954598" w14:textId="77777777" w:rsidR="008C5E0B" w:rsidRPr="00907E9B" w:rsidRDefault="008C5E0B" w:rsidP="008C5E0B">
      <w:pPr>
        <w:rPr>
          <w:b/>
        </w:rPr>
      </w:pPr>
    </w:p>
    <w:p w14:paraId="0AE6F224" w14:textId="77777777" w:rsidR="001557BC" w:rsidRPr="00F625D0" w:rsidRDefault="001557BC" w:rsidP="001557BC">
      <w:pPr>
        <w:spacing w:line="360" w:lineRule="auto"/>
        <w:rPr>
          <w:b/>
        </w:rPr>
      </w:pPr>
    </w:p>
    <w:p w14:paraId="38E77FB7" w14:textId="77777777" w:rsidR="00BE69F7" w:rsidRDefault="00BE69F7" w:rsidP="002A3ED5">
      <w:pPr>
        <w:tabs>
          <w:tab w:val="left" w:pos="1134"/>
        </w:tabs>
        <w:spacing w:line="360" w:lineRule="auto"/>
        <w:ind w:firstLine="709"/>
      </w:pPr>
    </w:p>
    <w:sectPr w:rsidR="00BE69F7" w:rsidSect="008046D8">
      <w:headerReference w:type="default" r:id="rId7"/>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2A608" w14:textId="77777777" w:rsidR="00EC57E6" w:rsidRDefault="00EC57E6" w:rsidP="008046D8">
      <w:r>
        <w:separator/>
      </w:r>
    </w:p>
  </w:endnote>
  <w:endnote w:type="continuationSeparator" w:id="0">
    <w:p w14:paraId="74458FBF" w14:textId="77777777" w:rsidR="00EC57E6" w:rsidRDefault="00EC57E6" w:rsidP="0080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0F791" w14:textId="77777777" w:rsidR="00EC57E6" w:rsidRDefault="00EC57E6" w:rsidP="008046D8">
      <w:r>
        <w:separator/>
      </w:r>
    </w:p>
  </w:footnote>
  <w:footnote w:type="continuationSeparator" w:id="0">
    <w:p w14:paraId="3BF6BB9C" w14:textId="77777777" w:rsidR="00EC57E6" w:rsidRDefault="00EC57E6" w:rsidP="00804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A421B" w14:textId="77777777" w:rsidR="00AC3B9C" w:rsidRDefault="00AC3B9C">
    <w:pPr>
      <w:pStyle w:val="Header"/>
      <w:jc w:val="center"/>
    </w:pPr>
    <w:r>
      <w:fldChar w:fldCharType="begin"/>
    </w:r>
    <w:r>
      <w:instrText>PAGE   \* MERGEFORMAT</w:instrText>
    </w:r>
    <w:r>
      <w:fldChar w:fldCharType="separate"/>
    </w:r>
    <w:r w:rsidR="00667CBB">
      <w:rPr>
        <w:noProof/>
      </w:rPr>
      <w:t>2</w:t>
    </w:r>
    <w:r>
      <w:fldChar w:fldCharType="end"/>
    </w:r>
  </w:p>
  <w:p w14:paraId="3E76C14D" w14:textId="77777777" w:rsidR="00AC3B9C" w:rsidRDefault="00AC3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2E66"/>
    <w:multiLevelType w:val="multilevel"/>
    <w:tmpl w:val="5C800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F22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34664"/>
    <w:multiLevelType w:val="hybridMultilevel"/>
    <w:tmpl w:val="7A801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E05847"/>
    <w:multiLevelType w:val="multilevel"/>
    <w:tmpl w:val="ECD64D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AF10E7D"/>
    <w:multiLevelType w:val="hybridMultilevel"/>
    <w:tmpl w:val="1A80F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68028E"/>
    <w:multiLevelType w:val="multilevel"/>
    <w:tmpl w:val="95461E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8D14957"/>
    <w:multiLevelType w:val="hybridMultilevel"/>
    <w:tmpl w:val="682CB7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FC61C7E"/>
    <w:multiLevelType w:val="multilevel"/>
    <w:tmpl w:val="E910B7A8"/>
    <w:lvl w:ilvl="0">
      <w:start w:val="1"/>
      <w:numFmt w:val="decimal"/>
      <w:lvlText w:val="%1."/>
      <w:lvlJc w:val="left"/>
      <w:pPr>
        <w:ind w:left="1069"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52F96637"/>
    <w:multiLevelType w:val="multilevel"/>
    <w:tmpl w:val="623650AA"/>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sz w:val="24"/>
        <w:szCs w:val="24"/>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11" w15:restartNumberingAfterBreak="0">
    <w:nsid w:val="673D6A16"/>
    <w:multiLevelType w:val="multilevel"/>
    <w:tmpl w:val="193EC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9A35BE2"/>
    <w:multiLevelType w:val="multilevel"/>
    <w:tmpl w:val="76A40DE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9AF27CF"/>
    <w:multiLevelType w:val="hybridMultilevel"/>
    <w:tmpl w:val="CCF6797E"/>
    <w:lvl w:ilvl="0" w:tplc="3FC4D7BA">
      <w:start w:val="18"/>
      <w:numFmt w:val="bullet"/>
      <w:lvlText w:val="-"/>
      <w:lvlJc w:val="left"/>
      <w:pPr>
        <w:ind w:left="720" w:hanging="360"/>
      </w:pPr>
      <w:rPr>
        <w:rFonts w:ascii="Times New Roman" w:eastAsiaTheme="minorEastAsia"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141FC9"/>
    <w:multiLevelType w:val="multilevel"/>
    <w:tmpl w:val="2612C260"/>
    <w:lvl w:ilvl="0">
      <w:start w:val="1"/>
      <w:numFmt w:val="decimal"/>
      <w:lvlText w:val="%1."/>
      <w:lvlJc w:val="left"/>
      <w:pPr>
        <w:ind w:left="540" w:hanging="540"/>
      </w:pPr>
      <w:rPr>
        <w:rFonts w:hint="default"/>
      </w:rPr>
    </w:lvl>
    <w:lvl w:ilvl="1">
      <w:start w:val="1"/>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num w:numId="1">
    <w:abstractNumId w:val="9"/>
  </w:num>
  <w:num w:numId="2">
    <w:abstractNumId w:val="1"/>
  </w:num>
  <w:num w:numId="3">
    <w:abstractNumId w:val="3"/>
  </w:num>
  <w:num w:numId="4">
    <w:abstractNumId w:val="10"/>
  </w:num>
  <w:num w:numId="5">
    <w:abstractNumId w:val="5"/>
  </w:num>
  <w:num w:numId="6">
    <w:abstractNumId w:val="0"/>
  </w:num>
  <w:num w:numId="7">
    <w:abstractNumId w:val="12"/>
  </w:num>
  <w:num w:numId="8">
    <w:abstractNumId w:val="8"/>
  </w:num>
  <w:num w:numId="9">
    <w:abstractNumId w:val="7"/>
  </w:num>
  <w:num w:numId="10">
    <w:abstractNumId w:val="6"/>
  </w:num>
  <w:num w:numId="11">
    <w:abstractNumId w:val="11"/>
  </w:num>
  <w:num w:numId="12">
    <w:abstractNumId w:val="14"/>
  </w:num>
  <w:num w:numId="13">
    <w:abstractNumId w:val="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AD"/>
    <w:rsid w:val="00015F4E"/>
    <w:rsid w:val="000227FA"/>
    <w:rsid w:val="00023A68"/>
    <w:rsid w:val="000376A1"/>
    <w:rsid w:val="00047ACB"/>
    <w:rsid w:val="00050D9E"/>
    <w:rsid w:val="00054196"/>
    <w:rsid w:val="0005686B"/>
    <w:rsid w:val="00067A61"/>
    <w:rsid w:val="00084195"/>
    <w:rsid w:val="00084862"/>
    <w:rsid w:val="000A4C10"/>
    <w:rsid w:val="000B23C7"/>
    <w:rsid w:val="000B3FE0"/>
    <w:rsid w:val="000B4FC4"/>
    <w:rsid w:val="000B6DBF"/>
    <w:rsid w:val="000D00AF"/>
    <w:rsid w:val="000D0FA8"/>
    <w:rsid w:val="000D5D8A"/>
    <w:rsid w:val="000E5E73"/>
    <w:rsid w:val="00101685"/>
    <w:rsid w:val="00114B90"/>
    <w:rsid w:val="00121FAC"/>
    <w:rsid w:val="0012448A"/>
    <w:rsid w:val="001258AD"/>
    <w:rsid w:val="00130B2A"/>
    <w:rsid w:val="00133753"/>
    <w:rsid w:val="001557BC"/>
    <w:rsid w:val="00155EC8"/>
    <w:rsid w:val="001613F9"/>
    <w:rsid w:val="00166C64"/>
    <w:rsid w:val="00176B54"/>
    <w:rsid w:val="00193B6F"/>
    <w:rsid w:val="001A2CF3"/>
    <w:rsid w:val="001A3522"/>
    <w:rsid w:val="001B30FF"/>
    <w:rsid w:val="001C7CFE"/>
    <w:rsid w:val="001D28A6"/>
    <w:rsid w:val="001D6A9F"/>
    <w:rsid w:val="001D7EF7"/>
    <w:rsid w:val="00206FE6"/>
    <w:rsid w:val="00213360"/>
    <w:rsid w:val="002137C2"/>
    <w:rsid w:val="00247747"/>
    <w:rsid w:val="00256047"/>
    <w:rsid w:val="002665E5"/>
    <w:rsid w:val="002746C6"/>
    <w:rsid w:val="00281AC1"/>
    <w:rsid w:val="00283824"/>
    <w:rsid w:val="00287B24"/>
    <w:rsid w:val="002A3ED5"/>
    <w:rsid w:val="002B0B7C"/>
    <w:rsid w:val="002B64F0"/>
    <w:rsid w:val="002C460B"/>
    <w:rsid w:val="002E38F1"/>
    <w:rsid w:val="002E6178"/>
    <w:rsid w:val="002E6E7C"/>
    <w:rsid w:val="002F657B"/>
    <w:rsid w:val="00311051"/>
    <w:rsid w:val="0031374B"/>
    <w:rsid w:val="00316087"/>
    <w:rsid w:val="003224AB"/>
    <w:rsid w:val="003250A8"/>
    <w:rsid w:val="00325CE2"/>
    <w:rsid w:val="00332DA0"/>
    <w:rsid w:val="00347297"/>
    <w:rsid w:val="00356A3C"/>
    <w:rsid w:val="0035754A"/>
    <w:rsid w:val="0036009B"/>
    <w:rsid w:val="00373B46"/>
    <w:rsid w:val="00380D49"/>
    <w:rsid w:val="00390D47"/>
    <w:rsid w:val="003916F4"/>
    <w:rsid w:val="00395899"/>
    <w:rsid w:val="003A4AEB"/>
    <w:rsid w:val="003B04EC"/>
    <w:rsid w:val="003C22A7"/>
    <w:rsid w:val="003C29D0"/>
    <w:rsid w:val="003C3C23"/>
    <w:rsid w:val="003E01C4"/>
    <w:rsid w:val="003E0A72"/>
    <w:rsid w:val="00400012"/>
    <w:rsid w:val="004008D5"/>
    <w:rsid w:val="004014CD"/>
    <w:rsid w:val="00410562"/>
    <w:rsid w:val="00431149"/>
    <w:rsid w:val="00437BEB"/>
    <w:rsid w:val="00445283"/>
    <w:rsid w:val="00453A0F"/>
    <w:rsid w:val="00460990"/>
    <w:rsid w:val="00474EF9"/>
    <w:rsid w:val="004770CE"/>
    <w:rsid w:val="004824D8"/>
    <w:rsid w:val="00485C64"/>
    <w:rsid w:val="00490B43"/>
    <w:rsid w:val="004A3C7C"/>
    <w:rsid w:val="004C7581"/>
    <w:rsid w:val="004C789C"/>
    <w:rsid w:val="005038C3"/>
    <w:rsid w:val="00504C8A"/>
    <w:rsid w:val="00510055"/>
    <w:rsid w:val="00525AEB"/>
    <w:rsid w:val="00554E84"/>
    <w:rsid w:val="0056261B"/>
    <w:rsid w:val="00562B2F"/>
    <w:rsid w:val="005637F2"/>
    <w:rsid w:val="005744DF"/>
    <w:rsid w:val="00597C57"/>
    <w:rsid w:val="005A06F3"/>
    <w:rsid w:val="005B540E"/>
    <w:rsid w:val="005D67F3"/>
    <w:rsid w:val="005F31C8"/>
    <w:rsid w:val="005F51C0"/>
    <w:rsid w:val="00612D76"/>
    <w:rsid w:val="0061308F"/>
    <w:rsid w:val="0062192A"/>
    <w:rsid w:val="006267FB"/>
    <w:rsid w:val="006443BE"/>
    <w:rsid w:val="00667CBB"/>
    <w:rsid w:val="0067679F"/>
    <w:rsid w:val="006776F1"/>
    <w:rsid w:val="0068498C"/>
    <w:rsid w:val="00695C4B"/>
    <w:rsid w:val="00697772"/>
    <w:rsid w:val="006B7306"/>
    <w:rsid w:val="006C2CAC"/>
    <w:rsid w:val="006D0813"/>
    <w:rsid w:val="006D4708"/>
    <w:rsid w:val="006D6FF3"/>
    <w:rsid w:val="006F30CB"/>
    <w:rsid w:val="00707176"/>
    <w:rsid w:val="007112E1"/>
    <w:rsid w:val="00711FA9"/>
    <w:rsid w:val="007159FB"/>
    <w:rsid w:val="0073306A"/>
    <w:rsid w:val="00741C9B"/>
    <w:rsid w:val="00743AC5"/>
    <w:rsid w:val="00751646"/>
    <w:rsid w:val="00755410"/>
    <w:rsid w:val="00755CBC"/>
    <w:rsid w:val="00756EAF"/>
    <w:rsid w:val="00770823"/>
    <w:rsid w:val="007748D3"/>
    <w:rsid w:val="007860B0"/>
    <w:rsid w:val="00793541"/>
    <w:rsid w:val="007A302E"/>
    <w:rsid w:val="007A35CE"/>
    <w:rsid w:val="007A4226"/>
    <w:rsid w:val="007A6233"/>
    <w:rsid w:val="007B79ED"/>
    <w:rsid w:val="007C5548"/>
    <w:rsid w:val="007C78B1"/>
    <w:rsid w:val="007D56F2"/>
    <w:rsid w:val="007D6BA8"/>
    <w:rsid w:val="007D6C94"/>
    <w:rsid w:val="007E2FEF"/>
    <w:rsid w:val="00801D28"/>
    <w:rsid w:val="008035C3"/>
    <w:rsid w:val="00803C76"/>
    <w:rsid w:val="008046D8"/>
    <w:rsid w:val="0081561F"/>
    <w:rsid w:val="008175F1"/>
    <w:rsid w:val="00821209"/>
    <w:rsid w:val="0082199B"/>
    <w:rsid w:val="008259FA"/>
    <w:rsid w:val="00835D13"/>
    <w:rsid w:val="00850BDE"/>
    <w:rsid w:val="008605CC"/>
    <w:rsid w:val="00863C36"/>
    <w:rsid w:val="00864E28"/>
    <w:rsid w:val="00876AEB"/>
    <w:rsid w:val="008812F2"/>
    <w:rsid w:val="00885D77"/>
    <w:rsid w:val="008917F4"/>
    <w:rsid w:val="00894D7B"/>
    <w:rsid w:val="00896E6D"/>
    <w:rsid w:val="008A2E2C"/>
    <w:rsid w:val="008C5E0B"/>
    <w:rsid w:val="008D1B50"/>
    <w:rsid w:val="008D492C"/>
    <w:rsid w:val="008E6CF8"/>
    <w:rsid w:val="0090032F"/>
    <w:rsid w:val="00921C9B"/>
    <w:rsid w:val="009445A3"/>
    <w:rsid w:val="0094688B"/>
    <w:rsid w:val="009571DB"/>
    <w:rsid w:val="0097361B"/>
    <w:rsid w:val="00991CCF"/>
    <w:rsid w:val="009C6C08"/>
    <w:rsid w:val="009C7420"/>
    <w:rsid w:val="009D3A55"/>
    <w:rsid w:val="00A0498D"/>
    <w:rsid w:val="00A34052"/>
    <w:rsid w:val="00A40F53"/>
    <w:rsid w:val="00A42CD0"/>
    <w:rsid w:val="00A42CFF"/>
    <w:rsid w:val="00A47040"/>
    <w:rsid w:val="00A4799A"/>
    <w:rsid w:val="00A5082F"/>
    <w:rsid w:val="00A50DC4"/>
    <w:rsid w:val="00A53F95"/>
    <w:rsid w:val="00A73279"/>
    <w:rsid w:val="00A73F3A"/>
    <w:rsid w:val="00A830BC"/>
    <w:rsid w:val="00A8566F"/>
    <w:rsid w:val="00A96DC1"/>
    <w:rsid w:val="00AA0E3A"/>
    <w:rsid w:val="00AC3B9C"/>
    <w:rsid w:val="00AD45AC"/>
    <w:rsid w:val="00AE17A1"/>
    <w:rsid w:val="00AE4C44"/>
    <w:rsid w:val="00B124B8"/>
    <w:rsid w:val="00B147BB"/>
    <w:rsid w:val="00B15DBD"/>
    <w:rsid w:val="00B200EB"/>
    <w:rsid w:val="00B21C8F"/>
    <w:rsid w:val="00B242D8"/>
    <w:rsid w:val="00B27475"/>
    <w:rsid w:val="00B30F0C"/>
    <w:rsid w:val="00B47CA5"/>
    <w:rsid w:val="00B50CD9"/>
    <w:rsid w:val="00B532AC"/>
    <w:rsid w:val="00B72F36"/>
    <w:rsid w:val="00B950EC"/>
    <w:rsid w:val="00BA2DA4"/>
    <w:rsid w:val="00BA441D"/>
    <w:rsid w:val="00BB08CC"/>
    <w:rsid w:val="00BC24C7"/>
    <w:rsid w:val="00BD6132"/>
    <w:rsid w:val="00BE0E2F"/>
    <w:rsid w:val="00BE69F7"/>
    <w:rsid w:val="00BF1D0B"/>
    <w:rsid w:val="00BF1E04"/>
    <w:rsid w:val="00BF43C3"/>
    <w:rsid w:val="00C071E7"/>
    <w:rsid w:val="00C13953"/>
    <w:rsid w:val="00C23661"/>
    <w:rsid w:val="00C56A20"/>
    <w:rsid w:val="00C6193D"/>
    <w:rsid w:val="00C62393"/>
    <w:rsid w:val="00C65CE8"/>
    <w:rsid w:val="00C74FFA"/>
    <w:rsid w:val="00C803E0"/>
    <w:rsid w:val="00C954F7"/>
    <w:rsid w:val="00CA0D6C"/>
    <w:rsid w:val="00CA711E"/>
    <w:rsid w:val="00CB2956"/>
    <w:rsid w:val="00CC10FC"/>
    <w:rsid w:val="00CC264E"/>
    <w:rsid w:val="00CC2750"/>
    <w:rsid w:val="00CC692B"/>
    <w:rsid w:val="00CE18EF"/>
    <w:rsid w:val="00D02C88"/>
    <w:rsid w:val="00D21D0B"/>
    <w:rsid w:val="00D3078C"/>
    <w:rsid w:val="00D5486E"/>
    <w:rsid w:val="00D64F73"/>
    <w:rsid w:val="00D94335"/>
    <w:rsid w:val="00DB249A"/>
    <w:rsid w:val="00DB794A"/>
    <w:rsid w:val="00DF3DC4"/>
    <w:rsid w:val="00DF4FD0"/>
    <w:rsid w:val="00E11010"/>
    <w:rsid w:val="00E14AA7"/>
    <w:rsid w:val="00E20F4F"/>
    <w:rsid w:val="00E2342E"/>
    <w:rsid w:val="00E41B62"/>
    <w:rsid w:val="00E5525D"/>
    <w:rsid w:val="00E56425"/>
    <w:rsid w:val="00E56483"/>
    <w:rsid w:val="00E61569"/>
    <w:rsid w:val="00E63F23"/>
    <w:rsid w:val="00E65798"/>
    <w:rsid w:val="00E74076"/>
    <w:rsid w:val="00E95978"/>
    <w:rsid w:val="00EA65E7"/>
    <w:rsid w:val="00EC57E6"/>
    <w:rsid w:val="00EC6225"/>
    <w:rsid w:val="00F03DC1"/>
    <w:rsid w:val="00F105C8"/>
    <w:rsid w:val="00F1756C"/>
    <w:rsid w:val="00F206E2"/>
    <w:rsid w:val="00F34E06"/>
    <w:rsid w:val="00F352F8"/>
    <w:rsid w:val="00F35CF3"/>
    <w:rsid w:val="00F35E55"/>
    <w:rsid w:val="00F3604B"/>
    <w:rsid w:val="00F51B70"/>
    <w:rsid w:val="00F53080"/>
    <w:rsid w:val="00F55816"/>
    <w:rsid w:val="00F71CA8"/>
    <w:rsid w:val="00F815D4"/>
    <w:rsid w:val="00F86091"/>
    <w:rsid w:val="00FA48C6"/>
    <w:rsid w:val="00FC0A9B"/>
    <w:rsid w:val="00FC36EE"/>
    <w:rsid w:val="00FC483A"/>
    <w:rsid w:val="00FE5ACC"/>
    <w:rsid w:val="00FF7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5E5907"/>
  <w15:chartTrackingRefBased/>
  <w15:docId w15:val="{D600CB47-A82F-49D8-BED9-4158EDEF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8AD"/>
    <w:rPr>
      <w:rFonts w:asci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58AD"/>
    <w:pPr>
      <w:tabs>
        <w:tab w:val="center" w:pos="4819"/>
        <w:tab w:val="right" w:pos="9638"/>
      </w:tabs>
    </w:pPr>
  </w:style>
  <w:style w:type="character" w:customStyle="1" w:styleId="HeaderChar">
    <w:name w:val="Header Char"/>
    <w:link w:val="Header"/>
    <w:uiPriority w:val="99"/>
    <w:rsid w:val="001258AD"/>
    <w:rPr>
      <w:rFonts w:ascii="Times New Roman"/>
      <w:sz w:val="24"/>
      <w:szCs w:val="24"/>
    </w:rPr>
  </w:style>
  <w:style w:type="paragraph" w:customStyle="1" w:styleId="papildomi">
    <w:name w:val="papildomi"/>
    <w:basedOn w:val="Normal"/>
    <w:rsid w:val="001258AD"/>
    <w:pPr>
      <w:spacing w:line="360" w:lineRule="atLeast"/>
      <w:ind w:firstLine="680"/>
      <w:jc w:val="both"/>
    </w:pPr>
  </w:style>
  <w:style w:type="paragraph" w:styleId="NormalWeb">
    <w:name w:val="Normal (Web)"/>
    <w:basedOn w:val="Normal"/>
    <w:uiPriority w:val="99"/>
    <w:rsid w:val="001258AD"/>
    <w:pPr>
      <w:spacing w:before="100" w:beforeAutospacing="1" w:after="100" w:afterAutospacing="1"/>
    </w:pPr>
  </w:style>
  <w:style w:type="paragraph" w:styleId="IntenseQuote">
    <w:name w:val="Intense Quote"/>
    <w:basedOn w:val="Normal"/>
    <w:next w:val="Normal"/>
    <w:link w:val="IntenseQuoteChar"/>
    <w:uiPriority w:val="30"/>
    <w:qFormat/>
    <w:rsid w:val="00711FA9"/>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ntenseQuoteChar">
    <w:name w:val="Intense Quote Char"/>
    <w:link w:val="IntenseQuote"/>
    <w:uiPriority w:val="30"/>
    <w:rsid w:val="00711FA9"/>
    <w:rPr>
      <w:rFonts w:ascii="Times New Roman"/>
      <w:iCs/>
      <w:sz w:val="24"/>
      <w:szCs w:val="24"/>
    </w:rPr>
  </w:style>
  <w:style w:type="paragraph" w:styleId="Footer">
    <w:name w:val="footer"/>
    <w:basedOn w:val="Normal"/>
    <w:link w:val="FooterChar"/>
    <w:uiPriority w:val="99"/>
    <w:unhideWhenUsed/>
    <w:rsid w:val="008046D8"/>
    <w:pPr>
      <w:tabs>
        <w:tab w:val="center" w:pos="4819"/>
        <w:tab w:val="right" w:pos="9638"/>
      </w:tabs>
    </w:pPr>
  </w:style>
  <w:style w:type="character" w:customStyle="1" w:styleId="FooterChar">
    <w:name w:val="Footer Char"/>
    <w:link w:val="Footer"/>
    <w:uiPriority w:val="99"/>
    <w:rsid w:val="008046D8"/>
    <w:rPr>
      <w:rFonts w:ascii="Times New Roman"/>
      <w:sz w:val="24"/>
      <w:szCs w:val="24"/>
    </w:rPr>
  </w:style>
  <w:style w:type="paragraph" w:styleId="BalloonText">
    <w:name w:val="Balloon Text"/>
    <w:basedOn w:val="Normal"/>
    <w:link w:val="BalloonTextChar"/>
    <w:uiPriority w:val="99"/>
    <w:semiHidden/>
    <w:unhideWhenUsed/>
    <w:rsid w:val="00697772"/>
    <w:rPr>
      <w:rFonts w:ascii="Segoe UI" w:hAnsi="Segoe UI" w:cs="Segoe UI"/>
      <w:sz w:val="18"/>
      <w:szCs w:val="18"/>
    </w:rPr>
  </w:style>
  <w:style w:type="character" w:customStyle="1" w:styleId="BalloonTextChar">
    <w:name w:val="Balloon Text Char"/>
    <w:link w:val="BalloonText"/>
    <w:uiPriority w:val="99"/>
    <w:semiHidden/>
    <w:rsid w:val="00697772"/>
    <w:rPr>
      <w:rFonts w:ascii="Segoe UI" w:hAnsi="Segoe UI" w:cs="Segoe UI"/>
      <w:sz w:val="18"/>
      <w:szCs w:val="18"/>
    </w:rPr>
  </w:style>
  <w:style w:type="character" w:styleId="CommentReference">
    <w:name w:val="annotation reference"/>
    <w:uiPriority w:val="99"/>
    <w:semiHidden/>
    <w:unhideWhenUsed/>
    <w:rsid w:val="00C13953"/>
    <w:rPr>
      <w:sz w:val="16"/>
      <w:szCs w:val="16"/>
    </w:rPr>
  </w:style>
  <w:style w:type="paragraph" w:styleId="CommentText">
    <w:name w:val="annotation text"/>
    <w:basedOn w:val="Normal"/>
    <w:link w:val="CommentTextChar"/>
    <w:uiPriority w:val="99"/>
    <w:semiHidden/>
    <w:unhideWhenUsed/>
    <w:rsid w:val="00C13953"/>
    <w:rPr>
      <w:sz w:val="20"/>
      <w:szCs w:val="20"/>
    </w:rPr>
  </w:style>
  <w:style w:type="character" w:customStyle="1" w:styleId="CommentTextChar">
    <w:name w:val="Comment Text Char"/>
    <w:link w:val="CommentText"/>
    <w:uiPriority w:val="99"/>
    <w:semiHidden/>
    <w:rsid w:val="00C13953"/>
    <w:rPr>
      <w:rFonts w:ascii="Times New Roman"/>
    </w:rPr>
  </w:style>
  <w:style w:type="paragraph" w:styleId="CommentSubject">
    <w:name w:val="annotation subject"/>
    <w:basedOn w:val="CommentText"/>
    <w:next w:val="CommentText"/>
    <w:link w:val="CommentSubjectChar"/>
    <w:uiPriority w:val="99"/>
    <w:semiHidden/>
    <w:unhideWhenUsed/>
    <w:rsid w:val="00C13953"/>
    <w:rPr>
      <w:b/>
      <w:bCs/>
    </w:rPr>
  </w:style>
  <w:style w:type="character" w:customStyle="1" w:styleId="CommentSubjectChar">
    <w:name w:val="Comment Subject Char"/>
    <w:link w:val="CommentSubject"/>
    <w:uiPriority w:val="99"/>
    <w:semiHidden/>
    <w:rsid w:val="00C13953"/>
    <w:rPr>
      <w:rFonts w:ascii="Times New Roman"/>
      <w:b/>
      <w:bCs/>
    </w:rPr>
  </w:style>
  <w:style w:type="paragraph" w:styleId="Revision">
    <w:name w:val="Revision"/>
    <w:hidden/>
    <w:uiPriority w:val="99"/>
    <w:semiHidden/>
    <w:rsid w:val="00EC6225"/>
    <w:rPr>
      <w:rFonts w:ascii="Times New Roman"/>
      <w:sz w:val="24"/>
      <w:szCs w:val="24"/>
    </w:rPr>
  </w:style>
  <w:style w:type="paragraph" w:customStyle="1" w:styleId="Default">
    <w:name w:val="Default"/>
    <w:rsid w:val="005F51C0"/>
    <w:pPr>
      <w:autoSpaceDE w:val="0"/>
      <w:autoSpaceDN w:val="0"/>
      <w:adjustRightInd w:val="0"/>
    </w:pPr>
    <w:rPr>
      <w:rFonts w:ascii="Times New Roman"/>
      <w:color w:val="000000"/>
      <w:sz w:val="24"/>
      <w:szCs w:val="24"/>
    </w:rPr>
  </w:style>
  <w:style w:type="paragraph" w:styleId="ListParagraph">
    <w:name w:val="List Paragraph"/>
    <w:basedOn w:val="Normal"/>
    <w:uiPriority w:val="34"/>
    <w:qFormat/>
    <w:rsid w:val="005F51C0"/>
    <w:pPr>
      <w:ind w:left="720"/>
      <w:contextualSpacing/>
    </w:pPr>
  </w:style>
  <w:style w:type="table" w:styleId="TableGrid">
    <w:name w:val="Table Grid"/>
    <w:basedOn w:val="TableNormal"/>
    <w:uiPriority w:val="59"/>
    <w:rsid w:val="001557B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517015">
      <w:bodyDiv w:val="1"/>
      <w:marLeft w:val="0"/>
      <w:marRight w:val="0"/>
      <w:marTop w:val="0"/>
      <w:marBottom w:val="0"/>
      <w:divBdr>
        <w:top w:val="none" w:sz="0" w:space="0" w:color="auto"/>
        <w:left w:val="none" w:sz="0" w:space="0" w:color="auto"/>
        <w:bottom w:val="none" w:sz="0" w:space="0" w:color="auto"/>
        <w:right w:val="none" w:sz="0" w:space="0" w:color="auto"/>
      </w:divBdr>
    </w:div>
    <w:div w:id="16341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5121</Words>
  <Characters>2919</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Matusa</dc:creator>
  <cp:lastModifiedBy>Žaunierienė Ieva</cp:lastModifiedBy>
  <cp:revision>35</cp:revision>
  <cp:lastPrinted>2017-09-20T10:07:00Z</cp:lastPrinted>
  <dcterms:created xsi:type="dcterms:W3CDTF">2018-11-02T12:29:00Z</dcterms:created>
  <dcterms:modified xsi:type="dcterms:W3CDTF">2020-12-02T06:49:00Z</dcterms:modified>
</cp:coreProperties>
</file>