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E9784" w14:textId="458F022C" w:rsidR="00774769" w:rsidRPr="004E0C44" w:rsidRDefault="0017552B" w:rsidP="00CA4A00">
      <w:pPr>
        <w:pStyle w:val="BodyText"/>
        <w:ind w:right="-86"/>
        <w:rPr>
          <w:rFonts w:ascii="Times New Roman" w:hAnsi="Times New Roman"/>
          <w:sz w:val="23"/>
          <w:szCs w:val="23"/>
        </w:rPr>
      </w:pPr>
      <w:r w:rsidRPr="004E0C44">
        <w:rPr>
          <w:rFonts w:ascii="Times New Roman" w:hAnsi="Times New Roman"/>
          <w:sz w:val="23"/>
          <w:szCs w:val="23"/>
        </w:rPr>
        <w:t xml:space="preserve">LIETUVOS RESPUBLIKOS BRANDUOLINĖS ENERGIJOS ĮSTATYMO NR. I-1613 </w:t>
      </w:r>
      <w:r w:rsidRPr="004E0C44">
        <w:rPr>
          <w:rFonts w:ascii="Times New Roman" w:hAnsi="Times New Roman"/>
          <w:sz w:val="23"/>
          <w:szCs w:val="23"/>
        </w:rPr>
        <w:br/>
        <w:t xml:space="preserve">2, 15, 34 IR 36 STRAIPSNIŲ PAKEITIMO ĮSTATYMO PROJEKTO </w:t>
      </w:r>
      <w:r w:rsidR="00774769" w:rsidRPr="004E0C44">
        <w:rPr>
          <w:rFonts w:ascii="Times New Roman" w:hAnsi="Times New Roman"/>
          <w:sz w:val="23"/>
          <w:szCs w:val="23"/>
        </w:rPr>
        <w:t>DERINIM</w:t>
      </w:r>
      <w:r w:rsidR="00477410" w:rsidRPr="004E0C44">
        <w:rPr>
          <w:rFonts w:ascii="Times New Roman" w:hAnsi="Times New Roman"/>
          <w:sz w:val="23"/>
          <w:szCs w:val="23"/>
        </w:rPr>
        <w:t>O PAŽYMA</w:t>
      </w:r>
    </w:p>
    <w:p w14:paraId="1CE78BB5" w14:textId="77777777" w:rsidR="003D19A3" w:rsidRPr="00894F48" w:rsidRDefault="003D19A3">
      <w:pPr>
        <w:rPr>
          <w:sz w:val="22"/>
          <w:szCs w:val="22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4962"/>
      </w:tblGrid>
      <w:tr w:rsidR="00774769" w:rsidRPr="004E0C44" w14:paraId="2FD49BEB" w14:textId="77777777" w:rsidTr="00D2651A">
        <w:trPr>
          <w:cantSplit/>
          <w:tblHeader/>
        </w:trPr>
        <w:tc>
          <w:tcPr>
            <w:tcW w:w="5098" w:type="dxa"/>
            <w:vAlign w:val="center"/>
          </w:tcPr>
          <w:p w14:paraId="79E74FAE" w14:textId="77777777" w:rsidR="00774769" w:rsidRPr="004E0C44" w:rsidRDefault="00FC5A6D" w:rsidP="00672474">
            <w:pPr>
              <w:jc w:val="center"/>
              <w:rPr>
                <w:b/>
                <w:sz w:val="22"/>
                <w:szCs w:val="22"/>
              </w:rPr>
            </w:pPr>
            <w:r w:rsidRPr="004E0C44">
              <w:rPr>
                <w:b/>
                <w:sz w:val="22"/>
                <w:szCs w:val="22"/>
              </w:rPr>
              <w:t>Pastabos ir pasiūlymai</w:t>
            </w:r>
          </w:p>
        </w:tc>
        <w:tc>
          <w:tcPr>
            <w:tcW w:w="4962" w:type="dxa"/>
            <w:vAlign w:val="center"/>
          </w:tcPr>
          <w:p w14:paraId="39E8B781" w14:textId="71BED22C" w:rsidR="00774769" w:rsidRPr="004E0C44" w:rsidRDefault="00942FCA" w:rsidP="004326A6">
            <w:pPr>
              <w:spacing w:before="60" w:after="60"/>
              <w:ind w:right="74"/>
              <w:jc w:val="center"/>
              <w:rPr>
                <w:b/>
                <w:color w:val="000000"/>
                <w:sz w:val="22"/>
                <w:szCs w:val="22"/>
              </w:rPr>
            </w:pPr>
            <w:r w:rsidRPr="004E0C44">
              <w:rPr>
                <w:b/>
                <w:caps/>
                <w:color w:val="000000"/>
                <w:sz w:val="22"/>
                <w:szCs w:val="22"/>
              </w:rPr>
              <w:t>A</w:t>
            </w:r>
            <w:r w:rsidRPr="004E0C44">
              <w:rPr>
                <w:b/>
                <w:color w:val="000000"/>
                <w:sz w:val="22"/>
                <w:szCs w:val="22"/>
              </w:rPr>
              <w:t>rgumentai, kodėl neatsižvelgta arba atsižvelgta iš dalies į suinteresuotos institucijos pastabas ir pasiūlymus</w:t>
            </w:r>
          </w:p>
        </w:tc>
      </w:tr>
      <w:tr w:rsidR="0090329B" w:rsidRPr="004E0C44" w14:paraId="43C79352" w14:textId="77777777" w:rsidTr="00D2651A">
        <w:tc>
          <w:tcPr>
            <w:tcW w:w="10060" w:type="dxa"/>
            <w:gridSpan w:val="2"/>
            <w:vAlign w:val="center"/>
          </w:tcPr>
          <w:p w14:paraId="0A6E47DD" w14:textId="36B8A836" w:rsidR="0090329B" w:rsidRPr="004E0C44" w:rsidRDefault="004F4748" w:rsidP="00A9370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0C44">
              <w:rPr>
                <w:sz w:val="22"/>
                <w:szCs w:val="22"/>
              </w:rPr>
              <w:t>Lietuvos Respub</w:t>
            </w:r>
            <w:r w:rsidR="00A975BA" w:rsidRPr="004E0C44">
              <w:rPr>
                <w:sz w:val="22"/>
                <w:szCs w:val="22"/>
              </w:rPr>
              <w:t xml:space="preserve">likos </w:t>
            </w:r>
            <w:r w:rsidR="001A3E39" w:rsidRPr="004E0C44">
              <w:rPr>
                <w:sz w:val="22"/>
                <w:szCs w:val="22"/>
              </w:rPr>
              <w:t>teisingumo ministerijos</w:t>
            </w:r>
            <w:r w:rsidR="0090329B" w:rsidRPr="004E0C44">
              <w:rPr>
                <w:sz w:val="22"/>
                <w:szCs w:val="22"/>
              </w:rPr>
              <w:t xml:space="preserve"> 20</w:t>
            </w:r>
            <w:r w:rsidR="00FF53FA" w:rsidRPr="004E0C44">
              <w:rPr>
                <w:sz w:val="22"/>
                <w:szCs w:val="22"/>
              </w:rPr>
              <w:t>21</w:t>
            </w:r>
            <w:r w:rsidR="0090329B" w:rsidRPr="004E0C44">
              <w:rPr>
                <w:sz w:val="22"/>
                <w:szCs w:val="22"/>
              </w:rPr>
              <w:t xml:space="preserve"> m. </w:t>
            </w:r>
            <w:r w:rsidR="00FF53FA" w:rsidRPr="004E0C44">
              <w:rPr>
                <w:sz w:val="22"/>
                <w:szCs w:val="22"/>
              </w:rPr>
              <w:t>balandžio 16</w:t>
            </w:r>
            <w:r w:rsidR="0090329B" w:rsidRPr="004E0C44">
              <w:rPr>
                <w:sz w:val="22"/>
                <w:szCs w:val="22"/>
              </w:rPr>
              <w:t xml:space="preserve"> d. raštas Nr. </w:t>
            </w:r>
            <w:r w:rsidR="002048FF" w:rsidRPr="004E0C44">
              <w:rPr>
                <w:sz w:val="22"/>
                <w:szCs w:val="22"/>
              </w:rPr>
              <w:t>(1.6Mr) 2T-366</w:t>
            </w:r>
          </w:p>
        </w:tc>
      </w:tr>
      <w:tr w:rsidR="00F34532" w:rsidRPr="004E0C44" w14:paraId="1DAC148A" w14:textId="77777777" w:rsidTr="00D2651A">
        <w:trPr>
          <w:cantSplit/>
        </w:trPr>
        <w:tc>
          <w:tcPr>
            <w:tcW w:w="5098" w:type="dxa"/>
          </w:tcPr>
          <w:p w14:paraId="15035C2F" w14:textId="42D441D9" w:rsidR="00412CDC" w:rsidRPr="004E0C44" w:rsidRDefault="00412CDC" w:rsidP="00666C07">
            <w:pPr>
              <w:pStyle w:val="ListParagraph"/>
              <w:numPr>
                <w:ilvl w:val="0"/>
                <w:numId w:val="17"/>
              </w:numPr>
              <w:tabs>
                <w:tab w:val="left" w:pos="240"/>
              </w:tabs>
              <w:ind w:left="34" w:firstLine="0"/>
              <w:rPr>
                <w:color w:val="000000"/>
                <w:sz w:val="22"/>
                <w:szCs w:val="22"/>
                <w:lang w:eastAsia="ar-SA"/>
              </w:rPr>
            </w:pPr>
            <w:r w:rsidRPr="004E0C44">
              <w:rPr>
                <w:color w:val="000000"/>
                <w:sz w:val="22"/>
                <w:szCs w:val="22"/>
              </w:rPr>
              <w:t xml:space="preserve">Vertinant keičiamo įstatymo 2 straipsnio 13 dalį, įteisinančią </w:t>
            </w:r>
            <w:r w:rsidRPr="004E0C44">
              <w:rPr>
                <w:i/>
                <w:iCs/>
                <w:color w:val="000000"/>
                <w:sz w:val="22"/>
                <w:szCs w:val="22"/>
              </w:rPr>
              <w:t>fizinės saugos</w:t>
            </w:r>
            <w:r w:rsidRPr="004E0C44">
              <w:rPr>
                <w:color w:val="000000"/>
                <w:sz w:val="22"/>
                <w:szCs w:val="22"/>
              </w:rPr>
              <w:t xml:space="preserve"> sąvoką, kuri be kita ko, apima ir apsaugos priemonių n</w:t>
            </w:r>
            <w:r w:rsidRPr="004E0C44">
              <w:rPr>
                <w:color w:val="000000"/>
                <w:sz w:val="22"/>
                <w:szCs w:val="22"/>
                <w:shd w:val="clear" w:color="auto" w:fill="FFFFFF"/>
              </w:rPr>
              <w:t>uo nesankcionuoto pašalinių asmenų patekimo į branduolinės energetikos objekto apsaugos zonas užtikrinimą</w:t>
            </w:r>
            <w:r w:rsidRPr="004E0C44">
              <w:rPr>
                <w:color w:val="000000"/>
                <w:sz w:val="22"/>
                <w:szCs w:val="22"/>
              </w:rPr>
              <w:t xml:space="preserve">, ir 36 straipsnio nuostatas, kuriose jau įteisinti fizinių asmenų, transporto priemonių ir daiktų tikrinimo, apžiūros ir ribojimo patekti į nurodytą zoną ir pan. teisiniai santykiai, manome, kad yra abejotinas keičiamo įstatymo 2 straipsnio pildymo 40 dalimi, įteisinant </w:t>
            </w:r>
            <w:r w:rsidRPr="004E0C44">
              <w:rPr>
                <w:i/>
                <w:iCs/>
                <w:color w:val="000000"/>
                <w:sz w:val="22"/>
                <w:szCs w:val="22"/>
              </w:rPr>
              <w:t>zonos kontrolės</w:t>
            </w:r>
            <w:r w:rsidRPr="004E0C44">
              <w:rPr>
                <w:color w:val="000000"/>
                <w:sz w:val="22"/>
                <w:szCs w:val="22"/>
              </w:rPr>
              <w:t xml:space="preserve"> sąvoką, tikslingumas, nes neaiški jos pridėtinė vertė.</w:t>
            </w:r>
          </w:p>
          <w:p w14:paraId="79D1EA02" w14:textId="6C15CFB6" w:rsidR="00F34532" w:rsidRPr="004E0C44" w:rsidRDefault="00C043DB" w:rsidP="006249E2">
            <w:pPr>
              <w:pStyle w:val="ListParagraph"/>
              <w:numPr>
                <w:ilvl w:val="0"/>
                <w:numId w:val="17"/>
              </w:numPr>
              <w:tabs>
                <w:tab w:val="left" w:pos="240"/>
              </w:tabs>
              <w:ind w:left="34" w:firstLine="0"/>
              <w:rPr>
                <w:color w:val="000000"/>
                <w:sz w:val="22"/>
                <w:szCs w:val="22"/>
                <w:lang w:eastAsia="ar-SA"/>
              </w:rPr>
            </w:pPr>
            <w:r w:rsidRPr="004E0C44">
              <w:rPr>
                <w:color w:val="000000"/>
                <w:sz w:val="22"/>
                <w:szCs w:val="22"/>
              </w:rPr>
              <w:t xml:space="preserve">Įvertinant </w:t>
            </w:r>
            <w:r w:rsidR="0071602A" w:rsidRPr="0071602A">
              <w:rPr>
                <w:color w:val="000000"/>
                <w:sz w:val="22"/>
                <w:szCs w:val="22"/>
              </w:rPr>
              <w:t>Lietuvos Respublikos branduolinės energijos įstatymo Nr. I-1613 2, 15, 34 ir 36 straipsnių pakeitimo įstatymo projekt</w:t>
            </w:r>
            <w:r w:rsidR="0071602A">
              <w:rPr>
                <w:color w:val="000000"/>
                <w:sz w:val="22"/>
                <w:szCs w:val="22"/>
              </w:rPr>
              <w:t>o</w:t>
            </w:r>
            <w:r w:rsidR="0071602A" w:rsidRPr="0071602A">
              <w:rPr>
                <w:color w:val="000000"/>
                <w:sz w:val="22"/>
                <w:szCs w:val="22"/>
              </w:rPr>
              <w:t xml:space="preserve"> (toliau – Projektas) </w:t>
            </w:r>
            <w:r w:rsidRPr="004E0C44">
              <w:rPr>
                <w:color w:val="000000"/>
                <w:sz w:val="22"/>
                <w:szCs w:val="22"/>
                <w:shd w:val="clear" w:color="auto" w:fill="FFFFFF"/>
              </w:rPr>
              <w:t xml:space="preserve">1 straipsnyje keičiamo įstatymo 2 straipsnio 40 dalyje siūlomą termino apibrėžtį, Projekto 2 straipsnyje keičiamo įstatymo 15 straipsnio 5 punkto nuostata „įskaitant riboto patekimo ir saugomos zonų kontrolę“ keistina žodžiais „zonos kontrolę“ (jei terminas </w:t>
            </w:r>
            <w:r w:rsidRPr="004E0C44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zonos kontrolė</w:t>
            </w:r>
            <w:r w:rsidRPr="004E0C44">
              <w:rPr>
                <w:color w:val="000000"/>
                <w:sz w:val="22"/>
                <w:szCs w:val="22"/>
                <w:shd w:val="clear" w:color="auto" w:fill="FFFFFF"/>
              </w:rPr>
              <w:t>, neatsižvelgus į 1 pastabą, bus paliktas), nes šioje sąvokoje būtent ir apibrėžiamas patekimo į zonas ribojimas ir jų kontrolė. Žodžiai „fizinę apsaugą“ keistini žodžiais „fizinę saugą“.</w:t>
            </w:r>
          </w:p>
        </w:tc>
        <w:tc>
          <w:tcPr>
            <w:tcW w:w="4962" w:type="dxa"/>
          </w:tcPr>
          <w:p w14:paraId="52F011E5" w14:textId="77777777" w:rsidR="00C043DB" w:rsidRPr="004E0C44" w:rsidRDefault="00C043DB" w:rsidP="00C043DB">
            <w:pPr>
              <w:rPr>
                <w:b/>
                <w:sz w:val="22"/>
                <w:szCs w:val="22"/>
              </w:rPr>
            </w:pPr>
            <w:r w:rsidRPr="004E0C44">
              <w:rPr>
                <w:b/>
                <w:sz w:val="22"/>
                <w:szCs w:val="22"/>
              </w:rPr>
              <w:t>Neatsižvelgta</w:t>
            </w:r>
          </w:p>
          <w:p w14:paraId="5EEB6B83" w14:textId="0493575F" w:rsidR="00C043DB" w:rsidRPr="004E0C44" w:rsidRDefault="00C043DB" w:rsidP="00C043DB">
            <w:pPr>
              <w:rPr>
                <w:bCs/>
                <w:sz w:val="22"/>
                <w:szCs w:val="22"/>
              </w:rPr>
            </w:pPr>
            <w:r w:rsidRPr="00241B6D">
              <w:rPr>
                <w:bCs/>
                <w:i/>
                <w:iCs/>
                <w:sz w:val="22"/>
                <w:szCs w:val="22"/>
              </w:rPr>
              <w:t>Fizinė sauga</w:t>
            </w:r>
            <w:r w:rsidRPr="004E0C44">
              <w:rPr>
                <w:bCs/>
                <w:sz w:val="22"/>
                <w:szCs w:val="22"/>
              </w:rPr>
              <w:t xml:space="preserve"> ir </w:t>
            </w:r>
            <w:r w:rsidRPr="00241B6D">
              <w:rPr>
                <w:bCs/>
                <w:i/>
                <w:iCs/>
                <w:sz w:val="22"/>
                <w:szCs w:val="22"/>
              </w:rPr>
              <w:t>fizinė apsauga</w:t>
            </w:r>
            <w:r w:rsidRPr="004E0C44">
              <w:rPr>
                <w:bCs/>
                <w:sz w:val="22"/>
                <w:szCs w:val="22"/>
              </w:rPr>
              <w:t xml:space="preserve"> nėra tapačios sąvokos. </w:t>
            </w:r>
            <w:r w:rsidR="00392CD9" w:rsidRPr="004E0C44">
              <w:rPr>
                <w:bCs/>
                <w:sz w:val="22"/>
                <w:szCs w:val="22"/>
              </w:rPr>
              <w:t>P</w:t>
            </w:r>
            <w:r w:rsidR="0049707A" w:rsidRPr="004E0C44">
              <w:rPr>
                <w:bCs/>
                <w:sz w:val="22"/>
                <w:szCs w:val="22"/>
              </w:rPr>
              <w:t>a</w:t>
            </w:r>
            <w:r w:rsidR="00392CD9" w:rsidRPr="004E0C44">
              <w:rPr>
                <w:bCs/>
                <w:sz w:val="22"/>
                <w:szCs w:val="22"/>
              </w:rPr>
              <w:t xml:space="preserve">gal </w:t>
            </w:r>
            <w:r w:rsidR="008F4105">
              <w:rPr>
                <w:bCs/>
                <w:sz w:val="22"/>
                <w:szCs w:val="22"/>
              </w:rPr>
              <w:t>Lietuvos Respublikos b</w:t>
            </w:r>
            <w:r w:rsidR="00392CD9" w:rsidRPr="004E0C44">
              <w:rPr>
                <w:bCs/>
                <w:sz w:val="22"/>
                <w:szCs w:val="22"/>
              </w:rPr>
              <w:t>randuolinės saugos įstatymo</w:t>
            </w:r>
            <w:r w:rsidR="00F028A5" w:rsidRPr="004E0C44">
              <w:rPr>
                <w:bCs/>
                <w:sz w:val="22"/>
                <w:szCs w:val="22"/>
              </w:rPr>
              <w:t xml:space="preserve"> 21 straipsnio 9 dalį </w:t>
            </w:r>
            <w:r w:rsidR="00F73E6C" w:rsidRPr="004E0C44">
              <w:rPr>
                <w:bCs/>
                <w:sz w:val="22"/>
                <w:szCs w:val="22"/>
              </w:rPr>
              <w:t>u</w:t>
            </w:r>
            <w:r w:rsidR="00F028A5" w:rsidRPr="004E0C44">
              <w:rPr>
                <w:color w:val="000000"/>
                <w:sz w:val="22"/>
                <w:szCs w:val="22"/>
              </w:rPr>
              <w:t>ž branduolinės energetikos objekto fizinę saugą visiškai atsako licencijos turėtojas</w:t>
            </w:r>
            <w:r w:rsidR="00A87150" w:rsidRPr="004E0C44">
              <w:rPr>
                <w:color w:val="000000"/>
                <w:sz w:val="22"/>
                <w:szCs w:val="22"/>
              </w:rPr>
              <w:t xml:space="preserve">. Kitos institucijos tik prisideda vykdant tam tikras su </w:t>
            </w:r>
            <w:r w:rsidR="00786032" w:rsidRPr="004E0C44">
              <w:rPr>
                <w:color w:val="000000"/>
                <w:sz w:val="22"/>
                <w:szCs w:val="22"/>
              </w:rPr>
              <w:t>branduolinės energetikos objekto fizine sauga susijusias funkcijas.</w:t>
            </w:r>
            <w:r w:rsidR="0049707A" w:rsidRPr="004E0C44">
              <w:rPr>
                <w:color w:val="000000"/>
                <w:sz w:val="22"/>
                <w:szCs w:val="22"/>
              </w:rPr>
              <w:t xml:space="preserve"> Fizinė sauga apima </w:t>
            </w:r>
            <w:r w:rsidR="0019222F" w:rsidRPr="004E0C44">
              <w:rPr>
                <w:color w:val="000000"/>
                <w:sz w:val="22"/>
                <w:szCs w:val="22"/>
              </w:rPr>
              <w:t>fizinių barjerų</w:t>
            </w:r>
            <w:r w:rsidR="0058719C" w:rsidRPr="004E0C44">
              <w:rPr>
                <w:color w:val="000000"/>
                <w:sz w:val="22"/>
                <w:szCs w:val="22"/>
              </w:rPr>
              <w:t xml:space="preserve">, </w:t>
            </w:r>
            <w:r w:rsidR="00E573CE" w:rsidRPr="004E0C44">
              <w:rPr>
                <w:color w:val="000000"/>
                <w:sz w:val="22"/>
                <w:szCs w:val="22"/>
              </w:rPr>
              <w:t>vaizdo stebėjimo bei įsibrovimo ir įsilaužimo aptikimo sistem</w:t>
            </w:r>
            <w:r w:rsidR="003606DC" w:rsidRPr="004E0C44">
              <w:rPr>
                <w:color w:val="000000"/>
                <w:sz w:val="22"/>
                <w:szCs w:val="22"/>
              </w:rPr>
              <w:t>os</w:t>
            </w:r>
            <w:r w:rsidR="00E94F7C" w:rsidRPr="004E0C44">
              <w:rPr>
                <w:color w:val="000000"/>
                <w:sz w:val="22"/>
                <w:szCs w:val="22"/>
              </w:rPr>
              <w:t>, apsaugos punktų</w:t>
            </w:r>
            <w:r w:rsidR="0019222F" w:rsidRPr="004E0C44">
              <w:rPr>
                <w:color w:val="000000"/>
                <w:sz w:val="22"/>
                <w:szCs w:val="22"/>
              </w:rPr>
              <w:t xml:space="preserve"> </w:t>
            </w:r>
            <w:r w:rsidR="00F73E6C" w:rsidRPr="004E0C44">
              <w:rPr>
                <w:color w:val="000000"/>
                <w:sz w:val="22"/>
                <w:szCs w:val="22"/>
              </w:rPr>
              <w:t xml:space="preserve">įrengimą, </w:t>
            </w:r>
            <w:r w:rsidR="003606DC" w:rsidRPr="004E0C44">
              <w:rPr>
                <w:color w:val="000000"/>
                <w:sz w:val="22"/>
                <w:szCs w:val="22"/>
              </w:rPr>
              <w:t>asmenų, transp</w:t>
            </w:r>
            <w:r w:rsidR="00E94F7C" w:rsidRPr="004E0C44">
              <w:rPr>
                <w:color w:val="000000"/>
                <w:sz w:val="22"/>
                <w:szCs w:val="22"/>
              </w:rPr>
              <w:t>o</w:t>
            </w:r>
            <w:r w:rsidR="003606DC" w:rsidRPr="004E0C44">
              <w:rPr>
                <w:color w:val="000000"/>
                <w:sz w:val="22"/>
                <w:szCs w:val="22"/>
              </w:rPr>
              <w:t>rto priemonių</w:t>
            </w:r>
            <w:r w:rsidR="00F73E6C" w:rsidRPr="004E0C44">
              <w:rPr>
                <w:color w:val="000000"/>
                <w:sz w:val="22"/>
                <w:szCs w:val="22"/>
              </w:rPr>
              <w:t xml:space="preserve"> patikras</w:t>
            </w:r>
            <w:r w:rsidR="00E94F7C" w:rsidRPr="004E0C44">
              <w:rPr>
                <w:color w:val="000000"/>
                <w:sz w:val="22"/>
                <w:szCs w:val="22"/>
              </w:rPr>
              <w:t xml:space="preserve">, </w:t>
            </w:r>
            <w:r w:rsidR="000E3508" w:rsidRPr="004E0C44">
              <w:rPr>
                <w:color w:val="000000"/>
                <w:sz w:val="22"/>
                <w:szCs w:val="22"/>
              </w:rPr>
              <w:t>reagavimo pajėgų funkcijų vykdym</w:t>
            </w:r>
            <w:r w:rsidR="00C84C4A" w:rsidRPr="004E0C44">
              <w:rPr>
                <w:color w:val="000000"/>
                <w:sz w:val="22"/>
                <w:szCs w:val="22"/>
              </w:rPr>
              <w:t xml:space="preserve">ą ir kt. </w:t>
            </w:r>
            <w:r w:rsidR="00BD7941" w:rsidRPr="004E0C44">
              <w:rPr>
                <w:color w:val="000000"/>
                <w:sz w:val="22"/>
                <w:szCs w:val="22"/>
              </w:rPr>
              <w:t>Tiksliau f</w:t>
            </w:r>
            <w:r w:rsidRPr="004E0C44">
              <w:rPr>
                <w:bCs/>
                <w:sz w:val="22"/>
                <w:szCs w:val="22"/>
              </w:rPr>
              <w:t xml:space="preserve">izinė apsauga yra </w:t>
            </w:r>
            <w:r w:rsidR="00C84C4A" w:rsidRPr="004E0C44">
              <w:rPr>
                <w:bCs/>
                <w:sz w:val="22"/>
                <w:szCs w:val="22"/>
              </w:rPr>
              <w:t>tik viena i</w:t>
            </w:r>
            <w:r w:rsidR="0034552F" w:rsidRPr="004E0C44">
              <w:rPr>
                <w:bCs/>
                <w:sz w:val="22"/>
                <w:szCs w:val="22"/>
              </w:rPr>
              <w:t xml:space="preserve">š </w:t>
            </w:r>
            <w:r w:rsidRPr="004E0C44">
              <w:rPr>
                <w:bCs/>
                <w:sz w:val="22"/>
                <w:szCs w:val="22"/>
              </w:rPr>
              <w:t xml:space="preserve">fizinės saugos </w:t>
            </w:r>
            <w:r w:rsidR="00392CD9" w:rsidRPr="004E0C44">
              <w:rPr>
                <w:bCs/>
                <w:sz w:val="22"/>
                <w:szCs w:val="22"/>
              </w:rPr>
              <w:t xml:space="preserve">sistemos </w:t>
            </w:r>
            <w:r w:rsidRPr="004E0C44">
              <w:rPr>
                <w:bCs/>
                <w:sz w:val="22"/>
                <w:szCs w:val="22"/>
              </w:rPr>
              <w:t>dal</w:t>
            </w:r>
            <w:r w:rsidR="0034552F" w:rsidRPr="004E0C44">
              <w:rPr>
                <w:bCs/>
                <w:sz w:val="22"/>
                <w:szCs w:val="22"/>
              </w:rPr>
              <w:t>ių</w:t>
            </w:r>
            <w:r w:rsidRPr="004E0C44">
              <w:rPr>
                <w:bCs/>
                <w:sz w:val="22"/>
                <w:szCs w:val="22"/>
              </w:rPr>
              <w:t xml:space="preserve">, o zonos kontrolė yra </w:t>
            </w:r>
            <w:r w:rsidR="0034552F" w:rsidRPr="004E0C44">
              <w:rPr>
                <w:bCs/>
                <w:sz w:val="22"/>
                <w:szCs w:val="22"/>
              </w:rPr>
              <w:t xml:space="preserve">viena iš </w:t>
            </w:r>
            <w:r w:rsidRPr="004E0C44">
              <w:rPr>
                <w:bCs/>
                <w:sz w:val="22"/>
                <w:szCs w:val="22"/>
              </w:rPr>
              <w:t xml:space="preserve">fizinės apsaugos </w:t>
            </w:r>
            <w:r w:rsidR="003F556C" w:rsidRPr="004E0C44">
              <w:rPr>
                <w:bCs/>
                <w:sz w:val="22"/>
                <w:szCs w:val="22"/>
              </w:rPr>
              <w:t xml:space="preserve">sistemos </w:t>
            </w:r>
            <w:r w:rsidR="00F35DAF" w:rsidRPr="004E0C44">
              <w:rPr>
                <w:bCs/>
                <w:sz w:val="22"/>
                <w:szCs w:val="22"/>
              </w:rPr>
              <w:t>dalių.</w:t>
            </w:r>
          </w:p>
          <w:p w14:paraId="089DC97B" w14:textId="595FA05A" w:rsidR="00D04031" w:rsidRPr="00241B6D" w:rsidRDefault="00381B24" w:rsidP="0090329B">
            <w:pPr>
              <w:rPr>
                <w:i/>
                <w:iCs/>
                <w:sz w:val="22"/>
                <w:szCs w:val="22"/>
                <w:lang w:eastAsia="lt-LT"/>
              </w:rPr>
            </w:pPr>
            <w:r w:rsidRPr="004E0C44">
              <w:rPr>
                <w:bCs/>
                <w:sz w:val="22"/>
                <w:szCs w:val="22"/>
              </w:rPr>
              <w:t xml:space="preserve">Vadovaujantis </w:t>
            </w:r>
            <w:r w:rsidR="005D09F1">
              <w:rPr>
                <w:bCs/>
                <w:sz w:val="22"/>
                <w:szCs w:val="22"/>
              </w:rPr>
              <w:t>Lietuvos Respublikos b</w:t>
            </w:r>
            <w:r w:rsidR="007056C0" w:rsidRPr="004E0C44">
              <w:rPr>
                <w:bCs/>
                <w:sz w:val="22"/>
                <w:szCs w:val="22"/>
              </w:rPr>
              <w:t xml:space="preserve">randuolinės energijos įstatymo </w:t>
            </w:r>
            <w:r w:rsidR="003F556C" w:rsidRPr="004E0C44">
              <w:rPr>
                <w:bCs/>
                <w:sz w:val="22"/>
                <w:szCs w:val="22"/>
              </w:rPr>
              <w:t xml:space="preserve">(toliau – BEĮ) </w:t>
            </w:r>
            <w:r w:rsidR="009E7E3D" w:rsidRPr="004E0C44">
              <w:rPr>
                <w:bCs/>
                <w:sz w:val="22"/>
                <w:szCs w:val="22"/>
              </w:rPr>
              <w:t>34</w:t>
            </w:r>
            <w:r w:rsidR="00566F83" w:rsidRPr="004E0C44">
              <w:rPr>
                <w:bCs/>
                <w:sz w:val="22"/>
                <w:szCs w:val="22"/>
              </w:rPr>
              <w:t xml:space="preserve"> straips</w:t>
            </w:r>
            <w:r w:rsidRPr="004E0C44">
              <w:rPr>
                <w:bCs/>
                <w:sz w:val="22"/>
                <w:szCs w:val="22"/>
              </w:rPr>
              <w:t xml:space="preserve">nio 2 dalimi </w:t>
            </w:r>
            <w:r w:rsidR="000B12D2" w:rsidRPr="004E0C44">
              <w:rPr>
                <w:bCs/>
                <w:sz w:val="22"/>
                <w:szCs w:val="22"/>
              </w:rPr>
              <w:t>ir 36 straipsnio 10 dalimi</w:t>
            </w:r>
            <w:r w:rsidR="007E0565">
              <w:rPr>
                <w:bCs/>
                <w:sz w:val="22"/>
                <w:szCs w:val="22"/>
              </w:rPr>
              <w:t>,</w:t>
            </w:r>
            <w:r w:rsidR="000B12D2" w:rsidRPr="004E0C44">
              <w:rPr>
                <w:bCs/>
                <w:sz w:val="22"/>
                <w:szCs w:val="22"/>
              </w:rPr>
              <w:t xml:space="preserve"> </w:t>
            </w:r>
            <w:r w:rsidRPr="004E0C44">
              <w:rPr>
                <w:bCs/>
                <w:sz w:val="22"/>
                <w:szCs w:val="22"/>
              </w:rPr>
              <w:t>licencijos turėtojas</w:t>
            </w:r>
            <w:r w:rsidR="009B35AC" w:rsidRPr="004E0C44">
              <w:rPr>
                <w:bCs/>
                <w:sz w:val="22"/>
                <w:szCs w:val="22"/>
              </w:rPr>
              <w:t xml:space="preserve"> </w:t>
            </w:r>
            <w:r w:rsidR="000B12D2" w:rsidRPr="004E0C44">
              <w:rPr>
                <w:b/>
                <w:sz w:val="22"/>
                <w:szCs w:val="22"/>
              </w:rPr>
              <w:t>privalo</w:t>
            </w:r>
            <w:r w:rsidR="009B35AC" w:rsidRPr="004E0C44">
              <w:rPr>
                <w:b/>
                <w:sz w:val="22"/>
                <w:szCs w:val="22"/>
                <w:lang w:eastAsia="lt-LT"/>
              </w:rPr>
              <w:t xml:space="preserve"> kontroliuoti</w:t>
            </w:r>
            <w:r w:rsidR="009B35AC" w:rsidRPr="004E0C44">
              <w:rPr>
                <w:sz w:val="22"/>
                <w:szCs w:val="22"/>
                <w:lang w:eastAsia="lt-LT"/>
              </w:rPr>
              <w:t xml:space="preserve"> asmenų ir transporto priemonių patekimą į </w:t>
            </w:r>
            <w:r w:rsidR="00B72E45" w:rsidRPr="004E0C44">
              <w:rPr>
                <w:sz w:val="22"/>
                <w:szCs w:val="22"/>
                <w:lang w:eastAsia="lt-LT"/>
              </w:rPr>
              <w:t>papildomas branduolinės energetikos objekto apsaugos zonas</w:t>
            </w:r>
            <w:r w:rsidR="00F35DAF" w:rsidRPr="004E0C44">
              <w:rPr>
                <w:i/>
                <w:iCs/>
                <w:sz w:val="22"/>
                <w:szCs w:val="22"/>
                <w:lang w:eastAsia="lt-LT"/>
              </w:rPr>
              <w:t xml:space="preserve"> (</w:t>
            </w:r>
            <w:r w:rsidR="005C0B82" w:rsidRPr="004E0C44">
              <w:rPr>
                <w:i/>
                <w:iCs/>
                <w:sz w:val="22"/>
                <w:szCs w:val="22"/>
                <w:lang w:eastAsia="lt-LT"/>
              </w:rPr>
              <w:t>neaišku, k</w:t>
            </w:r>
            <w:r w:rsidR="005A109D" w:rsidRPr="004E0C44">
              <w:rPr>
                <w:i/>
                <w:iCs/>
                <w:sz w:val="22"/>
                <w:szCs w:val="22"/>
                <w:lang w:eastAsia="lt-LT"/>
              </w:rPr>
              <w:t xml:space="preserve">as yra </w:t>
            </w:r>
            <w:r w:rsidR="00E829A3" w:rsidRPr="004E0C44">
              <w:rPr>
                <w:i/>
                <w:iCs/>
                <w:sz w:val="22"/>
                <w:szCs w:val="22"/>
                <w:lang w:eastAsia="lt-LT"/>
              </w:rPr>
              <w:t xml:space="preserve">„kontroliuoti“, </w:t>
            </w:r>
            <w:r w:rsidR="00246AF3">
              <w:rPr>
                <w:i/>
                <w:iCs/>
                <w:sz w:val="22"/>
                <w:szCs w:val="22"/>
                <w:lang w:eastAsia="lt-LT"/>
              </w:rPr>
              <w:t xml:space="preserve">ar licencijos turėtojo </w:t>
            </w:r>
            <w:r w:rsidR="00296037" w:rsidRPr="004E0C44">
              <w:rPr>
                <w:i/>
                <w:iCs/>
                <w:sz w:val="22"/>
                <w:szCs w:val="22"/>
                <w:lang w:eastAsia="lt-LT"/>
              </w:rPr>
              <w:t xml:space="preserve">apsaugos </w:t>
            </w:r>
            <w:r w:rsidR="00FF60EA" w:rsidRPr="004E0C44">
              <w:rPr>
                <w:i/>
                <w:iCs/>
                <w:sz w:val="22"/>
                <w:szCs w:val="22"/>
                <w:lang w:eastAsia="lt-LT"/>
              </w:rPr>
              <w:t>darbuotojai</w:t>
            </w:r>
            <w:r w:rsidR="00296037" w:rsidRPr="004E0C44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DD21C7" w:rsidRPr="004E0C44">
              <w:rPr>
                <w:i/>
                <w:iCs/>
                <w:sz w:val="22"/>
                <w:szCs w:val="22"/>
                <w:lang w:eastAsia="lt-LT"/>
              </w:rPr>
              <w:t>tur</w:t>
            </w:r>
            <w:r w:rsidR="00A051AB">
              <w:rPr>
                <w:i/>
                <w:iCs/>
                <w:sz w:val="22"/>
                <w:szCs w:val="22"/>
                <w:lang w:eastAsia="lt-LT"/>
              </w:rPr>
              <w:t>i</w:t>
            </w:r>
            <w:r w:rsidR="00DD21C7" w:rsidRPr="004E0C44">
              <w:rPr>
                <w:i/>
                <w:iCs/>
                <w:sz w:val="22"/>
                <w:szCs w:val="22"/>
                <w:lang w:eastAsia="lt-LT"/>
              </w:rPr>
              <w:t xml:space="preserve"> teisę</w:t>
            </w:r>
            <w:r w:rsidR="00584C58" w:rsidRPr="004E0C44">
              <w:rPr>
                <w:i/>
                <w:iCs/>
                <w:sz w:val="22"/>
                <w:szCs w:val="22"/>
                <w:lang w:eastAsia="lt-LT"/>
              </w:rPr>
              <w:t xml:space="preserve"> patikrinti </w:t>
            </w:r>
            <w:r w:rsidR="00034404" w:rsidRPr="004E0C44">
              <w:rPr>
                <w:i/>
                <w:iCs/>
                <w:sz w:val="22"/>
                <w:szCs w:val="22"/>
                <w:lang w:eastAsia="lt-LT"/>
              </w:rPr>
              <w:t xml:space="preserve">gabenamus </w:t>
            </w:r>
            <w:r w:rsidR="00584C58" w:rsidRPr="004E0C44">
              <w:rPr>
                <w:i/>
                <w:iCs/>
                <w:sz w:val="22"/>
                <w:szCs w:val="22"/>
                <w:lang w:eastAsia="lt-LT"/>
              </w:rPr>
              <w:t>daiktus,</w:t>
            </w:r>
            <w:r w:rsidR="00FF60EA" w:rsidRPr="004E0C44">
              <w:rPr>
                <w:i/>
                <w:iCs/>
                <w:sz w:val="22"/>
                <w:szCs w:val="22"/>
                <w:lang w:eastAsia="lt-LT"/>
              </w:rPr>
              <w:t xml:space="preserve"> apriboti asmenų patekimo į </w:t>
            </w:r>
            <w:r w:rsidR="00431894" w:rsidRPr="004E0C44">
              <w:rPr>
                <w:i/>
                <w:iCs/>
                <w:sz w:val="22"/>
                <w:szCs w:val="22"/>
                <w:lang w:eastAsia="lt-LT"/>
              </w:rPr>
              <w:t xml:space="preserve">apsaugos </w:t>
            </w:r>
            <w:r w:rsidR="00FF60EA" w:rsidRPr="004E0C44">
              <w:rPr>
                <w:i/>
                <w:iCs/>
                <w:sz w:val="22"/>
                <w:szCs w:val="22"/>
                <w:lang w:eastAsia="lt-LT"/>
              </w:rPr>
              <w:t>zonas)</w:t>
            </w:r>
            <w:r w:rsidR="008D67CA" w:rsidRPr="004E0C44">
              <w:rPr>
                <w:sz w:val="22"/>
                <w:szCs w:val="22"/>
                <w:lang w:eastAsia="lt-LT"/>
              </w:rPr>
              <w:t>,</w:t>
            </w:r>
            <w:r w:rsidR="008D67CA" w:rsidRPr="004E0C44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8D67CA" w:rsidRPr="004E0C44">
              <w:rPr>
                <w:sz w:val="22"/>
                <w:szCs w:val="22"/>
                <w:lang w:eastAsia="lt-LT"/>
              </w:rPr>
              <w:t xml:space="preserve">o </w:t>
            </w:r>
            <w:bookmarkStart w:id="0" w:name="_Hlk67053208"/>
            <w:r w:rsidR="00BD3885" w:rsidRPr="004E0C44">
              <w:rPr>
                <w:sz w:val="22"/>
                <w:szCs w:val="22"/>
                <w:lang w:eastAsia="lt-LT"/>
              </w:rPr>
              <w:t>Viešojo saugumo tarnyb</w:t>
            </w:r>
            <w:r w:rsidR="00034404" w:rsidRPr="004E0C44">
              <w:rPr>
                <w:sz w:val="22"/>
                <w:szCs w:val="22"/>
                <w:lang w:eastAsia="lt-LT"/>
              </w:rPr>
              <w:t>os</w:t>
            </w:r>
            <w:r w:rsidR="00BD3885" w:rsidRPr="004E0C44">
              <w:rPr>
                <w:sz w:val="22"/>
                <w:szCs w:val="22"/>
                <w:lang w:eastAsia="lt-LT"/>
              </w:rPr>
              <w:t xml:space="preserve"> prie Vidaus reikalų ministerijos ir Policijos departament</w:t>
            </w:r>
            <w:r w:rsidR="00034404" w:rsidRPr="004E0C44">
              <w:rPr>
                <w:sz w:val="22"/>
                <w:szCs w:val="22"/>
                <w:lang w:eastAsia="lt-LT"/>
              </w:rPr>
              <w:t>o</w:t>
            </w:r>
            <w:r w:rsidR="00BD3885" w:rsidRPr="004E0C44">
              <w:rPr>
                <w:sz w:val="22"/>
                <w:szCs w:val="22"/>
                <w:lang w:eastAsia="lt-LT"/>
              </w:rPr>
              <w:t xml:space="preserve"> prie Vidaus reikalų ministerijos pareigūnai</w:t>
            </w:r>
            <w:bookmarkEnd w:id="0"/>
            <w:r w:rsidR="00EB663D" w:rsidRPr="004E0C44">
              <w:rPr>
                <w:sz w:val="22"/>
                <w:szCs w:val="22"/>
                <w:lang w:eastAsia="lt-LT"/>
              </w:rPr>
              <w:t xml:space="preserve"> riboto patekimo zonoje </w:t>
            </w:r>
            <w:r w:rsidR="00EB663D" w:rsidRPr="004E0C44">
              <w:rPr>
                <w:b/>
                <w:bCs/>
                <w:sz w:val="22"/>
                <w:szCs w:val="22"/>
                <w:lang w:eastAsia="lt-LT"/>
              </w:rPr>
              <w:t xml:space="preserve">gali </w:t>
            </w:r>
            <w:bookmarkStart w:id="1" w:name="_Hlk66978602"/>
            <w:r w:rsidR="00EB663D" w:rsidRPr="004E0C44">
              <w:rPr>
                <w:b/>
                <w:bCs/>
                <w:sz w:val="22"/>
                <w:szCs w:val="22"/>
                <w:lang w:eastAsia="lt-LT"/>
              </w:rPr>
              <w:t>tikrinti ir apžiūrėti</w:t>
            </w:r>
            <w:r w:rsidR="00EB663D" w:rsidRPr="004E0C44">
              <w:rPr>
                <w:sz w:val="22"/>
                <w:szCs w:val="22"/>
                <w:lang w:eastAsia="lt-LT"/>
              </w:rPr>
              <w:t xml:space="preserve"> joje esančius fizinius asmenis, transporto priemones, gabenamus krovinius bei jų dokumentus, taip pat gali ribo</w:t>
            </w:r>
            <w:r w:rsidR="006B5F9E" w:rsidRPr="004E0C44">
              <w:rPr>
                <w:sz w:val="22"/>
                <w:szCs w:val="22"/>
                <w:lang w:eastAsia="lt-LT"/>
              </w:rPr>
              <w:t>ti</w:t>
            </w:r>
            <w:r w:rsidR="00EB663D" w:rsidRPr="004E0C44">
              <w:rPr>
                <w:sz w:val="22"/>
                <w:szCs w:val="22"/>
                <w:lang w:eastAsia="lt-LT"/>
              </w:rPr>
              <w:t xml:space="preserve"> fizinių asmenų patekim</w:t>
            </w:r>
            <w:r w:rsidR="006B5F9E" w:rsidRPr="004E0C44">
              <w:rPr>
                <w:sz w:val="22"/>
                <w:szCs w:val="22"/>
                <w:lang w:eastAsia="lt-LT"/>
              </w:rPr>
              <w:t>ą</w:t>
            </w:r>
            <w:r w:rsidR="00EB663D" w:rsidRPr="004E0C44">
              <w:rPr>
                <w:sz w:val="22"/>
                <w:szCs w:val="22"/>
                <w:lang w:eastAsia="lt-LT"/>
              </w:rPr>
              <w:t xml:space="preserve"> į šią zoną.</w:t>
            </w:r>
            <w:bookmarkEnd w:id="1"/>
            <w:r w:rsidR="00D84703" w:rsidRPr="004E0C44">
              <w:rPr>
                <w:sz w:val="22"/>
                <w:szCs w:val="22"/>
                <w:lang w:eastAsia="lt-LT"/>
              </w:rPr>
              <w:t xml:space="preserve"> Todėl</w:t>
            </w:r>
            <w:r w:rsidR="007E0565">
              <w:rPr>
                <w:sz w:val="22"/>
                <w:szCs w:val="22"/>
                <w:lang w:eastAsia="lt-LT"/>
              </w:rPr>
              <w:t>,</w:t>
            </w:r>
            <w:r w:rsidR="00D84703" w:rsidRPr="004E0C44">
              <w:rPr>
                <w:sz w:val="22"/>
                <w:szCs w:val="22"/>
                <w:lang w:eastAsia="lt-LT"/>
              </w:rPr>
              <w:t xml:space="preserve"> siekiant teisinio aiškumo</w:t>
            </w:r>
            <w:r w:rsidR="007E0565">
              <w:rPr>
                <w:sz w:val="22"/>
                <w:szCs w:val="22"/>
                <w:lang w:eastAsia="lt-LT"/>
              </w:rPr>
              <w:t>,</w:t>
            </w:r>
            <w:r w:rsidR="00D84703" w:rsidRPr="004E0C44">
              <w:rPr>
                <w:sz w:val="22"/>
                <w:szCs w:val="22"/>
                <w:lang w:eastAsia="lt-LT"/>
              </w:rPr>
              <w:t xml:space="preserve"> </w:t>
            </w:r>
            <w:r w:rsidR="00CE59FA">
              <w:rPr>
                <w:sz w:val="22"/>
                <w:szCs w:val="22"/>
                <w:lang w:eastAsia="lt-LT"/>
              </w:rPr>
              <w:t>Projekte</w:t>
            </w:r>
            <w:r w:rsidR="00533B5E">
              <w:rPr>
                <w:sz w:val="22"/>
                <w:szCs w:val="22"/>
                <w:lang w:eastAsia="lt-LT"/>
              </w:rPr>
              <w:t xml:space="preserve"> </w:t>
            </w:r>
            <w:r w:rsidR="00F21AE4" w:rsidRPr="004E0C44">
              <w:rPr>
                <w:sz w:val="22"/>
                <w:szCs w:val="22"/>
                <w:lang w:eastAsia="lt-LT"/>
              </w:rPr>
              <w:t xml:space="preserve">siūloma apibrėžti naują sąvoką – </w:t>
            </w:r>
            <w:r w:rsidR="00F21AE4" w:rsidRPr="00241B6D">
              <w:rPr>
                <w:i/>
                <w:iCs/>
                <w:sz w:val="22"/>
                <w:szCs w:val="22"/>
                <w:lang w:eastAsia="lt-LT"/>
              </w:rPr>
              <w:t>zonos kontrolę</w:t>
            </w:r>
            <w:r w:rsidR="004D5252" w:rsidRPr="00241B6D">
              <w:rPr>
                <w:i/>
                <w:iCs/>
                <w:sz w:val="22"/>
                <w:szCs w:val="22"/>
                <w:lang w:eastAsia="lt-LT"/>
              </w:rPr>
              <w:t>.</w:t>
            </w:r>
          </w:p>
          <w:p w14:paraId="050B4D96" w14:textId="01D5838F" w:rsidR="004D5252" w:rsidRPr="004E0C44" w:rsidRDefault="00F74F9B" w:rsidP="0090329B">
            <w:pPr>
              <w:rPr>
                <w:bCs/>
                <w:sz w:val="22"/>
                <w:szCs w:val="22"/>
              </w:rPr>
            </w:pPr>
            <w:r w:rsidRPr="004E0C44">
              <w:rPr>
                <w:bCs/>
                <w:sz w:val="22"/>
                <w:szCs w:val="22"/>
              </w:rPr>
              <w:t>V</w:t>
            </w:r>
            <w:r w:rsidR="007866E9" w:rsidRPr="004E0C44">
              <w:rPr>
                <w:bCs/>
                <w:sz w:val="22"/>
                <w:szCs w:val="22"/>
              </w:rPr>
              <w:t xml:space="preserve">adovaujantis </w:t>
            </w:r>
            <w:r w:rsidR="00F63983" w:rsidRPr="004E0C44">
              <w:rPr>
                <w:bCs/>
                <w:sz w:val="22"/>
                <w:szCs w:val="22"/>
              </w:rPr>
              <w:t xml:space="preserve">BEĮ 2 straipsnio </w:t>
            </w:r>
            <w:r w:rsidR="00BE251D" w:rsidRPr="004E0C44">
              <w:rPr>
                <w:bCs/>
                <w:sz w:val="22"/>
                <w:szCs w:val="22"/>
              </w:rPr>
              <w:t>35 ir 37 dalimis</w:t>
            </w:r>
            <w:r w:rsidRPr="004E0C44">
              <w:rPr>
                <w:bCs/>
                <w:sz w:val="22"/>
                <w:szCs w:val="22"/>
              </w:rPr>
              <w:t xml:space="preserve"> ir</w:t>
            </w:r>
            <w:r w:rsidR="00BE251D" w:rsidRPr="004E0C44">
              <w:rPr>
                <w:bCs/>
                <w:sz w:val="22"/>
                <w:szCs w:val="22"/>
              </w:rPr>
              <w:t xml:space="preserve"> </w:t>
            </w:r>
            <w:r w:rsidR="0041143F" w:rsidRPr="004E0C44">
              <w:rPr>
                <w:color w:val="000000"/>
                <w:sz w:val="22"/>
                <w:szCs w:val="22"/>
              </w:rPr>
              <w:t xml:space="preserve">Branduolinės saugos reikalavimų BSR-1.6.1-2019 „Branduolinės energetikos objektų, branduolinės energetikos objektų aikštelių, branduolinių ir branduolinio kuro ciklo medžiagų fizinė sauga“, patvirtintų </w:t>
            </w:r>
            <w:r w:rsidR="005A5219" w:rsidRPr="004E0C44">
              <w:rPr>
                <w:color w:val="000000"/>
                <w:sz w:val="22"/>
                <w:szCs w:val="22"/>
              </w:rPr>
              <w:t>V</w:t>
            </w:r>
            <w:r w:rsidR="0041143F" w:rsidRPr="004E0C44">
              <w:rPr>
                <w:color w:val="000000"/>
                <w:sz w:val="22"/>
                <w:szCs w:val="22"/>
              </w:rPr>
              <w:t>alstybinės atominės energetikos saugos inspekcijos</w:t>
            </w:r>
            <w:r w:rsidR="005A5219" w:rsidRPr="004E0C44">
              <w:rPr>
                <w:color w:val="000000"/>
                <w:sz w:val="22"/>
                <w:szCs w:val="22"/>
              </w:rPr>
              <w:t xml:space="preserve"> viršininko </w:t>
            </w:r>
            <w:r w:rsidR="00732EA0" w:rsidRPr="004E0C44">
              <w:rPr>
                <w:color w:val="000000"/>
                <w:sz w:val="22"/>
                <w:szCs w:val="22"/>
              </w:rPr>
              <w:t xml:space="preserve">2012 m. balandžio 4 d. įsakymu Nr. 22.3-37, </w:t>
            </w:r>
            <w:r w:rsidR="002449CD" w:rsidRPr="004E0C44">
              <w:rPr>
                <w:color w:val="000000"/>
                <w:sz w:val="22"/>
                <w:szCs w:val="22"/>
              </w:rPr>
              <w:t>3.7 ir 3.17 papunkčiais</w:t>
            </w:r>
            <w:r w:rsidR="00B8761C" w:rsidRPr="004E0C44">
              <w:rPr>
                <w:color w:val="000000"/>
                <w:sz w:val="22"/>
                <w:szCs w:val="22"/>
              </w:rPr>
              <w:t>, branduolinės energetikos objektas gali turėti keturias apsaugos zonas</w:t>
            </w:r>
            <w:r w:rsidR="008C2D1E">
              <w:rPr>
                <w:color w:val="000000"/>
                <w:sz w:val="22"/>
                <w:szCs w:val="22"/>
              </w:rPr>
              <w:t xml:space="preserve"> (riboto pateikimo</w:t>
            </w:r>
            <w:r w:rsidR="00341F31">
              <w:rPr>
                <w:color w:val="000000"/>
                <w:sz w:val="22"/>
                <w:szCs w:val="22"/>
              </w:rPr>
              <w:t>, saugomą, vidinę ir ypač svarbią</w:t>
            </w:r>
            <w:r w:rsidR="00897856">
              <w:rPr>
                <w:color w:val="000000"/>
                <w:sz w:val="22"/>
                <w:szCs w:val="22"/>
              </w:rPr>
              <w:t xml:space="preserve"> zonas)</w:t>
            </w:r>
            <w:r w:rsidR="00B8761C" w:rsidRPr="004E0C44">
              <w:rPr>
                <w:color w:val="000000"/>
                <w:sz w:val="22"/>
                <w:szCs w:val="22"/>
              </w:rPr>
              <w:t xml:space="preserve">. Atsižvelgiant </w:t>
            </w:r>
            <w:r w:rsidRPr="004E0C44">
              <w:rPr>
                <w:color w:val="000000"/>
                <w:sz w:val="22"/>
                <w:szCs w:val="22"/>
              </w:rPr>
              <w:t>į</w:t>
            </w:r>
            <w:r w:rsidR="001A6BB1" w:rsidRPr="004E0C44">
              <w:rPr>
                <w:color w:val="000000"/>
                <w:sz w:val="22"/>
                <w:szCs w:val="22"/>
              </w:rPr>
              <w:t xml:space="preserve"> ilgametę VĮ </w:t>
            </w:r>
            <w:r w:rsidR="004B75E3" w:rsidRPr="004E0C44">
              <w:rPr>
                <w:color w:val="000000"/>
                <w:sz w:val="22"/>
                <w:szCs w:val="22"/>
              </w:rPr>
              <w:t>Ignalinos</w:t>
            </w:r>
            <w:r w:rsidR="001A6BB1" w:rsidRPr="004E0C44">
              <w:rPr>
                <w:color w:val="000000"/>
                <w:sz w:val="22"/>
                <w:szCs w:val="22"/>
              </w:rPr>
              <w:t xml:space="preserve"> atominės elektrinės</w:t>
            </w:r>
            <w:r w:rsidR="004B75E3" w:rsidRPr="004E0C44">
              <w:rPr>
                <w:color w:val="000000"/>
                <w:sz w:val="22"/>
                <w:szCs w:val="22"/>
              </w:rPr>
              <w:t xml:space="preserve"> </w:t>
            </w:r>
            <w:r w:rsidR="001D7F13">
              <w:rPr>
                <w:color w:val="000000"/>
                <w:sz w:val="22"/>
                <w:szCs w:val="22"/>
              </w:rPr>
              <w:t xml:space="preserve">(toliau – IAE) </w:t>
            </w:r>
            <w:r w:rsidR="004B75E3" w:rsidRPr="004E0C44">
              <w:rPr>
                <w:color w:val="000000"/>
                <w:sz w:val="22"/>
                <w:szCs w:val="22"/>
              </w:rPr>
              <w:t>fizinės apsaugos organizavimo patirt</w:t>
            </w:r>
            <w:r w:rsidR="0051747B" w:rsidRPr="004E0C44">
              <w:rPr>
                <w:color w:val="000000"/>
                <w:sz w:val="22"/>
                <w:szCs w:val="22"/>
              </w:rPr>
              <w:t>į</w:t>
            </w:r>
            <w:r w:rsidR="0022023D" w:rsidRPr="004E0C44">
              <w:rPr>
                <w:color w:val="000000"/>
                <w:sz w:val="22"/>
                <w:szCs w:val="22"/>
              </w:rPr>
              <w:t>, siūloma</w:t>
            </w:r>
            <w:r w:rsidR="0051747B" w:rsidRPr="004E0C44">
              <w:rPr>
                <w:color w:val="000000"/>
                <w:sz w:val="22"/>
                <w:szCs w:val="22"/>
              </w:rPr>
              <w:t xml:space="preserve"> Vidaus reikalų ministerijai</w:t>
            </w:r>
            <w:r w:rsidR="001A1808">
              <w:rPr>
                <w:color w:val="000000"/>
                <w:sz w:val="22"/>
                <w:szCs w:val="22"/>
              </w:rPr>
              <w:t xml:space="preserve"> </w:t>
            </w:r>
            <w:r w:rsidR="0051747B" w:rsidRPr="004E0C44">
              <w:rPr>
                <w:color w:val="000000"/>
                <w:sz w:val="22"/>
                <w:szCs w:val="22"/>
              </w:rPr>
              <w:t>ar jos įgaliotai institucijai pavesti vykdyti tik riboto patekimo ir saugomos zon</w:t>
            </w:r>
            <w:r w:rsidR="00D66EDC" w:rsidRPr="004E0C44">
              <w:rPr>
                <w:color w:val="000000"/>
                <w:sz w:val="22"/>
                <w:szCs w:val="22"/>
              </w:rPr>
              <w:t xml:space="preserve">ų kontrolę, o licencijos turėtojui – </w:t>
            </w:r>
            <w:r w:rsidR="00FD262E" w:rsidRPr="004E0C44">
              <w:rPr>
                <w:color w:val="000000"/>
                <w:sz w:val="22"/>
                <w:szCs w:val="22"/>
              </w:rPr>
              <w:t>kitų</w:t>
            </w:r>
            <w:r w:rsidR="00FD262E" w:rsidRPr="004E0C44">
              <w:rPr>
                <w:b/>
                <w:sz w:val="22"/>
                <w:szCs w:val="22"/>
                <w:lang w:eastAsia="lt-LT"/>
              </w:rPr>
              <w:t xml:space="preserve"> </w:t>
            </w:r>
            <w:r w:rsidR="00FD262E" w:rsidRPr="004E0C44">
              <w:rPr>
                <w:bCs/>
                <w:sz w:val="22"/>
                <w:szCs w:val="22"/>
                <w:lang w:eastAsia="lt-LT"/>
              </w:rPr>
              <w:t>papildomų branduolinės energetikos objekto apsaugos zonų (</w:t>
            </w:r>
            <w:r w:rsidR="00DC0DC3" w:rsidRPr="004E0C44">
              <w:rPr>
                <w:bCs/>
                <w:sz w:val="22"/>
                <w:szCs w:val="22"/>
                <w:lang w:eastAsia="lt-LT"/>
              </w:rPr>
              <w:t>ypač svarbios ir vidinės</w:t>
            </w:r>
            <w:r w:rsidR="006B3D1A" w:rsidRPr="004E0C44">
              <w:rPr>
                <w:bCs/>
                <w:sz w:val="22"/>
                <w:szCs w:val="22"/>
                <w:lang w:eastAsia="lt-LT"/>
              </w:rPr>
              <w:t xml:space="preserve"> zonų) </w:t>
            </w:r>
            <w:r w:rsidR="00FD262E" w:rsidRPr="004E0C44">
              <w:rPr>
                <w:bCs/>
                <w:sz w:val="22"/>
                <w:szCs w:val="22"/>
                <w:lang w:eastAsia="lt-LT"/>
              </w:rPr>
              <w:t>kontrolę</w:t>
            </w:r>
            <w:r w:rsidR="006B3D1A" w:rsidRPr="004E0C44">
              <w:rPr>
                <w:bCs/>
                <w:sz w:val="22"/>
                <w:szCs w:val="22"/>
                <w:lang w:eastAsia="lt-LT"/>
              </w:rPr>
              <w:t>.</w:t>
            </w:r>
          </w:p>
        </w:tc>
      </w:tr>
      <w:tr w:rsidR="003C74A8" w:rsidRPr="00FA4A1B" w14:paraId="11C220D3" w14:textId="77777777" w:rsidTr="00D2651A">
        <w:trPr>
          <w:cantSplit/>
        </w:trPr>
        <w:tc>
          <w:tcPr>
            <w:tcW w:w="5098" w:type="dxa"/>
          </w:tcPr>
          <w:p w14:paraId="0B87FA0D" w14:textId="565708C2" w:rsidR="003C74A8" w:rsidRPr="00FA4A1B" w:rsidRDefault="006B7114" w:rsidP="00666C07">
            <w:pPr>
              <w:pStyle w:val="ListParagraph"/>
              <w:numPr>
                <w:ilvl w:val="0"/>
                <w:numId w:val="17"/>
              </w:numPr>
              <w:tabs>
                <w:tab w:val="left" w:pos="240"/>
              </w:tabs>
              <w:ind w:left="34" w:firstLine="0"/>
              <w:rPr>
                <w:color w:val="000000"/>
                <w:sz w:val="22"/>
                <w:szCs w:val="22"/>
              </w:rPr>
            </w:pPr>
            <w:r w:rsidRPr="00FA4A1B">
              <w:rPr>
                <w:sz w:val="22"/>
                <w:szCs w:val="22"/>
              </w:rPr>
              <w:lastRenderedPageBreak/>
              <w:t xml:space="preserve">Rengiant ir teikiant teisės aktų projektus turėtų būti laikomasi teisėkūros  </w:t>
            </w:r>
            <w:r w:rsidRPr="00FA4A1B">
              <w:rPr>
                <w:bCs/>
                <w:sz w:val="22"/>
                <w:szCs w:val="22"/>
              </w:rPr>
              <w:t>ekonomiškumo principo</w:t>
            </w:r>
            <w:r w:rsidRPr="00FA4A1B">
              <w:rPr>
                <w:sz w:val="22"/>
                <w:szCs w:val="22"/>
              </w:rPr>
              <w:t xml:space="preserve">, kas reikštų, kad turi būti siekiama mažinti priimamų teisės aktų skaičių, ir teisėkūros tvarumo, konkrečiu atveju įvertinant, ar tikslinga atitinkama teisinio reguliavimo keitimo intervencija. Teisėkūros ekonomiškumo principas nėra </w:t>
            </w:r>
            <w:proofErr w:type="spellStart"/>
            <w:r w:rsidRPr="00FA4A1B">
              <w:rPr>
                <w:sz w:val="22"/>
                <w:szCs w:val="22"/>
              </w:rPr>
              <w:t>e</w:t>
            </w:r>
            <w:r w:rsidRPr="00FA4A1B">
              <w:rPr>
                <w:i/>
                <w:iCs/>
                <w:sz w:val="22"/>
                <w:szCs w:val="22"/>
              </w:rPr>
              <w:t>xpresis</w:t>
            </w:r>
            <w:proofErr w:type="spellEnd"/>
            <w:r w:rsidRPr="00FA4A1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4A1B">
              <w:rPr>
                <w:i/>
                <w:iCs/>
                <w:sz w:val="22"/>
                <w:szCs w:val="22"/>
              </w:rPr>
              <w:t>verbis</w:t>
            </w:r>
            <w:proofErr w:type="spellEnd"/>
            <w:r w:rsidRPr="00FA4A1B">
              <w:rPr>
                <w:sz w:val="22"/>
                <w:szCs w:val="22"/>
              </w:rPr>
              <w:t xml:space="preserve"> minimas Teisėkūros pagrindų įstatymo 3 straipsnyje, tačiau jis tiesiogiai susijęs su viešojo administravimo efektyvumo principo, įtvirtinto Lietuvos Respublikos viešojo administravimo įstatymo 3 straipsnio 6 punkte, įgyvendinimu ir Vyriausybės ne kartą deklaruotu siekiu mažinti priimamų teisės aktų skaičių. Atsižvelgiant į tai ir į šiame rašte išdėstytas pastabas, siūlytina</w:t>
            </w:r>
            <w:r w:rsidR="003C74A8" w:rsidRPr="00FA4A1B">
              <w:rPr>
                <w:sz w:val="22"/>
                <w:szCs w:val="22"/>
              </w:rPr>
              <w:t xml:space="preserve"> įvertinti, ar vis tik tikslingas tolesnis Projekte siūlomų keičiamo įstatymo pakeitimų svarstymas</w:t>
            </w:r>
            <w:r w:rsidR="006138C0">
              <w:rPr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14:paraId="5641E075" w14:textId="77777777" w:rsidR="003C74A8" w:rsidRPr="000D4CEC" w:rsidRDefault="009369CA" w:rsidP="00C043DB">
            <w:pPr>
              <w:rPr>
                <w:b/>
                <w:sz w:val="22"/>
                <w:szCs w:val="22"/>
              </w:rPr>
            </w:pPr>
            <w:r w:rsidRPr="000D4CEC">
              <w:rPr>
                <w:b/>
                <w:sz w:val="22"/>
                <w:szCs w:val="22"/>
              </w:rPr>
              <w:t>Siūloma tęsti</w:t>
            </w:r>
            <w:r w:rsidR="009B58F7" w:rsidRPr="000D4CEC">
              <w:rPr>
                <w:b/>
                <w:sz w:val="22"/>
                <w:szCs w:val="22"/>
              </w:rPr>
              <w:t xml:space="preserve"> Projekto svarstymą.</w:t>
            </w:r>
          </w:p>
          <w:p w14:paraId="7A906D68" w14:textId="55A9BDDA" w:rsidR="009B58F7" w:rsidRPr="0058524E" w:rsidRDefault="00EB66F8" w:rsidP="00C043DB">
            <w:pPr>
              <w:rPr>
                <w:bCs/>
                <w:sz w:val="22"/>
                <w:szCs w:val="22"/>
              </w:rPr>
            </w:pPr>
            <w:r w:rsidRPr="0058524E">
              <w:rPr>
                <w:bCs/>
                <w:sz w:val="22"/>
                <w:szCs w:val="22"/>
              </w:rPr>
              <w:t>Jei Projekto svarstymas būtų nutrauktas</w:t>
            </w:r>
            <w:r w:rsidR="001D7F13" w:rsidRPr="0058524E">
              <w:rPr>
                <w:bCs/>
                <w:sz w:val="22"/>
                <w:szCs w:val="22"/>
              </w:rPr>
              <w:t xml:space="preserve">, </w:t>
            </w:r>
            <w:r w:rsidR="005874E2" w:rsidRPr="0058524E">
              <w:rPr>
                <w:bCs/>
                <w:sz w:val="22"/>
                <w:szCs w:val="22"/>
              </w:rPr>
              <w:t xml:space="preserve">Vidaus reikalų ministerijos įgaliota institucija </w:t>
            </w:r>
            <w:r w:rsidR="009D57E0" w:rsidRPr="0058524E">
              <w:rPr>
                <w:bCs/>
                <w:sz w:val="22"/>
                <w:szCs w:val="22"/>
              </w:rPr>
              <w:t xml:space="preserve">(biudžetinė įstaiga) </w:t>
            </w:r>
            <w:r w:rsidR="005874E2" w:rsidRPr="0058524E">
              <w:rPr>
                <w:bCs/>
                <w:sz w:val="22"/>
                <w:szCs w:val="22"/>
              </w:rPr>
              <w:t>negalėtų vykdyti IAE branduolinės energetikos objektų fizinės apsaugos</w:t>
            </w:r>
            <w:r w:rsidR="00ED6D8A" w:rsidRPr="0058524E">
              <w:rPr>
                <w:bCs/>
                <w:sz w:val="22"/>
                <w:szCs w:val="22"/>
              </w:rPr>
              <w:t xml:space="preserve">, nes tokia funkcija </w:t>
            </w:r>
            <w:r w:rsidR="003A3259" w:rsidRPr="0058524E">
              <w:rPr>
                <w:bCs/>
                <w:sz w:val="22"/>
                <w:szCs w:val="22"/>
              </w:rPr>
              <w:t xml:space="preserve">jai </w:t>
            </w:r>
            <w:r w:rsidR="00ED6D8A" w:rsidRPr="0058524E">
              <w:rPr>
                <w:bCs/>
                <w:sz w:val="22"/>
                <w:szCs w:val="22"/>
              </w:rPr>
              <w:t>nebūtų numatyta ne viename teisės</w:t>
            </w:r>
            <w:r w:rsidR="00342A28" w:rsidRPr="0058524E">
              <w:rPr>
                <w:bCs/>
                <w:sz w:val="22"/>
                <w:szCs w:val="22"/>
              </w:rPr>
              <w:t xml:space="preserve"> </w:t>
            </w:r>
            <w:r w:rsidR="00ED6D8A" w:rsidRPr="0058524E">
              <w:rPr>
                <w:bCs/>
                <w:sz w:val="22"/>
                <w:szCs w:val="22"/>
              </w:rPr>
              <w:t>akte</w:t>
            </w:r>
            <w:r w:rsidR="00342A28" w:rsidRPr="0058524E">
              <w:rPr>
                <w:bCs/>
                <w:sz w:val="22"/>
                <w:szCs w:val="22"/>
              </w:rPr>
              <w:t>, o biudžetinė įstaiga negalėtų dalyvauti IAE v</w:t>
            </w:r>
            <w:r w:rsidR="00F45A97" w:rsidRPr="0058524E">
              <w:rPr>
                <w:bCs/>
                <w:sz w:val="22"/>
                <w:szCs w:val="22"/>
              </w:rPr>
              <w:t>iešame fizinės apsaugos paslaugų pirkimo konkurse.</w:t>
            </w:r>
            <w:r w:rsidR="009D57E0" w:rsidRPr="0058524E">
              <w:rPr>
                <w:bCs/>
                <w:sz w:val="22"/>
                <w:szCs w:val="22"/>
              </w:rPr>
              <w:t xml:space="preserve"> Dėl šios priežasties padid</w:t>
            </w:r>
            <w:r w:rsidR="00087A34" w:rsidRPr="0058524E">
              <w:rPr>
                <w:bCs/>
                <w:sz w:val="22"/>
                <w:szCs w:val="22"/>
              </w:rPr>
              <w:t>ėtų</w:t>
            </w:r>
            <w:r w:rsidR="000C1136" w:rsidRPr="0058524E">
              <w:rPr>
                <w:color w:val="000000"/>
                <w:sz w:val="22"/>
                <w:szCs w:val="22"/>
              </w:rPr>
              <w:t xml:space="preserve"> </w:t>
            </w:r>
            <w:r w:rsidR="00590A4D" w:rsidRPr="0058524E">
              <w:rPr>
                <w:bCs/>
                <w:sz w:val="22"/>
                <w:szCs w:val="22"/>
              </w:rPr>
              <w:t xml:space="preserve">ne tik </w:t>
            </w:r>
            <w:r w:rsidR="000C1136" w:rsidRPr="0058524E">
              <w:rPr>
                <w:color w:val="000000"/>
                <w:sz w:val="22"/>
                <w:szCs w:val="22"/>
              </w:rPr>
              <w:t xml:space="preserve">subjektų, dalyvaujančių užtikrinant IAE branduolinės </w:t>
            </w:r>
            <w:r w:rsidR="000C1136" w:rsidRPr="00C90D15">
              <w:rPr>
                <w:color w:val="000000"/>
                <w:sz w:val="22"/>
                <w:szCs w:val="22"/>
              </w:rPr>
              <w:t>energetikos objektų fizinę saugą, skaičius</w:t>
            </w:r>
            <w:r w:rsidR="003437AC" w:rsidRPr="00C90D15">
              <w:rPr>
                <w:color w:val="000000"/>
                <w:sz w:val="22"/>
                <w:szCs w:val="22"/>
              </w:rPr>
              <w:t xml:space="preserve">, bet ir </w:t>
            </w:r>
            <w:r w:rsidR="00563989" w:rsidRPr="00C90D15">
              <w:rPr>
                <w:color w:val="000000"/>
                <w:sz w:val="22"/>
                <w:szCs w:val="22"/>
              </w:rPr>
              <w:t>subjektų</w:t>
            </w:r>
            <w:r w:rsidR="009730D8">
              <w:rPr>
                <w:color w:val="000000"/>
                <w:sz w:val="22"/>
                <w:szCs w:val="22"/>
              </w:rPr>
              <w:t xml:space="preserve"> ir</w:t>
            </w:r>
            <w:r w:rsidR="00466976">
              <w:rPr>
                <w:color w:val="000000"/>
                <w:sz w:val="22"/>
                <w:szCs w:val="22"/>
              </w:rPr>
              <w:t xml:space="preserve"> (ar) asmenų</w:t>
            </w:r>
            <w:r w:rsidR="00563989" w:rsidRPr="00C90D15">
              <w:rPr>
                <w:color w:val="000000"/>
                <w:sz w:val="22"/>
                <w:szCs w:val="22"/>
              </w:rPr>
              <w:t>, galinčių disponuoti valstybės paslaptį sudarančiomis žiniomis,</w:t>
            </w:r>
            <w:r w:rsidR="0051351D" w:rsidRPr="00C90D15">
              <w:rPr>
                <w:color w:val="000000"/>
                <w:sz w:val="22"/>
                <w:szCs w:val="22"/>
              </w:rPr>
              <w:t xml:space="preserve"> skaičius</w:t>
            </w:r>
            <w:r w:rsidR="00087A34" w:rsidRPr="00C90D15">
              <w:rPr>
                <w:color w:val="000000"/>
                <w:sz w:val="22"/>
                <w:szCs w:val="22"/>
              </w:rPr>
              <w:t>,</w:t>
            </w:r>
            <w:r w:rsidR="0051351D" w:rsidRPr="00C90D15">
              <w:rPr>
                <w:color w:val="000000"/>
                <w:sz w:val="22"/>
                <w:szCs w:val="22"/>
              </w:rPr>
              <w:t xml:space="preserve"> ir</w:t>
            </w:r>
            <w:r w:rsidR="00E300A9" w:rsidRPr="00C90D15">
              <w:rPr>
                <w:color w:val="000000"/>
                <w:sz w:val="22"/>
                <w:szCs w:val="22"/>
              </w:rPr>
              <w:t xml:space="preserve"> fizin</w:t>
            </w:r>
            <w:r w:rsidR="002B1228">
              <w:rPr>
                <w:color w:val="000000"/>
                <w:sz w:val="22"/>
                <w:szCs w:val="22"/>
              </w:rPr>
              <w:t>ei</w:t>
            </w:r>
            <w:r w:rsidR="00E300A9" w:rsidRPr="0058524E">
              <w:rPr>
                <w:color w:val="000000"/>
                <w:sz w:val="22"/>
                <w:szCs w:val="22"/>
              </w:rPr>
              <w:t xml:space="preserve"> apsaug</w:t>
            </w:r>
            <w:r w:rsidR="00147F80" w:rsidRPr="0058524E">
              <w:rPr>
                <w:color w:val="000000"/>
                <w:sz w:val="22"/>
                <w:szCs w:val="22"/>
              </w:rPr>
              <w:t xml:space="preserve">ai </w:t>
            </w:r>
            <w:r w:rsidR="00847357">
              <w:rPr>
                <w:color w:val="000000"/>
                <w:sz w:val="22"/>
                <w:szCs w:val="22"/>
              </w:rPr>
              <w:t xml:space="preserve">užtikrinti </w:t>
            </w:r>
            <w:r w:rsidR="00147F80" w:rsidRPr="0058524E">
              <w:rPr>
                <w:color w:val="000000"/>
                <w:sz w:val="22"/>
                <w:szCs w:val="22"/>
              </w:rPr>
              <w:t xml:space="preserve">reikalingų </w:t>
            </w:r>
            <w:r w:rsidR="00D75FF9">
              <w:rPr>
                <w:color w:val="000000"/>
                <w:sz w:val="22"/>
                <w:szCs w:val="22"/>
              </w:rPr>
              <w:t xml:space="preserve">valstybės </w:t>
            </w:r>
            <w:r w:rsidR="00147F80" w:rsidRPr="0058524E">
              <w:rPr>
                <w:color w:val="000000"/>
                <w:sz w:val="22"/>
                <w:szCs w:val="22"/>
              </w:rPr>
              <w:t>lėšų suma.</w:t>
            </w:r>
          </w:p>
        </w:tc>
      </w:tr>
      <w:tr w:rsidR="00AC6AED" w:rsidRPr="00FA4A1B" w14:paraId="50BA1534" w14:textId="77777777" w:rsidTr="00DC61F0">
        <w:trPr>
          <w:cantSplit/>
        </w:trPr>
        <w:tc>
          <w:tcPr>
            <w:tcW w:w="10060" w:type="dxa"/>
            <w:gridSpan w:val="2"/>
          </w:tcPr>
          <w:p w14:paraId="15A40755" w14:textId="41A0F65F" w:rsidR="00AC6AED" w:rsidRPr="00FA4A1B" w:rsidRDefault="00061D00" w:rsidP="00061D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Lietuvos Respublikos vidaus reikalų ministerijos </w:t>
            </w:r>
            <w:r w:rsidR="00AC6AED">
              <w:rPr>
                <w:bCs/>
                <w:sz w:val="22"/>
                <w:szCs w:val="22"/>
              </w:rPr>
              <w:t>2021</w:t>
            </w:r>
            <w:r>
              <w:rPr>
                <w:bCs/>
                <w:sz w:val="22"/>
                <w:szCs w:val="22"/>
              </w:rPr>
              <w:t xml:space="preserve"> m. balandžio 20 d. raštas Nr. </w:t>
            </w:r>
            <w:r w:rsidR="00AC6AED" w:rsidRPr="00AC6AED">
              <w:rPr>
                <w:bCs/>
                <w:sz w:val="22"/>
                <w:szCs w:val="22"/>
              </w:rPr>
              <w:t>1D-2231</w:t>
            </w:r>
          </w:p>
        </w:tc>
      </w:tr>
      <w:tr w:rsidR="00AC6AED" w:rsidRPr="00FA4A1B" w14:paraId="70825CFD" w14:textId="77777777" w:rsidTr="00D2651A">
        <w:trPr>
          <w:cantSplit/>
        </w:trPr>
        <w:tc>
          <w:tcPr>
            <w:tcW w:w="5098" w:type="dxa"/>
          </w:tcPr>
          <w:p w14:paraId="5A805527" w14:textId="61FD923B" w:rsidR="00AC6AED" w:rsidRPr="00FA4A1B" w:rsidRDefault="00423E85" w:rsidP="00666C07">
            <w:pPr>
              <w:pStyle w:val="ListParagraph"/>
              <w:numPr>
                <w:ilvl w:val="0"/>
                <w:numId w:val="17"/>
              </w:numPr>
              <w:tabs>
                <w:tab w:val="left" w:pos="240"/>
              </w:tabs>
              <w:ind w:left="34" w:firstLine="0"/>
              <w:rPr>
                <w:sz w:val="22"/>
                <w:szCs w:val="22"/>
              </w:rPr>
            </w:pPr>
            <w:r w:rsidRPr="00423E85">
              <w:rPr>
                <w:sz w:val="22"/>
                <w:szCs w:val="22"/>
              </w:rPr>
              <w:t xml:space="preserve">Siūlome </w:t>
            </w:r>
            <w:r>
              <w:rPr>
                <w:sz w:val="22"/>
                <w:szCs w:val="22"/>
              </w:rPr>
              <w:t>P</w:t>
            </w:r>
            <w:r w:rsidRPr="00423E85">
              <w:rPr>
                <w:sz w:val="22"/>
                <w:szCs w:val="22"/>
              </w:rPr>
              <w:t xml:space="preserve">rojekto 2 straipsniu keičiamo </w:t>
            </w:r>
            <w:r w:rsidR="008167A6">
              <w:rPr>
                <w:sz w:val="22"/>
                <w:szCs w:val="22"/>
              </w:rPr>
              <w:t>į</w:t>
            </w:r>
            <w:r w:rsidRPr="00423E85">
              <w:rPr>
                <w:sz w:val="22"/>
                <w:szCs w:val="22"/>
              </w:rPr>
              <w:t xml:space="preserve">statymo 15 straipsnio 5 punkto ir įstatymo 2 straipsnio 40 dalies nuostatas sistemiškai suderinti tarpusavyje. Atsižvelgiant į tai, kad </w:t>
            </w:r>
            <w:r w:rsidR="00C00187">
              <w:rPr>
                <w:sz w:val="22"/>
                <w:szCs w:val="22"/>
              </w:rPr>
              <w:t>P</w:t>
            </w:r>
            <w:r w:rsidRPr="00423E85">
              <w:rPr>
                <w:sz w:val="22"/>
                <w:szCs w:val="22"/>
              </w:rPr>
              <w:t xml:space="preserve">rojekte siūloma apibrėžti sąvoka „zonos kontrolė“ apima ir riboto patekimo zoną, keičiamoje </w:t>
            </w:r>
            <w:r w:rsidR="008167A6">
              <w:rPr>
                <w:sz w:val="22"/>
                <w:szCs w:val="22"/>
              </w:rPr>
              <w:t>į</w:t>
            </w:r>
            <w:r w:rsidRPr="00423E85">
              <w:rPr>
                <w:sz w:val="22"/>
                <w:szCs w:val="22"/>
              </w:rPr>
              <w:t>statymo 15 straipsnio 5 punkto nuostatoje reikėtų atsisakyti žodžių junginio „įskaitant riboto patekimo ir saugomos zonų kontrolę“ ir vartoti žodžių junginį „zonos kontrolę“</w:t>
            </w:r>
            <w:r w:rsidR="00DA1436">
              <w:rPr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14:paraId="3AE003F1" w14:textId="77777777" w:rsidR="00BA5241" w:rsidRPr="00BA5241" w:rsidRDefault="00BA5241" w:rsidP="00C043DB">
            <w:pPr>
              <w:rPr>
                <w:b/>
                <w:sz w:val="22"/>
                <w:szCs w:val="22"/>
              </w:rPr>
            </w:pPr>
            <w:r w:rsidRPr="00BA5241">
              <w:rPr>
                <w:b/>
                <w:sz w:val="22"/>
                <w:szCs w:val="22"/>
              </w:rPr>
              <w:t>Neatsižvelgta.</w:t>
            </w:r>
          </w:p>
          <w:p w14:paraId="084F97E2" w14:textId="7E05AD8D" w:rsidR="00AC6AED" w:rsidRPr="00FA4A1B" w:rsidRDefault="007F7853" w:rsidP="00C043D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Žiūrėti argumentus</w:t>
            </w:r>
            <w:r w:rsidR="00786D3A">
              <w:rPr>
                <w:bCs/>
                <w:sz w:val="22"/>
                <w:szCs w:val="22"/>
              </w:rPr>
              <w:t xml:space="preserve"> atsakant į antrą pastabą</w:t>
            </w:r>
            <w:r w:rsidR="00BA5241">
              <w:rPr>
                <w:bCs/>
                <w:sz w:val="22"/>
                <w:szCs w:val="22"/>
              </w:rPr>
              <w:t>.</w:t>
            </w:r>
          </w:p>
        </w:tc>
      </w:tr>
    </w:tbl>
    <w:p w14:paraId="0D97AB65" w14:textId="091129A3" w:rsidR="00774769" w:rsidRDefault="00774769"/>
    <w:p w14:paraId="0E96F5FF" w14:textId="77777777" w:rsidR="003F6C74" w:rsidRDefault="003F6C74" w:rsidP="003F6C74">
      <w:pPr>
        <w:jc w:val="center"/>
      </w:pPr>
      <w:r>
        <w:t>_____________________________</w:t>
      </w:r>
    </w:p>
    <w:sectPr w:rsidR="003F6C74" w:rsidSect="00533B5E">
      <w:headerReference w:type="default" r:id="rId7"/>
      <w:pgSz w:w="11906" w:h="16838"/>
      <w:pgMar w:top="907" w:right="680" w:bottom="851" w:left="136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E26A" w14:textId="77777777" w:rsidR="0025636E" w:rsidRDefault="0025636E" w:rsidP="003F6C74">
      <w:r>
        <w:separator/>
      </w:r>
    </w:p>
  </w:endnote>
  <w:endnote w:type="continuationSeparator" w:id="0">
    <w:p w14:paraId="5EA57501" w14:textId="77777777" w:rsidR="0025636E" w:rsidRDefault="0025636E" w:rsidP="003F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A1F78" w14:textId="77777777" w:rsidR="0025636E" w:rsidRDefault="0025636E" w:rsidP="003F6C74">
      <w:r>
        <w:separator/>
      </w:r>
    </w:p>
  </w:footnote>
  <w:footnote w:type="continuationSeparator" w:id="0">
    <w:p w14:paraId="3FE3333D" w14:textId="77777777" w:rsidR="0025636E" w:rsidRDefault="0025636E" w:rsidP="003F6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C65A" w14:textId="77777777" w:rsidR="00BB34CA" w:rsidRDefault="00BB34CA" w:rsidP="00871BDB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3701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3251"/>
    <w:multiLevelType w:val="hybridMultilevel"/>
    <w:tmpl w:val="8E84FB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88C"/>
    <w:multiLevelType w:val="hybridMultilevel"/>
    <w:tmpl w:val="B96CE458"/>
    <w:lvl w:ilvl="0" w:tplc="097ACD2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F075D"/>
    <w:multiLevelType w:val="multilevel"/>
    <w:tmpl w:val="2F96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3A237BE"/>
    <w:multiLevelType w:val="multilevel"/>
    <w:tmpl w:val="81B6BA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250323D8"/>
    <w:multiLevelType w:val="hybridMultilevel"/>
    <w:tmpl w:val="CED8BBE2"/>
    <w:lvl w:ilvl="0" w:tplc="A5CAC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A4123"/>
    <w:multiLevelType w:val="hybridMultilevel"/>
    <w:tmpl w:val="574EE0AE"/>
    <w:lvl w:ilvl="0" w:tplc="DA98A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D527CA"/>
    <w:multiLevelType w:val="hybridMultilevel"/>
    <w:tmpl w:val="88ACA29A"/>
    <w:lvl w:ilvl="0" w:tplc="03B0CB8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F787E"/>
    <w:multiLevelType w:val="hybridMultilevel"/>
    <w:tmpl w:val="204202CC"/>
    <w:lvl w:ilvl="0" w:tplc="A202B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C4304"/>
    <w:multiLevelType w:val="multilevel"/>
    <w:tmpl w:val="64C8CAD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417D0CB1"/>
    <w:multiLevelType w:val="hybridMultilevel"/>
    <w:tmpl w:val="AE4049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87689"/>
    <w:multiLevelType w:val="hybridMultilevel"/>
    <w:tmpl w:val="0FA8DD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B7FA1"/>
    <w:multiLevelType w:val="hybridMultilevel"/>
    <w:tmpl w:val="05887D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97F32"/>
    <w:multiLevelType w:val="hybridMultilevel"/>
    <w:tmpl w:val="8AB49B18"/>
    <w:lvl w:ilvl="0" w:tplc="0E1A3FE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DF7378B"/>
    <w:multiLevelType w:val="hybridMultilevel"/>
    <w:tmpl w:val="B41C378C"/>
    <w:lvl w:ilvl="0" w:tplc="9A08982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938B5"/>
    <w:multiLevelType w:val="multilevel"/>
    <w:tmpl w:val="6B587A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6C4A1F2A"/>
    <w:multiLevelType w:val="hybridMultilevel"/>
    <w:tmpl w:val="812AB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B4DE0"/>
    <w:multiLevelType w:val="hybridMultilevel"/>
    <w:tmpl w:val="35BA7D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1"/>
  </w:num>
  <w:num w:numId="5">
    <w:abstractNumId w:val="7"/>
  </w:num>
  <w:num w:numId="6">
    <w:abstractNumId w:val="4"/>
  </w:num>
  <w:num w:numId="7">
    <w:abstractNumId w:val="13"/>
  </w:num>
  <w:num w:numId="8">
    <w:abstractNumId w:val="6"/>
  </w:num>
  <w:num w:numId="9">
    <w:abstractNumId w:val="14"/>
  </w:num>
  <w:num w:numId="10">
    <w:abstractNumId w:val="8"/>
  </w:num>
  <w:num w:numId="11">
    <w:abstractNumId w:val="0"/>
  </w:num>
  <w:num w:numId="12">
    <w:abstractNumId w:val="9"/>
  </w:num>
  <w:num w:numId="13">
    <w:abstractNumId w:val="2"/>
  </w:num>
  <w:num w:numId="14">
    <w:abstractNumId w:val="3"/>
  </w:num>
  <w:num w:numId="15">
    <w:abstractNumId w:val="11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769"/>
    <w:rsid w:val="00023850"/>
    <w:rsid w:val="00034404"/>
    <w:rsid w:val="000410E1"/>
    <w:rsid w:val="00042FD8"/>
    <w:rsid w:val="00044BCF"/>
    <w:rsid w:val="00045F1B"/>
    <w:rsid w:val="00047E2F"/>
    <w:rsid w:val="000504BC"/>
    <w:rsid w:val="00055142"/>
    <w:rsid w:val="00061D00"/>
    <w:rsid w:val="00064E48"/>
    <w:rsid w:val="000763B3"/>
    <w:rsid w:val="00087A34"/>
    <w:rsid w:val="000931F2"/>
    <w:rsid w:val="000942D4"/>
    <w:rsid w:val="000A1C0E"/>
    <w:rsid w:val="000A463E"/>
    <w:rsid w:val="000B05F1"/>
    <w:rsid w:val="000B12D2"/>
    <w:rsid w:val="000B4E8F"/>
    <w:rsid w:val="000B5D1B"/>
    <w:rsid w:val="000C1136"/>
    <w:rsid w:val="000D4CEC"/>
    <w:rsid w:val="000E3508"/>
    <w:rsid w:val="00100321"/>
    <w:rsid w:val="00103331"/>
    <w:rsid w:val="00103700"/>
    <w:rsid w:val="00110F40"/>
    <w:rsid w:val="00124092"/>
    <w:rsid w:val="001331DF"/>
    <w:rsid w:val="001368D3"/>
    <w:rsid w:val="00147F80"/>
    <w:rsid w:val="0015664C"/>
    <w:rsid w:val="00174793"/>
    <w:rsid w:val="0017552B"/>
    <w:rsid w:val="0018426B"/>
    <w:rsid w:val="00185E65"/>
    <w:rsid w:val="0019222F"/>
    <w:rsid w:val="00196298"/>
    <w:rsid w:val="001A1808"/>
    <w:rsid w:val="001A3E39"/>
    <w:rsid w:val="001A6BB1"/>
    <w:rsid w:val="001A756F"/>
    <w:rsid w:val="001B208D"/>
    <w:rsid w:val="001B4E0B"/>
    <w:rsid w:val="001D7F13"/>
    <w:rsid w:val="001F6730"/>
    <w:rsid w:val="002004E9"/>
    <w:rsid w:val="00201D70"/>
    <w:rsid w:val="002048FF"/>
    <w:rsid w:val="00212211"/>
    <w:rsid w:val="002154CF"/>
    <w:rsid w:val="00216726"/>
    <w:rsid w:val="0022023D"/>
    <w:rsid w:val="00223886"/>
    <w:rsid w:val="00224348"/>
    <w:rsid w:val="0022780A"/>
    <w:rsid w:val="002354B5"/>
    <w:rsid w:val="00235F64"/>
    <w:rsid w:val="00241B6D"/>
    <w:rsid w:val="002449CD"/>
    <w:rsid w:val="00246AF3"/>
    <w:rsid w:val="0025636E"/>
    <w:rsid w:val="002750E7"/>
    <w:rsid w:val="002776AF"/>
    <w:rsid w:val="0028421A"/>
    <w:rsid w:val="002847C8"/>
    <w:rsid w:val="00291DA1"/>
    <w:rsid w:val="00296037"/>
    <w:rsid w:val="002A6C14"/>
    <w:rsid w:val="002A7F62"/>
    <w:rsid w:val="002B1228"/>
    <w:rsid w:val="002B4659"/>
    <w:rsid w:val="002C0AEB"/>
    <w:rsid w:val="002C71A3"/>
    <w:rsid w:val="002D0D88"/>
    <w:rsid w:val="002D6CFC"/>
    <w:rsid w:val="002E0AE0"/>
    <w:rsid w:val="002E3C8E"/>
    <w:rsid w:val="002E43FE"/>
    <w:rsid w:val="002F41FC"/>
    <w:rsid w:val="00313C2A"/>
    <w:rsid w:val="00321D69"/>
    <w:rsid w:val="003249EC"/>
    <w:rsid w:val="00327CF3"/>
    <w:rsid w:val="00335534"/>
    <w:rsid w:val="003358BA"/>
    <w:rsid w:val="00337105"/>
    <w:rsid w:val="00341F31"/>
    <w:rsid w:val="00342A28"/>
    <w:rsid w:val="003437AC"/>
    <w:rsid w:val="0034552F"/>
    <w:rsid w:val="00350572"/>
    <w:rsid w:val="003606DC"/>
    <w:rsid w:val="00381B24"/>
    <w:rsid w:val="00385EA9"/>
    <w:rsid w:val="00387BD4"/>
    <w:rsid w:val="00391B4C"/>
    <w:rsid w:val="00392CD9"/>
    <w:rsid w:val="003A3259"/>
    <w:rsid w:val="003B02C8"/>
    <w:rsid w:val="003C62BD"/>
    <w:rsid w:val="003C74A8"/>
    <w:rsid w:val="003D19A3"/>
    <w:rsid w:val="003D76B7"/>
    <w:rsid w:val="003F02ED"/>
    <w:rsid w:val="003F556C"/>
    <w:rsid w:val="003F6C74"/>
    <w:rsid w:val="00400125"/>
    <w:rsid w:val="004067F3"/>
    <w:rsid w:val="00411332"/>
    <w:rsid w:val="0041143F"/>
    <w:rsid w:val="00412CDC"/>
    <w:rsid w:val="00416143"/>
    <w:rsid w:val="00423E85"/>
    <w:rsid w:val="00431894"/>
    <w:rsid w:val="004326A6"/>
    <w:rsid w:val="0043490D"/>
    <w:rsid w:val="00436FA0"/>
    <w:rsid w:val="004476F8"/>
    <w:rsid w:val="00453A10"/>
    <w:rsid w:val="004549B6"/>
    <w:rsid w:val="00456F05"/>
    <w:rsid w:val="00461CC5"/>
    <w:rsid w:val="00464076"/>
    <w:rsid w:val="00466976"/>
    <w:rsid w:val="0047145B"/>
    <w:rsid w:val="00477410"/>
    <w:rsid w:val="00481C79"/>
    <w:rsid w:val="0048331B"/>
    <w:rsid w:val="0049707A"/>
    <w:rsid w:val="004A36A7"/>
    <w:rsid w:val="004A6BCA"/>
    <w:rsid w:val="004B10AB"/>
    <w:rsid w:val="004B286B"/>
    <w:rsid w:val="004B75E3"/>
    <w:rsid w:val="004B7E07"/>
    <w:rsid w:val="004C03B8"/>
    <w:rsid w:val="004C2097"/>
    <w:rsid w:val="004C638E"/>
    <w:rsid w:val="004D145B"/>
    <w:rsid w:val="004D343E"/>
    <w:rsid w:val="004D5252"/>
    <w:rsid w:val="004D62B7"/>
    <w:rsid w:val="004D7748"/>
    <w:rsid w:val="004E0C44"/>
    <w:rsid w:val="004E30FC"/>
    <w:rsid w:val="004F4748"/>
    <w:rsid w:val="004F4EF8"/>
    <w:rsid w:val="00504DDC"/>
    <w:rsid w:val="00507EDF"/>
    <w:rsid w:val="0051351D"/>
    <w:rsid w:val="005146D4"/>
    <w:rsid w:val="00516C5B"/>
    <w:rsid w:val="0051747B"/>
    <w:rsid w:val="005318A3"/>
    <w:rsid w:val="00533B5E"/>
    <w:rsid w:val="00534FDF"/>
    <w:rsid w:val="00547182"/>
    <w:rsid w:val="00550DEA"/>
    <w:rsid w:val="00557749"/>
    <w:rsid w:val="0056094E"/>
    <w:rsid w:val="005609CC"/>
    <w:rsid w:val="00563989"/>
    <w:rsid w:val="00566F83"/>
    <w:rsid w:val="00584C58"/>
    <w:rsid w:val="0058524E"/>
    <w:rsid w:val="0058719C"/>
    <w:rsid w:val="005874E2"/>
    <w:rsid w:val="0059014C"/>
    <w:rsid w:val="00590A4D"/>
    <w:rsid w:val="00597A1D"/>
    <w:rsid w:val="005A109D"/>
    <w:rsid w:val="005A5219"/>
    <w:rsid w:val="005A651E"/>
    <w:rsid w:val="005B1256"/>
    <w:rsid w:val="005B2649"/>
    <w:rsid w:val="005C0B82"/>
    <w:rsid w:val="005C415E"/>
    <w:rsid w:val="005C6D7B"/>
    <w:rsid w:val="005D09F1"/>
    <w:rsid w:val="005D3CCF"/>
    <w:rsid w:val="005D7B21"/>
    <w:rsid w:val="005E100A"/>
    <w:rsid w:val="005E47D4"/>
    <w:rsid w:val="005E729B"/>
    <w:rsid w:val="006138C0"/>
    <w:rsid w:val="00617BCD"/>
    <w:rsid w:val="00621C7A"/>
    <w:rsid w:val="00621D53"/>
    <w:rsid w:val="006249E2"/>
    <w:rsid w:val="00635949"/>
    <w:rsid w:val="00665387"/>
    <w:rsid w:val="006659B1"/>
    <w:rsid w:val="00665F67"/>
    <w:rsid w:val="00666C07"/>
    <w:rsid w:val="006672DE"/>
    <w:rsid w:val="00672474"/>
    <w:rsid w:val="00680716"/>
    <w:rsid w:val="00684814"/>
    <w:rsid w:val="0069265B"/>
    <w:rsid w:val="006954F6"/>
    <w:rsid w:val="00697A68"/>
    <w:rsid w:val="006B0ED6"/>
    <w:rsid w:val="006B2763"/>
    <w:rsid w:val="006B3D1A"/>
    <w:rsid w:val="006B47B3"/>
    <w:rsid w:val="006B4B68"/>
    <w:rsid w:val="006B5F9E"/>
    <w:rsid w:val="006B7114"/>
    <w:rsid w:val="006C4107"/>
    <w:rsid w:val="006D32CF"/>
    <w:rsid w:val="006D4E7A"/>
    <w:rsid w:val="006D7B34"/>
    <w:rsid w:val="0070203B"/>
    <w:rsid w:val="007056C0"/>
    <w:rsid w:val="00707DA1"/>
    <w:rsid w:val="00715AF6"/>
    <w:rsid w:val="0071602A"/>
    <w:rsid w:val="00717884"/>
    <w:rsid w:val="00717A34"/>
    <w:rsid w:val="00732EA0"/>
    <w:rsid w:val="00736A1D"/>
    <w:rsid w:val="00741AFA"/>
    <w:rsid w:val="007439E8"/>
    <w:rsid w:val="00753BD2"/>
    <w:rsid w:val="00753FDB"/>
    <w:rsid w:val="00757A99"/>
    <w:rsid w:val="00770175"/>
    <w:rsid w:val="00774769"/>
    <w:rsid w:val="00776C86"/>
    <w:rsid w:val="0078299F"/>
    <w:rsid w:val="00786032"/>
    <w:rsid w:val="007866E9"/>
    <w:rsid w:val="00786D3A"/>
    <w:rsid w:val="007A3AC0"/>
    <w:rsid w:val="007A7232"/>
    <w:rsid w:val="007B4977"/>
    <w:rsid w:val="007B68C3"/>
    <w:rsid w:val="007D2822"/>
    <w:rsid w:val="007D481D"/>
    <w:rsid w:val="007D7376"/>
    <w:rsid w:val="007E0565"/>
    <w:rsid w:val="007E06BF"/>
    <w:rsid w:val="007F7853"/>
    <w:rsid w:val="00812C11"/>
    <w:rsid w:val="008167A6"/>
    <w:rsid w:val="008205AB"/>
    <w:rsid w:val="00822E27"/>
    <w:rsid w:val="008249CD"/>
    <w:rsid w:val="008333A7"/>
    <w:rsid w:val="00833766"/>
    <w:rsid w:val="00845CB9"/>
    <w:rsid w:val="00847357"/>
    <w:rsid w:val="0086147F"/>
    <w:rsid w:val="008649D2"/>
    <w:rsid w:val="00871BDB"/>
    <w:rsid w:val="008757AD"/>
    <w:rsid w:val="00876558"/>
    <w:rsid w:val="00884C79"/>
    <w:rsid w:val="00890562"/>
    <w:rsid w:val="00894F48"/>
    <w:rsid w:val="00897856"/>
    <w:rsid w:val="008A23A5"/>
    <w:rsid w:val="008B147A"/>
    <w:rsid w:val="008B199A"/>
    <w:rsid w:val="008B4EF5"/>
    <w:rsid w:val="008C2D1E"/>
    <w:rsid w:val="008C479B"/>
    <w:rsid w:val="008D0173"/>
    <w:rsid w:val="008D2386"/>
    <w:rsid w:val="008D67CA"/>
    <w:rsid w:val="008D7018"/>
    <w:rsid w:val="008E5B65"/>
    <w:rsid w:val="008F4105"/>
    <w:rsid w:val="0090329B"/>
    <w:rsid w:val="00906E25"/>
    <w:rsid w:val="00923568"/>
    <w:rsid w:val="009369CA"/>
    <w:rsid w:val="009411AD"/>
    <w:rsid w:val="00942FCA"/>
    <w:rsid w:val="00943731"/>
    <w:rsid w:val="009450AE"/>
    <w:rsid w:val="009509B3"/>
    <w:rsid w:val="009529BD"/>
    <w:rsid w:val="009630D4"/>
    <w:rsid w:val="009730D8"/>
    <w:rsid w:val="009A0E81"/>
    <w:rsid w:val="009A4A7C"/>
    <w:rsid w:val="009A52C8"/>
    <w:rsid w:val="009B15E1"/>
    <w:rsid w:val="009B35AC"/>
    <w:rsid w:val="009B58F7"/>
    <w:rsid w:val="009B7FF0"/>
    <w:rsid w:val="009C1ED7"/>
    <w:rsid w:val="009D05BD"/>
    <w:rsid w:val="009D57E0"/>
    <w:rsid w:val="009E7E3D"/>
    <w:rsid w:val="009F20E5"/>
    <w:rsid w:val="009F531D"/>
    <w:rsid w:val="00A051AB"/>
    <w:rsid w:val="00A16E98"/>
    <w:rsid w:val="00A2660D"/>
    <w:rsid w:val="00A30354"/>
    <w:rsid w:val="00A3586C"/>
    <w:rsid w:val="00A37181"/>
    <w:rsid w:val="00A46180"/>
    <w:rsid w:val="00A50F67"/>
    <w:rsid w:val="00A54934"/>
    <w:rsid w:val="00A57369"/>
    <w:rsid w:val="00A739B4"/>
    <w:rsid w:val="00A7786A"/>
    <w:rsid w:val="00A77A07"/>
    <w:rsid w:val="00A81881"/>
    <w:rsid w:val="00A87150"/>
    <w:rsid w:val="00A906DA"/>
    <w:rsid w:val="00A935CB"/>
    <w:rsid w:val="00A93701"/>
    <w:rsid w:val="00A971D6"/>
    <w:rsid w:val="00A975BA"/>
    <w:rsid w:val="00AA0D5C"/>
    <w:rsid w:val="00AA5435"/>
    <w:rsid w:val="00AA557D"/>
    <w:rsid w:val="00AB3992"/>
    <w:rsid w:val="00AB5769"/>
    <w:rsid w:val="00AC6713"/>
    <w:rsid w:val="00AC6AED"/>
    <w:rsid w:val="00AD3E10"/>
    <w:rsid w:val="00AE5ECE"/>
    <w:rsid w:val="00B030A1"/>
    <w:rsid w:val="00B107E9"/>
    <w:rsid w:val="00B21B83"/>
    <w:rsid w:val="00B30F7D"/>
    <w:rsid w:val="00B363AB"/>
    <w:rsid w:val="00B42ED2"/>
    <w:rsid w:val="00B4483C"/>
    <w:rsid w:val="00B53A31"/>
    <w:rsid w:val="00B55D43"/>
    <w:rsid w:val="00B55E56"/>
    <w:rsid w:val="00B67497"/>
    <w:rsid w:val="00B72E45"/>
    <w:rsid w:val="00B73E20"/>
    <w:rsid w:val="00B8761C"/>
    <w:rsid w:val="00B93076"/>
    <w:rsid w:val="00BA160C"/>
    <w:rsid w:val="00BA1A95"/>
    <w:rsid w:val="00BA5241"/>
    <w:rsid w:val="00BA6F23"/>
    <w:rsid w:val="00BB0E18"/>
    <w:rsid w:val="00BB34CA"/>
    <w:rsid w:val="00BB4CE3"/>
    <w:rsid w:val="00BC28EF"/>
    <w:rsid w:val="00BD3885"/>
    <w:rsid w:val="00BD4957"/>
    <w:rsid w:val="00BD6401"/>
    <w:rsid w:val="00BD7941"/>
    <w:rsid w:val="00BE251D"/>
    <w:rsid w:val="00BE313D"/>
    <w:rsid w:val="00C00187"/>
    <w:rsid w:val="00C043DB"/>
    <w:rsid w:val="00C04D1C"/>
    <w:rsid w:val="00C17338"/>
    <w:rsid w:val="00C23B9F"/>
    <w:rsid w:val="00C339A8"/>
    <w:rsid w:val="00C4577B"/>
    <w:rsid w:val="00C50B99"/>
    <w:rsid w:val="00C80805"/>
    <w:rsid w:val="00C80EEC"/>
    <w:rsid w:val="00C836C8"/>
    <w:rsid w:val="00C84C4A"/>
    <w:rsid w:val="00C8574F"/>
    <w:rsid w:val="00C90D15"/>
    <w:rsid w:val="00CA1382"/>
    <w:rsid w:val="00CA4A00"/>
    <w:rsid w:val="00CA655F"/>
    <w:rsid w:val="00CA691A"/>
    <w:rsid w:val="00CC3126"/>
    <w:rsid w:val="00CC4CA7"/>
    <w:rsid w:val="00CC576F"/>
    <w:rsid w:val="00CE4C08"/>
    <w:rsid w:val="00CE59FA"/>
    <w:rsid w:val="00CF20BC"/>
    <w:rsid w:val="00CF5EA4"/>
    <w:rsid w:val="00CF7B95"/>
    <w:rsid w:val="00D03755"/>
    <w:rsid w:val="00D04031"/>
    <w:rsid w:val="00D05FD6"/>
    <w:rsid w:val="00D2651A"/>
    <w:rsid w:val="00D30A0B"/>
    <w:rsid w:val="00D41B37"/>
    <w:rsid w:val="00D46892"/>
    <w:rsid w:val="00D53F03"/>
    <w:rsid w:val="00D540DB"/>
    <w:rsid w:val="00D5442D"/>
    <w:rsid w:val="00D57E7C"/>
    <w:rsid w:val="00D60193"/>
    <w:rsid w:val="00D60469"/>
    <w:rsid w:val="00D66EDC"/>
    <w:rsid w:val="00D75FF9"/>
    <w:rsid w:val="00D771EB"/>
    <w:rsid w:val="00D84703"/>
    <w:rsid w:val="00D84DCC"/>
    <w:rsid w:val="00D84E55"/>
    <w:rsid w:val="00D929D1"/>
    <w:rsid w:val="00D95090"/>
    <w:rsid w:val="00D965BE"/>
    <w:rsid w:val="00D96E2D"/>
    <w:rsid w:val="00DA07D1"/>
    <w:rsid w:val="00DA1436"/>
    <w:rsid w:val="00DB5B66"/>
    <w:rsid w:val="00DC0DC3"/>
    <w:rsid w:val="00DD21C7"/>
    <w:rsid w:val="00DD5EDD"/>
    <w:rsid w:val="00DD6E12"/>
    <w:rsid w:val="00DE2565"/>
    <w:rsid w:val="00DE3CE6"/>
    <w:rsid w:val="00E03C52"/>
    <w:rsid w:val="00E07D51"/>
    <w:rsid w:val="00E16061"/>
    <w:rsid w:val="00E1649E"/>
    <w:rsid w:val="00E21F19"/>
    <w:rsid w:val="00E25C85"/>
    <w:rsid w:val="00E27264"/>
    <w:rsid w:val="00E300A9"/>
    <w:rsid w:val="00E46193"/>
    <w:rsid w:val="00E54A29"/>
    <w:rsid w:val="00E573CE"/>
    <w:rsid w:val="00E64FEB"/>
    <w:rsid w:val="00E77A35"/>
    <w:rsid w:val="00E829A3"/>
    <w:rsid w:val="00E85A95"/>
    <w:rsid w:val="00E94F7C"/>
    <w:rsid w:val="00E956B1"/>
    <w:rsid w:val="00EA0D3E"/>
    <w:rsid w:val="00EA40EC"/>
    <w:rsid w:val="00EA7DF4"/>
    <w:rsid w:val="00EA7F3F"/>
    <w:rsid w:val="00EB663D"/>
    <w:rsid w:val="00EB66F8"/>
    <w:rsid w:val="00EC24F6"/>
    <w:rsid w:val="00ED0A23"/>
    <w:rsid w:val="00ED6743"/>
    <w:rsid w:val="00ED6D8A"/>
    <w:rsid w:val="00ED79F7"/>
    <w:rsid w:val="00EE5405"/>
    <w:rsid w:val="00EF1FE0"/>
    <w:rsid w:val="00EF71F6"/>
    <w:rsid w:val="00F028A5"/>
    <w:rsid w:val="00F17FA9"/>
    <w:rsid w:val="00F21AE4"/>
    <w:rsid w:val="00F2614F"/>
    <w:rsid w:val="00F334D4"/>
    <w:rsid w:val="00F34532"/>
    <w:rsid w:val="00F35DAF"/>
    <w:rsid w:val="00F41B76"/>
    <w:rsid w:val="00F45413"/>
    <w:rsid w:val="00F45A97"/>
    <w:rsid w:val="00F55A9B"/>
    <w:rsid w:val="00F63983"/>
    <w:rsid w:val="00F65D9C"/>
    <w:rsid w:val="00F661B1"/>
    <w:rsid w:val="00F66FEE"/>
    <w:rsid w:val="00F73E6C"/>
    <w:rsid w:val="00F74F9B"/>
    <w:rsid w:val="00F813C9"/>
    <w:rsid w:val="00F93B96"/>
    <w:rsid w:val="00FA4A1B"/>
    <w:rsid w:val="00FB23A8"/>
    <w:rsid w:val="00FC0BCE"/>
    <w:rsid w:val="00FC14F4"/>
    <w:rsid w:val="00FC5A6D"/>
    <w:rsid w:val="00FD262E"/>
    <w:rsid w:val="00FE1F5A"/>
    <w:rsid w:val="00FF53FA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9099"/>
  <w15:chartTrackingRefBased/>
  <w15:docId w15:val="{C22F8F92-A573-4839-9A4A-6A787297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769"/>
    <w:pPr>
      <w:jc w:val="both"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774769"/>
    <w:pPr>
      <w:jc w:val="center"/>
    </w:pPr>
    <w:rPr>
      <w:rFonts w:ascii="TimesLT" w:hAnsi="TimesLT"/>
      <w:b/>
      <w:caps/>
    </w:rPr>
  </w:style>
  <w:style w:type="character" w:customStyle="1" w:styleId="BodyTextChar">
    <w:name w:val="Body Text Char"/>
    <w:link w:val="BodyText"/>
    <w:semiHidden/>
    <w:rsid w:val="00774769"/>
    <w:rPr>
      <w:rFonts w:ascii="TimesLT" w:eastAsia="Times New Roman" w:hAnsi="TimesLT" w:cs="Times New Roman"/>
      <w:b/>
      <w:caps/>
      <w:szCs w:val="24"/>
    </w:rPr>
  </w:style>
  <w:style w:type="table" w:styleId="TableGrid">
    <w:name w:val="Table Grid"/>
    <w:basedOn w:val="TableNormal"/>
    <w:uiPriority w:val="59"/>
    <w:rsid w:val="007747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747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link w:val="HTMLPreformatted"/>
    <w:uiPriority w:val="99"/>
    <w:rsid w:val="00774769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6B0E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6C74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F6C74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F6C74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rsid w:val="003F6C74"/>
    <w:rPr>
      <w:rFonts w:eastAsia="Times New Roman"/>
      <w:sz w:val="24"/>
      <w:szCs w:val="24"/>
      <w:lang w:eastAsia="en-US"/>
    </w:rPr>
  </w:style>
  <w:style w:type="paragraph" w:customStyle="1" w:styleId="CharChar1CharCharChar">
    <w:name w:val="Char Char1 Char Char Char"/>
    <w:basedOn w:val="Normal"/>
    <w:rsid w:val="00C339A8"/>
    <w:pPr>
      <w:spacing w:after="160" w:line="240" w:lineRule="exact"/>
      <w:jc w:val="lef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3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382"/>
    <w:rPr>
      <w:rFonts w:ascii="Segoe UI" w:eastAsia="Times New Roman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C5A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C5A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C5A6D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A6D"/>
    <w:rPr>
      <w:rFonts w:eastAsia="Times New Roman"/>
      <w:b/>
      <w:bCs/>
      <w:lang w:eastAsia="en-US"/>
    </w:rPr>
  </w:style>
  <w:style w:type="paragraph" w:customStyle="1" w:styleId="Adresas">
    <w:name w:val="Adresas"/>
    <w:basedOn w:val="Normal"/>
    <w:qFormat/>
    <w:rsid w:val="00757A99"/>
    <w:pPr>
      <w:ind w:right="318"/>
      <w:jc w:val="left"/>
    </w:pPr>
    <w:rPr>
      <w:lang w:eastAsia="lt-LT"/>
    </w:rPr>
  </w:style>
  <w:style w:type="paragraph" w:customStyle="1" w:styleId="bodytext0">
    <w:name w:val="bodytext"/>
    <w:basedOn w:val="Normal"/>
    <w:rsid w:val="00E1649E"/>
    <w:pPr>
      <w:spacing w:before="100" w:beforeAutospacing="1" w:after="100" w:afterAutospacing="1"/>
      <w:jc w:val="left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71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302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735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9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5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3908</Words>
  <Characters>2228</Characters>
  <Application>Microsoft Office Word</Application>
  <DocSecurity>4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Energetikos ministerija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Ceiko Patricija</dc:creator>
  <cp:keywords/>
  <dc:description/>
  <cp:lastModifiedBy>Patricija Ceiko</cp:lastModifiedBy>
  <cp:revision>2</cp:revision>
  <cp:lastPrinted>2011-06-16T11:44:00Z</cp:lastPrinted>
  <dcterms:created xsi:type="dcterms:W3CDTF">2021-04-23T07:02:00Z</dcterms:created>
  <dcterms:modified xsi:type="dcterms:W3CDTF">2021-04-23T07:02:00Z</dcterms:modified>
</cp:coreProperties>
</file>