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Default="0091144E" w:rsidP="0091144E">
      <w:pPr>
        <w:pStyle w:val="statymopavad"/>
        <w:tabs>
          <w:tab w:val="left" w:pos="7513"/>
        </w:tabs>
        <w:spacing w:line="240" w:lineRule="auto"/>
        <w:ind w:left="6300" w:right="1358" w:firstLine="0"/>
        <w:jc w:val="right"/>
        <w:rPr>
          <w:b/>
        </w:rPr>
      </w:pPr>
      <w:r w:rsidRPr="000C3D0E">
        <w:rPr>
          <w:rFonts w:ascii="Times New Roman" w:hAnsi="Times New Roman"/>
          <w:b/>
          <w:caps w:val="0"/>
          <w:szCs w:val="24"/>
        </w:rPr>
        <w:t>Projekt</w:t>
      </w:r>
      <w:r>
        <w:rPr>
          <w:rFonts w:ascii="Times New Roman" w:hAnsi="Times New Roman"/>
          <w:b/>
          <w:caps w:val="0"/>
          <w:szCs w:val="24"/>
        </w:rPr>
        <w:t>o</w:t>
      </w:r>
    </w:p>
    <w:p w:rsidR="0091144E" w:rsidRDefault="0091144E" w:rsidP="0091144E">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91144E" w:rsidRPr="006E0B4A"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FE431F" w:rsidP="0091144E">
      <w:pPr>
        <w:pStyle w:val="Pagrindiniotekstotrauka"/>
        <w:ind w:firstLine="0"/>
        <w:jc w:val="center"/>
        <w:rPr>
          <w:b/>
        </w:rPr>
      </w:pPr>
      <w:r>
        <w:rPr>
          <w:b/>
        </w:rPr>
        <w:t xml:space="preserve">AKCINIŲ BENDROVIŲ </w:t>
      </w:r>
      <w:r w:rsidR="0091144E">
        <w:rPr>
          <w:b/>
        </w:rPr>
        <w:t xml:space="preserve">ĮSTATYMO </w:t>
      </w:r>
      <w:r w:rsidR="0091144E" w:rsidRPr="001651CF">
        <w:rPr>
          <w:b/>
        </w:rPr>
        <w:t xml:space="preserve">NR. </w:t>
      </w:r>
      <w:r w:rsidR="00B21038">
        <w:rPr>
          <w:b/>
        </w:rPr>
        <w:t xml:space="preserve">VIII-1835 </w:t>
      </w:r>
      <w:r w:rsidR="00CA6391">
        <w:rPr>
          <w:b/>
        </w:rPr>
        <w:t xml:space="preserve">20, </w:t>
      </w:r>
      <w:r w:rsidR="006A0FEF">
        <w:rPr>
          <w:b/>
        </w:rPr>
        <w:t>37</w:t>
      </w:r>
      <w:r w:rsidR="006A0FEF" w:rsidRPr="006A0FEF">
        <w:rPr>
          <w:b/>
          <w:vertAlign w:val="superscript"/>
        </w:rPr>
        <w:t>2</w:t>
      </w:r>
      <w:r w:rsidR="006A0FEF">
        <w:rPr>
          <w:b/>
        </w:rPr>
        <w:t xml:space="preserve">, </w:t>
      </w:r>
      <w:r w:rsidR="00AB7C9F">
        <w:rPr>
          <w:b/>
        </w:rPr>
        <w:t xml:space="preserve">39, </w:t>
      </w:r>
      <w:r w:rsidR="00814B43">
        <w:rPr>
          <w:b/>
        </w:rPr>
        <w:t>47</w:t>
      </w:r>
      <w:r w:rsidR="00814B43" w:rsidRPr="00AF34B5">
        <w:rPr>
          <w:b/>
          <w:vertAlign w:val="superscript"/>
        </w:rPr>
        <w:t>2</w:t>
      </w:r>
      <w:r w:rsidR="00A91936">
        <w:rPr>
          <w:b/>
        </w:rPr>
        <w:t>,</w:t>
      </w:r>
      <w:r w:rsidR="00A060BD">
        <w:rPr>
          <w:b/>
        </w:rPr>
        <w:t xml:space="preserve"> </w:t>
      </w:r>
      <w:r w:rsidR="0032052D">
        <w:rPr>
          <w:b/>
        </w:rPr>
        <w:t xml:space="preserve">58, </w:t>
      </w:r>
      <w:r w:rsidR="005B1FDD">
        <w:rPr>
          <w:b/>
        </w:rPr>
        <w:t>59</w:t>
      </w:r>
      <w:r w:rsidR="006A0FEF">
        <w:rPr>
          <w:b/>
        </w:rPr>
        <w:t xml:space="preserve">, 63, </w:t>
      </w:r>
      <w:r w:rsidR="00F03D77">
        <w:rPr>
          <w:b/>
        </w:rPr>
        <w:t xml:space="preserve">74, </w:t>
      </w:r>
      <w:r w:rsidR="006A0FEF">
        <w:rPr>
          <w:b/>
        </w:rPr>
        <w:t>76</w:t>
      </w:r>
      <w:r w:rsidR="0091144E">
        <w:rPr>
          <w:b/>
        </w:rPr>
        <w:t xml:space="preserve"> STRAIPSNI</w:t>
      </w:r>
      <w:r w:rsidR="00172290">
        <w:rPr>
          <w:b/>
        </w:rPr>
        <w:t>Ų</w:t>
      </w:r>
      <w:r w:rsidR="0091144E">
        <w:rPr>
          <w:b/>
          <w:bCs/>
          <w:color w:val="000000"/>
          <w:szCs w:val="24"/>
        </w:rPr>
        <w:t xml:space="preserve"> </w:t>
      </w:r>
      <w:r w:rsidR="002A2F2C">
        <w:rPr>
          <w:b/>
          <w:bCs/>
          <w:color w:val="000000"/>
          <w:szCs w:val="24"/>
        </w:rPr>
        <w:t xml:space="preserve">IR PRIEDO </w:t>
      </w:r>
      <w:r w:rsidR="0091144E">
        <w:rPr>
          <w:b/>
        </w:rPr>
        <w:t xml:space="preserve">PAKEITIMO </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FE431F">
        <w:t>2</w:t>
      </w:r>
      <w:r w:rsidR="00672111">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CA6391" w:rsidRDefault="000D3636" w:rsidP="00CA6391">
      <w:pPr>
        <w:ind w:firstLine="720"/>
        <w:jc w:val="both"/>
        <w:rPr>
          <w:b/>
        </w:rPr>
      </w:pPr>
      <w:r>
        <w:rPr>
          <w:b/>
        </w:rPr>
        <w:t xml:space="preserve">1 straipsnis. </w:t>
      </w:r>
      <w:r w:rsidR="00CA6391">
        <w:rPr>
          <w:b/>
        </w:rPr>
        <w:t>20 straipsnio pakeitimas</w:t>
      </w:r>
    </w:p>
    <w:p w:rsidR="00CA6391" w:rsidRDefault="00CA6391" w:rsidP="00CA6391">
      <w:pPr>
        <w:ind w:firstLine="720"/>
        <w:jc w:val="both"/>
      </w:pPr>
      <w:r w:rsidRPr="00172290">
        <w:t xml:space="preserve">Pakeisti </w:t>
      </w:r>
      <w:r>
        <w:t>20</w:t>
      </w:r>
      <w:r w:rsidRPr="00172290">
        <w:t xml:space="preserve"> s</w:t>
      </w:r>
      <w:r>
        <w:t>traipsnio 1 dalies</w:t>
      </w:r>
      <w:r w:rsidR="000D3636">
        <w:t xml:space="preserve"> </w:t>
      </w:r>
      <w:r>
        <w:t>11 punktą ir jį išdėstyti taip:</w:t>
      </w:r>
    </w:p>
    <w:p w:rsidR="00CA6391" w:rsidRDefault="00CA6391" w:rsidP="00CA6391">
      <w:pPr>
        <w:ind w:firstLine="720"/>
        <w:jc w:val="both"/>
        <w:rPr>
          <w:rFonts w:ascii="&amp;quot" w:hAnsi="&amp;quot"/>
          <w:color w:val="000000"/>
        </w:rPr>
      </w:pPr>
      <w:r w:rsidRPr="00972971">
        <w:t>„</w:t>
      </w:r>
      <w:r w:rsidR="00404ADB">
        <w:rPr>
          <w:rFonts w:ascii="&amp;quot" w:hAnsi="&amp;quot"/>
          <w:color w:val="000000"/>
        </w:rPr>
        <w:t>11</w:t>
      </w:r>
      <w:r>
        <w:rPr>
          <w:rFonts w:ascii="&amp;quot" w:hAnsi="&amp;quot"/>
          <w:color w:val="000000"/>
        </w:rPr>
        <w:t>) tvirtinti metinių finansinių ataskaitų rinkinį</w:t>
      </w:r>
      <w:r w:rsidRPr="00311410">
        <w:rPr>
          <w:rFonts w:ascii="&amp;quot" w:hAnsi="&amp;quot"/>
          <w:b/>
          <w:color w:val="000000"/>
        </w:rPr>
        <w:t xml:space="preserve">, išskyrus, kai </w:t>
      </w:r>
      <w:r w:rsidRPr="00311410">
        <w:rPr>
          <w:b/>
        </w:rPr>
        <w:t xml:space="preserve">Civilinio </w:t>
      </w:r>
      <w:r w:rsidRPr="00311410">
        <w:rPr>
          <w:b/>
          <w:szCs w:val="24"/>
        </w:rPr>
        <w:t>kodekso 2.106 straipsnio 2, 3, 4 ir 7 punktų nustatytais atvejais</w:t>
      </w:r>
      <w:r w:rsidRPr="00311410">
        <w:rPr>
          <w:rFonts w:ascii="&amp;quot" w:hAnsi="&amp;quot"/>
          <w:b/>
          <w:color w:val="000000"/>
        </w:rPr>
        <w:t xml:space="preserve"> </w:t>
      </w:r>
      <w:r>
        <w:rPr>
          <w:rFonts w:ascii="&amp;quot" w:hAnsi="&amp;quot"/>
          <w:b/>
          <w:color w:val="000000"/>
        </w:rPr>
        <w:t>akcinė bendrovė</w:t>
      </w:r>
      <w:r w:rsidRPr="00311410">
        <w:rPr>
          <w:rFonts w:ascii="&amp;quot" w:hAnsi="&amp;quot"/>
          <w:b/>
          <w:color w:val="000000"/>
        </w:rPr>
        <w:t xml:space="preserve"> likviduojama</w:t>
      </w:r>
      <w:r>
        <w:rPr>
          <w:rFonts w:ascii="&amp;quot" w:hAnsi="&amp;quot"/>
          <w:color w:val="000000"/>
        </w:rPr>
        <w:t>;“</w:t>
      </w:r>
      <w:r w:rsidR="00404ADB">
        <w:rPr>
          <w:rFonts w:ascii="&amp;quot" w:hAnsi="&amp;quot"/>
          <w:color w:val="000000"/>
        </w:rPr>
        <w:t>.</w:t>
      </w:r>
    </w:p>
    <w:p w:rsidR="00CA6391" w:rsidRDefault="00CA6391" w:rsidP="000B73C4">
      <w:pPr>
        <w:ind w:firstLine="720"/>
        <w:jc w:val="both"/>
        <w:rPr>
          <w:b/>
        </w:rPr>
      </w:pPr>
    </w:p>
    <w:p w:rsidR="000B73C4" w:rsidRDefault="00334362" w:rsidP="000B73C4">
      <w:pPr>
        <w:ind w:firstLine="720"/>
        <w:jc w:val="both"/>
        <w:rPr>
          <w:b/>
        </w:rPr>
      </w:pPr>
      <w:r>
        <w:rPr>
          <w:b/>
        </w:rPr>
        <w:t>2</w:t>
      </w:r>
      <w:r w:rsidR="000B73C4">
        <w:rPr>
          <w:b/>
        </w:rPr>
        <w:t xml:space="preserve"> straipsnis. 37</w:t>
      </w:r>
      <w:r w:rsidR="000B73C4" w:rsidRPr="000B73C4">
        <w:rPr>
          <w:b/>
          <w:vertAlign w:val="superscript"/>
        </w:rPr>
        <w:t>2</w:t>
      </w:r>
      <w:r w:rsidR="000B73C4">
        <w:rPr>
          <w:b/>
        </w:rPr>
        <w:t xml:space="preserve"> straipsnio pakeitimas</w:t>
      </w:r>
    </w:p>
    <w:p w:rsidR="000B73C4" w:rsidRDefault="000B73C4" w:rsidP="000B73C4">
      <w:pPr>
        <w:ind w:firstLine="720"/>
        <w:jc w:val="both"/>
      </w:pPr>
      <w:r w:rsidRPr="00172290">
        <w:t xml:space="preserve">Pakeisti </w:t>
      </w:r>
      <w:r>
        <w:t>37</w:t>
      </w:r>
      <w:r w:rsidRPr="000B73C4">
        <w:rPr>
          <w:vertAlign w:val="superscript"/>
        </w:rPr>
        <w:t>2</w:t>
      </w:r>
      <w:r w:rsidRPr="00172290">
        <w:t xml:space="preserve"> s</w:t>
      </w:r>
      <w:r>
        <w:t xml:space="preserve">traipsnio </w:t>
      </w:r>
      <w:r w:rsidR="006A0FEF">
        <w:t>2</w:t>
      </w:r>
      <w:r>
        <w:t xml:space="preserve"> dalį ir ją išdėstyti taip:</w:t>
      </w:r>
    </w:p>
    <w:p w:rsidR="000B73C4" w:rsidRPr="000B73C4" w:rsidRDefault="000B73C4" w:rsidP="000B73C4">
      <w:pPr>
        <w:tabs>
          <w:tab w:val="left" w:pos="1134"/>
        </w:tabs>
        <w:overflowPunct w:val="0"/>
        <w:ind w:firstLine="720"/>
        <w:jc w:val="both"/>
        <w:textAlignment w:val="baseline"/>
        <w:rPr>
          <w:szCs w:val="24"/>
        </w:rPr>
      </w:pPr>
      <w:r>
        <w:rPr>
          <w:szCs w:val="24"/>
        </w:rPr>
        <w:t>„</w:t>
      </w:r>
      <w:r w:rsidRPr="000B73C4">
        <w:rPr>
          <w:szCs w:val="24"/>
        </w:rPr>
        <w:t xml:space="preserve">2. Su akcine bendrove, kurios akcijomis leista prekiauti reguliuojamoje rinkoje, susijusi šalis suprantama taip, kaip ji apibrėžta šios bendrovės taikomuose </w:t>
      </w:r>
      <w:r w:rsidRPr="000B73C4">
        <w:rPr>
          <w:strike/>
          <w:szCs w:val="24"/>
        </w:rPr>
        <w:t>apskaitos</w:t>
      </w:r>
      <w:r>
        <w:rPr>
          <w:strike/>
          <w:szCs w:val="24"/>
        </w:rPr>
        <w:t xml:space="preserve"> </w:t>
      </w:r>
      <w:r w:rsidRPr="000B73C4">
        <w:rPr>
          <w:b/>
          <w:szCs w:val="24"/>
        </w:rPr>
        <w:t>finansinės atskaitomybės</w:t>
      </w:r>
      <w:r w:rsidRPr="000B73C4">
        <w:rPr>
          <w:szCs w:val="24"/>
        </w:rPr>
        <w:t xml:space="preserve"> standartuose.</w:t>
      </w:r>
      <w:r>
        <w:rPr>
          <w:szCs w:val="24"/>
        </w:rPr>
        <w:t>“</w:t>
      </w:r>
    </w:p>
    <w:p w:rsidR="000B73C4" w:rsidRDefault="000B73C4" w:rsidP="0091144E">
      <w:pPr>
        <w:ind w:firstLine="720"/>
        <w:jc w:val="both"/>
        <w:rPr>
          <w:b/>
        </w:rPr>
      </w:pPr>
    </w:p>
    <w:p w:rsidR="00172290" w:rsidRDefault="00334362" w:rsidP="0091144E">
      <w:pPr>
        <w:ind w:firstLine="720"/>
        <w:jc w:val="both"/>
        <w:rPr>
          <w:b/>
        </w:rPr>
      </w:pPr>
      <w:r>
        <w:rPr>
          <w:b/>
        </w:rPr>
        <w:t>3</w:t>
      </w:r>
      <w:r w:rsidR="00172290">
        <w:rPr>
          <w:b/>
        </w:rPr>
        <w:t xml:space="preserve"> straipsnis. </w:t>
      </w:r>
      <w:r w:rsidR="00AB7C9F">
        <w:rPr>
          <w:b/>
        </w:rPr>
        <w:t>39</w:t>
      </w:r>
      <w:r w:rsidR="00172290">
        <w:rPr>
          <w:b/>
        </w:rPr>
        <w:t xml:space="preserve"> straipsnio pakeitimas</w:t>
      </w:r>
    </w:p>
    <w:p w:rsidR="0068238A" w:rsidRDefault="0068238A" w:rsidP="0068238A">
      <w:pPr>
        <w:ind w:firstLine="720"/>
        <w:jc w:val="both"/>
      </w:pPr>
      <w:r w:rsidRPr="00172290">
        <w:t xml:space="preserve">Pakeisti </w:t>
      </w:r>
      <w:r>
        <w:t>39</w:t>
      </w:r>
      <w:r w:rsidRPr="00172290">
        <w:t xml:space="preserve"> s</w:t>
      </w:r>
      <w:r>
        <w:t>traipsnio 7 dalį ir ją išdėstyti taip:</w:t>
      </w:r>
    </w:p>
    <w:p w:rsidR="0068238A" w:rsidRDefault="0068238A" w:rsidP="0091144E">
      <w:pPr>
        <w:ind w:firstLine="720"/>
        <w:jc w:val="both"/>
      </w:pPr>
      <w:r>
        <w:rPr>
          <w:sz w:val="22"/>
          <w:szCs w:val="22"/>
        </w:rPr>
        <w:t>„</w:t>
      </w:r>
      <w:r w:rsidRPr="004A5F18">
        <w:rPr>
          <w:szCs w:val="24"/>
        </w:rPr>
        <w:t>7</w:t>
      </w:r>
      <w:r w:rsidRPr="00DF78CD">
        <w:rPr>
          <w:szCs w:val="24"/>
        </w:rPr>
        <w:t>. Perkainojimo</w:t>
      </w:r>
      <w:r w:rsidRPr="0068238A">
        <w:t xml:space="preserve"> rezervas – </w:t>
      </w:r>
      <w:r w:rsidRPr="007F33FF">
        <w:rPr>
          <w:strike/>
        </w:rPr>
        <w:t xml:space="preserve">tai </w:t>
      </w:r>
      <w:r w:rsidRPr="0068238A">
        <w:t>ilgalaikio materialiojo turto</w:t>
      </w:r>
      <w:r w:rsidR="00B34002" w:rsidRPr="00B34002">
        <w:rPr>
          <w:b/>
        </w:rPr>
        <w:t>, nematerialiojo turto</w:t>
      </w:r>
      <w:r w:rsidRPr="0068238A">
        <w:t xml:space="preserve"> ir finansinio turto vertės padidėjimo </w:t>
      </w:r>
      <w:r w:rsidRPr="0068238A">
        <w:rPr>
          <w:b/>
        </w:rPr>
        <w:t>(sumažėjimo)</w:t>
      </w:r>
      <w:r>
        <w:t xml:space="preserve"> </w:t>
      </w:r>
      <w:r w:rsidRPr="0068238A">
        <w:t>suma, gauta perkainojus turtą</w:t>
      </w:r>
      <w:r w:rsidR="00F20FDD">
        <w:t xml:space="preserve"> </w:t>
      </w:r>
      <w:r w:rsidR="00F20FDD">
        <w:rPr>
          <w:b/>
        </w:rPr>
        <w:t>pagal taikomus finansinės atskaitomybės standartus</w:t>
      </w:r>
      <w:r w:rsidRPr="0068238A">
        <w:t xml:space="preserve">. Perkainojimo rezervu arba jo dalimi gali būti didinamas įstatinis kapitalas. </w:t>
      </w:r>
      <w:r w:rsidRPr="000C08EA">
        <w:rPr>
          <w:strike/>
        </w:rPr>
        <w:t xml:space="preserve">Iš </w:t>
      </w:r>
      <w:proofErr w:type="spellStart"/>
      <w:r w:rsidRPr="00CC68C0">
        <w:rPr>
          <w:strike/>
        </w:rPr>
        <w:t>p</w:t>
      </w:r>
      <w:r w:rsidR="00754F7F" w:rsidRPr="00754F7F">
        <w:rPr>
          <w:b/>
        </w:rPr>
        <w:t>P</w:t>
      </w:r>
      <w:r w:rsidRPr="00CC68C0">
        <w:t>erkainojimo</w:t>
      </w:r>
      <w:proofErr w:type="spellEnd"/>
      <w:r w:rsidRPr="0068238A">
        <w:t xml:space="preserve"> rezervo </w:t>
      </w:r>
      <w:r w:rsidR="00716002" w:rsidRPr="00716002">
        <w:rPr>
          <w:b/>
          <w:szCs w:val="24"/>
        </w:rPr>
        <w:t>nei tiesiogiai, nei netiesiogiai</w:t>
      </w:r>
      <w:r w:rsidR="00716002" w:rsidRPr="00CC68C0">
        <w:rPr>
          <w:strike/>
          <w:szCs w:val="24"/>
        </w:rPr>
        <w:t xml:space="preserve"> </w:t>
      </w:r>
      <w:r w:rsidRPr="000C08EA">
        <w:rPr>
          <w:strike/>
        </w:rPr>
        <w:t>negali būti mažinami nuostoliai</w:t>
      </w:r>
      <w:r w:rsidR="00F337FE">
        <w:t xml:space="preserve"> </w:t>
      </w:r>
      <w:r w:rsidR="000C08EA" w:rsidRPr="000C08EA">
        <w:rPr>
          <w:b/>
        </w:rPr>
        <w:t>paskirstyti negalima</w:t>
      </w:r>
      <w:r w:rsidRPr="0068238A">
        <w:t>.</w:t>
      </w:r>
      <w:r>
        <w:t>“</w:t>
      </w:r>
    </w:p>
    <w:p w:rsidR="00991877" w:rsidRDefault="00991877" w:rsidP="0091144E">
      <w:pPr>
        <w:ind w:firstLine="720"/>
        <w:jc w:val="both"/>
      </w:pPr>
    </w:p>
    <w:p w:rsidR="00AF34B5" w:rsidRDefault="00334362" w:rsidP="00AF34B5">
      <w:pPr>
        <w:ind w:firstLine="720"/>
        <w:jc w:val="both"/>
        <w:rPr>
          <w:b/>
        </w:rPr>
      </w:pPr>
      <w:r>
        <w:rPr>
          <w:b/>
        </w:rPr>
        <w:t>4</w:t>
      </w:r>
      <w:r w:rsidR="00AF34B5">
        <w:rPr>
          <w:b/>
        </w:rPr>
        <w:t xml:space="preserve"> straipsnis. 47</w:t>
      </w:r>
      <w:r w:rsidR="00AF34B5" w:rsidRPr="00AF34B5">
        <w:rPr>
          <w:b/>
          <w:vertAlign w:val="superscript"/>
        </w:rPr>
        <w:t>2</w:t>
      </w:r>
      <w:r w:rsidR="00AF34B5">
        <w:rPr>
          <w:b/>
        </w:rPr>
        <w:t xml:space="preserve"> straipsnio pakeitimas</w:t>
      </w:r>
    </w:p>
    <w:p w:rsidR="00AF34B5" w:rsidRDefault="00AF34B5" w:rsidP="00AF34B5">
      <w:pPr>
        <w:ind w:firstLine="720"/>
        <w:jc w:val="both"/>
      </w:pPr>
      <w:r>
        <w:t xml:space="preserve">1. </w:t>
      </w:r>
      <w:r w:rsidRPr="00172290">
        <w:t xml:space="preserve">Pakeisti </w:t>
      </w:r>
      <w:r>
        <w:t>47</w:t>
      </w:r>
      <w:r w:rsidRPr="00AF34B5">
        <w:rPr>
          <w:vertAlign w:val="superscript"/>
        </w:rPr>
        <w:t xml:space="preserve">2 </w:t>
      </w:r>
      <w:r w:rsidRPr="00172290">
        <w:t>s</w:t>
      </w:r>
      <w:r>
        <w:t>traipsnio 1 dalį ir ją išdėstyti taip:</w:t>
      </w:r>
    </w:p>
    <w:p w:rsidR="00AF34B5" w:rsidRPr="00AF34B5" w:rsidRDefault="00AF34B5" w:rsidP="00AF34B5">
      <w:pPr>
        <w:ind w:firstLine="720"/>
        <w:jc w:val="both"/>
        <w:rPr>
          <w:szCs w:val="24"/>
          <w:lang w:eastAsia="lt-LT"/>
        </w:rPr>
      </w:pPr>
      <w:r w:rsidRPr="00AF34B5">
        <w:rPr>
          <w:szCs w:val="24"/>
          <w:lang w:eastAsia="lt-LT"/>
        </w:rPr>
        <w:t>„1. Šio Įstatymo 47</w:t>
      </w:r>
      <w:r w:rsidRPr="00AF34B5">
        <w:rPr>
          <w:szCs w:val="24"/>
          <w:vertAlign w:val="superscript"/>
          <w:lang w:eastAsia="lt-LT"/>
        </w:rPr>
        <w:t>1</w:t>
      </w:r>
      <w:r w:rsidRPr="00AF34B5">
        <w:rPr>
          <w:szCs w:val="24"/>
          <w:lang w:eastAsia="lt-LT"/>
        </w:rPr>
        <w:t xml:space="preserve"> straipsnyje ir Akcijų suteikimo taisyklėse nustatyta tvarka suteikiant akcijas neatlygintinai, už akcijas </w:t>
      </w:r>
      <w:r w:rsidRPr="007F33FF">
        <w:rPr>
          <w:strike/>
          <w:szCs w:val="24"/>
          <w:lang w:eastAsia="lt-LT"/>
        </w:rPr>
        <w:t>apmokama</w:t>
      </w:r>
      <w:r w:rsidRPr="0078782F">
        <w:rPr>
          <w:strike/>
          <w:szCs w:val="24"/>
          <w:lang w:eastAsia="lt-LT"/>
        </w:rPr>
        <w:t xml:space="preserve"> </w:t>
      </w:r>
      <w:r w:rsidR="005A1526" w:rsidRPr="007F33FF">
        <w:rPr>
          <w:b/>
          <w:szCs w:val="24"/>
          <w:lang w:eastAsia="lt-LT"/>
        </w:rPr>
        <w:t>sumokama</w:t>
      </w:r>
      <w:r w:rsidR="005A1526">
        <w:rPr>
          <w:szCs w:val="24"/>
          <w:lang w:eastAsia="lt-LT"/>
        </w:rPr>
        <w:t xml:space="preserve"> </w:t>
      </w:r>
      <w:r w:rsidRPr="00AF34B5">
        <w:rPr>
          <w:szCs w:val="24"/>
          <w:lang w:eastAsia="lt-LT"/>
        </w:rPr>
        <w:t>bendrovės lėšomis</w:t>
      </w:r>
      <w:r w:rsidRPr="00AF34B5">
        <w:rPr>
          <w:strike/>
          <w:szCs w:val="24"/>
          <w:lang w:eastAsia="lt-LT"/>
        </w:rPr>
        <w:t xml:space="preserve"> iš bendrovės rezervo akcijoms suteikti</w:t>
      </w:r>
      <w:r w:rsidRPr="00AF34B5">
        <w:rPr>
          <w:szCs w:val="24"/>
          <w:lang w:eastAsia="lt-LT"/>
        </w:rPr>
        <w:t>.“</w:t>
      </w:r>
    </w:p>
    <w:p w:rsidR="00AF34B5" w:rsidRPr="00AF34B5" w:rsidRDefault="00AF34B5" w:rsidP="00AF34B5">
      <w:pPr>
        <w:ind w:firstLine="720"/>
        <w:jc w:val="both"/>
        <w:rPr>
          <w:szCs w:val="24"/>
          <w:lang w:val="en-US" w:eastAsia="lt-LT"/>
        </w:rPr>
      </w:pPr>
      <w:r w:rsidRPr="00AF34B5">
        <w:rPr>
          <w:szCs w:val="24"/>
        </w:rPr>
        <w:t>2. Pakeisti 47</w:t>
      </w:r>
      <w:r w:rsidRPr="00AF34B5">
        <w:rPr>
          <w:szCs w:val="24"/>
          <w:vertAlign w:val="superscript"/>
        </w:rPr>
        <w:t xml:space="preserve">2 </w:t>
      </w:r>
      <w:r w:rsidRPr="00AF34B5">
        <w:rPr>
          <w:szCs w:val="24"/>
        </w:rPr>
        <w:t>straipsnio 2 dalį ir ją išdėstyti taip:</w:t>
      </w:r>
    </w:p>
    <w:p w:rsidR="00AF34B5" w:rsidRPr="00AF34B5" w:rsidRDefault="00AF34B5" w:rsidP="00AF34B5">
      <w:pPr>
        <w:ind w:firstLine="720"/>
        <w:jc w:val="both"/>
        <w:rPr>
          <w:szCs w:val="24"/>
          <w:lang w:eastAsia="lt-LT"/>
        </w:rPr>
      </w:pPr>
      <w:bookmarkStart w:id="0" w:name="part_140c8021b04c4aa88773a4480b627239"/>
      <w:bookmarkEnd w:id="0"/>
      <w:r w:rsidRPr="00AF34B5">
        <w:rPr>
          <w:szCs w:val="24"/>
          <w:lang w:eastAsia="lt-LT"/>
        </w:rPr>
        <w:t>„2. Šio Įstatymo 47</w:t>
      </w:r>
      <w:r w:rsidRPr="00AF34B5">
        <w:rPr>
          <w:szCs w:val="24"/>
          <w:vertAlign w:val="superscript"/>
          <w:lang w:eastAsia="lt-LT"/>
        </w:rPr>
        <w:t xml:space="preserve">1 </w:t>
      </w:r>
      <w:r w:rsidRPr="00AF34B5">
        <w:rPr>
          <w:szCs w:val="24"/>
          <w:lang w:eastAsia="lt-LT"/>
        </w:rPr>
        <w:t xml:space="preserve">straipsnyje ir Akcijų suteikimo taisyklėse nustatyta tvarka suteikiant akcijas iš dalies atlygintinai, už akcijas </w:t>
      </w:r>
      <w:r w:rsidRPr="007F33FF">
        <w:rPr>
          <w:strike/>
          <w:szCs w:val="24"/>
          <w:lang w:eastAsia="lt-LT"/>
        </w:rPr>
        <w:t>apmokama</w:t>
      </w:r>
      <w:r w:rsidRPr="0078782F">
        <w:rPr>
          <w:strike/>
          <w:szCs w:val="24"/>
          <w:lang w:eastAsia="lt-LT"/>
        </w:rPr>
        <w:t xml:space="preserve"> </w:t>
      </w:r>
      <w:r w:rsidR="005A1526" w:rsidRPr="007F33FF">
        <w:rPr>
          <w:b/>
          <w:szCs w:val="24"/>
          <w:lang w:eastAsia="lt-LT"/>
        </w:rPr>
        <w:t>sumokama</w:t>
      </w:r>
      <w:r w:rsidR="005A1526">
        <w:rPr>
          <w:szCs w:val="24"/>
          <w:lang w:eastAsia="lt-LT"/>
        </w:rPr>
        <w:t xml:space="preserve"> </w:t>
      </w:r>
      <w:r w:rsidRPr="00AF34B5">
        <w:rPr>
          <w:szCs w:val="24"/>
          <w:lang w:eastAsia="lt-LT"/>
        </w:rPr>
        <w:t>Akcijų suteikimo taisyklėse nustatyta tvarka pinigais ir (ar) akcijas apmokančiam asmeniui nuosavybės teise priklausančiais nepiniginiais įnašais, taip pat bendrovės lėšomis</w:t>
      </w:r>
      <w:r w:rsidRPr="00F603BE">
        <w:rPr>
          <w:strike/>
          <w:szCs w:val="24"/>
          <w:lang w:eastAsia="lt-LT"/>
        </w:rPr>
        <w:t xml:space="preserve"> </w:t>
      </w:r>
      <w:r w:rsidRPr="00AF34B5">
        <w:rPr>
          <w:strike/>
          <w:szCs w:val="24"/>
          <w:lang w:eastAsia="lt-LT"/>
        </w:rPr>
        <w:t>iš bendrovės rezervo akcijoms suteikti</w:t>
      </w:r>
      <w:r w:rsidRPr="00AF34B5">
        <w:rPr>
          <w:szCs w:val="24"/>
          <w:lang w:eastAsia="lt-LT"/>
        </w:rPr>
        <w:t>.“</w:t>
      </w:r>
    </w:p>
    <w:p w:rsidR="00DC0E15" w:rsidRDefault="00DC0E15" w:rsidP="0091144E">
      <w:pPr>
        <w:ind w:firstLine="720"/>
        <w:jc w:val="both"/>
        <w:rPr>
          <w:strike/>
          <w:szCs w:val="24"/>
          <w:lang w:eastAsia="lt-LT"/>
        </w:rPr>
      </w:pPr>
    </w:p>
    <w:p w:rsidR="0032052D" w:rsidRDefault="00334362" w:rsidP="00DC0E15">
      <w:pPr>
        <w:ind w:firstLine="720"/>
        <w:jc w:val="both"/>
        <w:rPr>
          <w:b/>
          <w:szCs w:val="24"/>
        </w:rPr>
      </w:pPr>
      <w:r>
        <w:rPr>
          <w:b/>
          <w:szCs w:val="24"/>
        </w:rPr>
        <w:t>5</w:t>
      </w:r>
      <w:r w:rsidR="00DC0E15" w:rsidRPr="00DC0E15">
        <w:rPr>
          <w:b/>
          <w:szCs w:val="24"/>
        </w:rPr>
        <w:t xml:space="preserve"> straipsnis. </w:t>
      </w:r>
      <w:r w:rsidR="0032052D">
        <w:rPr>
          <w:b/>
          <w:szCs w:val="24"/>
        </w:rPr>
        <w:t>58 straipsnio pakeitimas</w:t>
      </w:r>
    </w:p>
    <w:p w:rsidR="0032052D" w:rsidRDefault="005C3195" w:rsidP="0032052D">
      <w:pPr>
        <w:ind w:firstLine="720"/>
        <w:jc w:val="both"/>
      </w:pPr>
      <w:r>
        <w:t xml:space="preserve">1. </w:t>
      </w:r>
      <w:r w:rsidR="0032052D" w:rsidRPr="00172290">
        <w:t xml:space="preserve">Pakeisti </w:t>
      </w:r>
      <w:r w:rsidR="0032052D">
        <w:t>58</w:t>
      </w:r>
      <w:r w:rsidR="0032052D" w:rsidRPr="00AF34B5">
        <w:rPr>
          <w:vertAlign w:val="superscript"/>
        </w:rPr>
        <w:t xml:space="preserve"> </w:t>
      </w:r>
      <w:r w:rsidR="0032052D" w:rsidRPr="00172290">
        <w:t>s</w:t>
      </w:r>
      <w:r w:rsidR="0032052D">
        <w:t>traipsnio 2 dalį ir ją išdėstyti taip:</w:t>
      </w:r>
    </w:p>
    <w:p w:rsidR="0032052D" w:rsidRDefault="0032052D" w:rsidP="0032052D">
      <w:pPr>
        <w:ind w:firstLine="720"/>
        <w:jc w:val="both"/>
        <w:rPr>
          <w:szCs w:val="24"/>
        </w:rPr>
      </w:pPr>
      <w:r>
        <w:t>„</w:t>
      </w:r>
      <w:r w:rsidRPr="0032052D">
        <w:t>2. Bendrovės metinių finansinių ataskaitų rinkinį</w:t>
      </w:r>
      <w:r w:rsidR="005C3195" w:rsidRPr="005C3195">
        <w:rPr>
          <w:b/>
        </w:rPr>
        <w:t xml:space="preserve">, </w:t>
      </w:r>
      <w:r w:rsidR="005C3195" w:rsidRPr="00A969B7">
        <w:rPr>
          <w:b/>
          <w:bCs/>
        </w:rPr>
        <w:t>išskyrus</w:t>
      </w:r>
      <w:r w:rsidR="006019F5">
        <w:rPr>
          <w:b/>
          <w:bCs/>
        </w:rPr>
        <w:t>,</w:t>
      </w:r>
      <w:bookmarkStart w:id="1" w:name="_GoBack"/>
      <w:bookmarkEnd w:id="1"/>
      <w:r w:rsidR="005C3195" w:rsidRPr="00A969B7">
        <w:rPr>
          <w:b/>
          <w:bCs/>
        </w:rPr>
        <w:t xml:space="preserve"> kai </w:t>
      </w:r>
      <w:r w:rsidR="005C3195" w:rsidRPr="00A969B7">
        <w:rPr>
          <w:b/>
        </w:rPr>
        <w:t xml:space="preserve">Civilinio </w:t>
      </w:r>
      <w:r w:rsidR="005C3195" w:rsidRPr="00A969B7">
        <w:rPr>
          <w:b/>
          <w:szCs w:val="24"/>
        </w:rPr>
        <w:t>kodekso 2.106 straipsnio 2, 3, 4 ir 7 punktų nustatytais atvejais bendrovė likviduojama,</w:t>
      </w:r>
      <w:r w:rsidRPr="0032052D">
        <w:t xml:space="preserve"> tvirtina eilinis visuotinis akcininkų susirinkimas. Jeigu bendrovės metinių finansinių ataskaitų rinkinio auditas pagal įstatymus yra privalomas ar yra numatytas įstatuose, tvirtinamas tik audituotas metinių finansinių ataskaitų rinkinys.</w:t>
      </w:r>
      <w:r w:rsidRPr="00F24B15">
        <w:rPr>
          <w:szCs w:val="24"/>
        </w:rPr>
        <w:t>“</w:t>
      </w:r>
    </w:p>
    <w:p w:rsidR="005C3195" w:rsidRDefault="005C3195" w:rsidP="005C3195">
      <w:pPr>
        <w:ind w:firstLine="720"/>
        <w:jc w:val="both"/>
        <w:rPr>
          <w:szCs w:val="24"/>
        </w:rPr>
      </w:pPr>
      <w:r>
        <w:rPr>
          <w:szCs w:val="24"/>
        </w:rPr>
        <w:t xml:space="preserve">2. </w:t>
      </w:r>
      <w:r w:rsidRPr="00B84515">
        <w:rPr>
          <w:szCs w:val="24"/>
        </w:rPr>
        <w:t xml:space="preserve">Pakeisti 58 straipsnio </w:t>
      </w:r>
      <w:r>
        <w:rPr>
          <w:szCs w:val="24"/>
        </w:rPr>
        <w:t>3</w:t>
      </w:r>
      <w:r w:rsidRPr="00B84515">
        <w:rPr>
          <w:szCs w:val="24"/>
        </w:rPr>
        <w:t xml:space="preserve"> dalį ir ją išdėstyti taip:</w:t>
      </w:r>
    </w:p>
    <w:p w:rsidR="005C3195" w:rsidRPr="0032052D" w:rsidRDefault="005C3195" w:rsidP="005C3195">
      <w:pPr>
        <w:ind w:firstLine="720"/>
        <w:jc w:val="both"/>
      </w:pPr>
      <w:r>
        <w:t>„</w:t>
      </w:r>
      <w:r w:rsidRPr="00B84515">
        <w:t xml:space="preserve">3. Bendrovės metinių finansinių ataskaitų rinkinys kartu su bendrovės metiniu pranešimu ir auditoriaus išvada (jei auditas privalomas pagal įstatymus ar numatytas įstatuose) per 30 dienų nuo eilinio visuotinio akcininkų susirinkimo turi būti pateiktas juridinių asmenų </w:t>
      </w:r>
      <w:r w:rsidRPr="00B84515">
        <w:lastRenderedPageBreak/>
        <w:t>registro tvarkytojui.</w:t>
      </w:r>
      <w:r>
        <w:t xml:space="preserve"> </w:t>
      </w:r>
      <w:r w:rsidRPr="005C3195">
        <w:rPr>
          <w:b/>
          <w:bCs/>
        </w:rPr>
        <w:t>Kai Civilinio kodekso 2.106 straipsnio 2, 3, 4 ir 7 punktų nustatytais atvejais bendrovė likviduojama, jos nepatvirtintas metinių finansinių ataskaitų rinkinys Juridinių asmenų registro tvarkytojui pateikiam</w:t>
      </w:r>
      <w:r w:rsidR="00475B8C">
        <w:rPr>
          <w:b/>
          <w:bCs/>
        </w:rPr>
        <w:t>a</w:t>
      </w:r>
      <w:r w:rsidRPr="005C3195">
        <w:rPr>
          <w:b/>
          <w:bCs/>
        </w:rPr>
        <w:t>s per penkis mėnesius nuo finansinių metų pabaigos.</w:t>
      </w:r>
      <w:r w:rsidRPr="00F65BA4">
        <w:rPr>
          <w:bCs/>
        </w:rPr>
        <w:t>“</w:t>
      </w:r>
    </w:p>
    <w:p w:rsidR="0032052D" w:rsidRDefault="0032052D" w:rsidP="00DC0E15">
      <w:pPr>
        <w:ind w:firstLine="720"/>
        <w:jc w:val="both"/>
        <w:rPr>
          <w:b/>
          <w:szCs w:val="24"/>
        </w:rPr>
      </w:pPr>
    </w:p>
    <w:p w:rsidR="00DC0E15" w:rsidRDefault="00334362" w:rsidP="00DC0E15">
      <w:pPr>
        <w:ind w:firstLine="720"/>
        <w:jc w:val="both"/>
        <w:rPr>
          <w:b/>
          <w:szCs w:val="24"/>
        </w:rPr>
      </w:pPr>
      <w:r>
        <w:rPr>
          <w:b/>
        </w:rPr>
        <w:t>6</w:t>
      </w:r>
      <w:r w:rsidR="0032052D" w:rsidRPr="009F7BB0">
        <w:rPr>
          <w:b/>
        </w:rPr>
        <w:t xml:space="preserve"> straipsnis. </w:t>
      </w:r>
      <w:r w:rsidR="00DC0E15" w:rsidRPr="00DC0E15">
        <w:rPr>
          <w:b/>
          <w:szCs w:val="24"/>
        </w:rPr>
        <w:t>5</w:t>
      </w:r>
      <w:r w:rsidR="00DC0E15">
        <w:rPr>
          <w:b/>
          <w:szCs w:val="24"/>
        </w:rPr>
        <w:t>9</w:t>
      </w:r>
      <w:r w:rsidR="00DC0E15" w:rsidRPr="00DC0E15">
        <w:rPr>
          <w:b/>
          <w:szCs w:val="24"/>
        </w:rPr>
        <w:t xml:space="preserve"> straipsnio pakeitimas</w:t>
      </w:r>
    </w:p>
    <w:p w:rsidR="00874A7B" w:rsidRDefault="00874A7B" w:rsidP="00874A7B">
      <w:pPr>
        <w:ind w:firstLine="720"/>
        <w:jc w:val="both"/>
        <w:rPr>
          <w:b/>
          <w:szCs w:val="24"/>
        </w:rPr>
      </w:pPr>
      <w:r w:rsidRPr="00172290">
        <w:t xml:space="preserve">Pakeisti </w:t>
      </w:r>
      <w:r>
        <w:t>59</w:t>
      </w:r>
      <w:r w:rsidRPr="00AF34B5">
        <w:rPr>
          <w:vertAlign w:val="superscript"/>
        </w:rPr>
        <w:t xml:space="preserve"> </w:t>
      </w:r>
      <w:r w:rsidRPr="00172290">
        <w:t>s</w:t>
      </w:r>
      <w:r>
        <w:t>traipsnio 3 dalį ir ją išdėstyti taip:</w:t>
      </w:r>
    </w:p>
    <w:p w:rsidR="00874A7B" w:rsidRDefault="00874A7B" w:rsidP="00874A7B">
      <w:pPr>
        <w:ind w:right="92" w:firstLine="720"/>
        <w:jc w:val="both"/>
        <w:rPr>
          <w:rFonts w:ascii="&amp;quot" w:hAnsi="&amp;quot"/>
          <w:color w:val="000000"/>
          <w:szCs w:val="24"/>
          <w:lang w:eastAsia="lt-LT"/>
        </w:rPr>
      </w:pPr>
      <w:bookmarkStart w:id="2" w:name="part_c4bfc7e749a542cb9fcfe4e729f7065b"/>
      <w:bookmarkEnd w:id="2"/>
      <w:r>
        <w:rPr>
          <w:rFonts w:ascii="&amp;quot" w:hAnsi="&amp;quot"/>
          <w:color w:val="000000"/>
          <w:szCs w:val="24"/>
          <w:lang w:eastAsia="lt-LT"/>
        </w:rPr>
        <w:t>„</w:t>
      </w:r>
      <w:r w:rsidRPr="00BE308A">
        <w:rPr>
          <w:rFonts w:ascii="&amp;quot" w:hAnsi="&amp;quot"/>
          <w:color w:val="000000"/>
          <w:szCs w:val="24"/>
          <w:lang w:eastAsia="lt-LT"/>
        </w:rPr>
        <w:t xml:space="preserve">3. Bendrovės </w:t>
      </w:r>
      <w:proofErr w:type="spellStart"/>
      <w:r w:rsidRPr="00BE308A">
        <w:rPr>
          <w:rFonts w:ascii="&amp;quot" w:hAnsi="&amp;quot"/>
          <w:color w:val="000000"/>
          <w:szCs w:val="24"/>
          <w:lang w:eastAsia="lt-LT"/>
        </w:rPr>
        <w:t>paskirstytinąjį</w:t>
      </w:r>
      <w:proofErr w:type="spellEnd"/>
      <w:r w:rsidRPr="00BE308A">
        <w:rPr>
          <w:rFonts w:ascii="&amp;quot" w:hAnsi="&amp;quot"/>
          <w:color w:val="000000"/>
          <w:szCs w:val="24"/>
          <w:lang w:eastAsia="lt-LT"/>
        </w:rPr>
        <w:t xml:space="preserve"> pelną (nuostolius) sudaro ataskaitinių finansinių metų pelno (nuostolių) ir ankstesnių finansinių metų nepaskirstytojo pelno (nuostolių) ataskaitinių finansinių metų pabaigoje, pervedimų iš rezervų bei akcininkų</w:t>
      </w:r>
      <w:r>
        <w:rPr>
          <w:rFonts w:ascii="&amp;quot" w:hAnsi="&amp;quot"/>
          <w:color w:val="000000"/>
          <w:szCs w:val="24"/>
          <w:lang w:eastAsia="lt-LT"/>
        </w:rPr>
        <w:t xml:space="preserve"> įnašų nuostoliams padengti sum</w:t>
      </w:r>
      <w:r w:rsidR="004747AC">
        <w:rPr>
          <w:rFonts w:ascii="&amp;quot" w:hAnsi="&amp;quot"/>
          <w:color w:val="000000"/>
          <w:szCs w:val="24"/>
          <w:lang w:eastAsia="lt-LT"/>
        </w:rPr>
        <w:t>a</w:t>
      </w:r>
      <w:r w:rsidR="000D739D">
        <w:rPr>
          <w:rFonts w:ascii="&amp;quot" w:hAnsi="&amp;quot"/>
          <w:color w:val="000000"/>
          <w:szCs w:val="24"/>
          <w:lang w:eastAsia="lt-LT"/>
        </w:rPr>
        <w:t>.</w:t>
      </w:r>
      <w:r w:rsidRPr="00BE308A">
        <w:rPr>
          <w:rFonts w:ascii="&amp;quot" w:hAnsi="&amp;quot"/>
          <w:b/>
          <w:color w:val="000000"/>
          <w:szCs w:val="24"/>
          <w:lang w:eastAsia="lt-LT"/>
        </w:rPr>
        <w:t xml:space="preserve"> </w:t>
      </w:r>
      <w:r w:rsidR="008731E3" w:rsidRPr="008731E3">
        <w:rPr>
          <w:rFonts w:ascii="&amp;quot" w:hAnsi="&amp;quot"/>
          <w:b/>
          <w:color w:val="000000"/>
          <w:szCs w:val="24"/>
          <w:lang w:eastAsia="lt-LT"/>
        </w:rPr>
        <w:t>Po pelno paskirstymo likusi paskirstytino pelno (nuostolių) suma turi būti ne</w:t>
      </w:r>
      <w:r w:rsidR="00EE7C6E">
        <w:rPr>
          <w:rFonts w:ascii="&amp;quot" w:hAnsi="&amp;quot"/>
          <w:b/>
          <w:color w:val="000000"/>
          <w:szCs w:val="24"/>
          <w:lang w:eastAsia="lt-LT"/>
        </w:rPr>
        <w:t xml:space="preserve"> </w:t>
      </w:r>
      <w:r w:rsidR="008731E3" w:rsidRPr="008731E3">
        <w:rPr>
          <w:rFonts w:ascii="&amp;quot" w:hAnsi="&amp;quot"/>
          <w:b/>
          <w:color w:val="000000"/>
          <w:szCs w:val="24"/>
          <w:lang w:eastAsia="lt-LT"/>
        </w:rPr>
        <w:t xml:space="preserve">mažesnė nei </w:t>
      </w:r>
      <w:r w:rsidR="00433F58">
        <w:rPr>
          <w:rFonts w:eastAsiaTheme="minorHAnsi"/>
          <w:b/>
          <w:bCs/>
          <w:color w:val="000000"/>
          <w:szCs w:val="24"/>
        </w:rPr>
        <w:t xml:space="preserve">pagal taikomus finansinės atskaitomybės standartus </w:t>
      </w:r>
      <w:r w:rsidRPr="000D739D">
        <w:rPr>
          <w:b/>
          <w:szCs w:val="24"/>
        </w:rPr>
        <w:t>n</w:t>
      </w:r>
      <w:r w:rsidRPr="00BE308A">
        <w:rPr>
          <w:b/>
          <w:szCs w:val="24"/>
        </w:rPr>
        <w:t>ematerialiajam turtui priskirtų plėtros darbų balansinės vertės ataskaitinių finansinių metų pabaigoje</w:t>
      </w:r>
      <w:r w:rsidR="00327F3E">
        <w:rPr>
          <w:b/>
          <w:szCs w:val="24"/>
        </w:rPr>
        <w:t xml:space="preserve"> </w:t>
      </w:r>
      <w:r>
        <w:rPr>
          <w:b/>
          <w:szCs w:val="24"/>
        </w:rPr>
        <w:t>sum</w:t>
      </w:r>
      <w:r w:rsidR="007B1376">
        <w:rPr>
          <w:b/>
          <w:szCs w:val="24"/>
        </w:rPr>
        <w:t>a</w:t>
      </w:r>
      <w:r w:rsidRPr="003532F8">
        <w:rPr>
          <w:rFonts w:ascii="&amp;quot" w:hAnsi="&amp;quot"/>
          <w:color w:val="000000"/>
          <w:szCs w:val="24"/>
          <w:lang w:eastAsia="lt-LT"/>
        </w:rPr>
        <w:t>.</w:t>
      </w:r>
      <w:r>
        <w:rPr>
          <w:rFonts w:ascii="&amp;quot" w:hAnsi="&amp;quot"/>
          <w:color w:val="000000"/>
          <w:szCs w:val="24"/>
          <w:lang w:eastAsia="lt-LT"/>
        </w:rPr>
        <w:t>“</w:t>
      </w:r>
    </w:p>
    <w:p w:rsidR="009E00E5" w:rsidRDefault="009E00E5" w:rsidP="009047CF">
      <w:pPr>
        <w:ind w:firstLine="709"/>
        <w:jc w:val="both"/>
      </w:pPr>
    </w:p>
    <w:p w:rsidR="009E00E5" w:rsidRPr="009F7BB0" w:rsidRDefault="00334362" w:rsidP="009047CF">
      <w:pPr>
        <w:ind w:firstLine="709"/>
        <w:jc w:val="both"/>
        <w:rPr>
          <w:b/>
          <w:lang w:val="en-US"/>
        </w:rPr>
      </w:pPr>
      <w:r>
        <w:rPr>
          <w:b/>
        </w:rPr>
        <w:t>7</w:t>
      </w:r>
      <w:r w:rsidR="0032052D" w:rsidRPr="009F7BB0">
        <w:rPr>
          <w:b/>
        </w:rPr>
        <w:t xml:space="preserve"> </w:t>
      </w:r>
      <w:r w:rsidR="009E00E5" w:rsidRPr="009F7BB0">
        <w:rPr>
          <w:b/>
        </w:rPr>
        <w:t xml:space="preserve">straipsnis. </w:t>
      </w:r>
      <w:r w:rsidR="009F7BB0" w:rsidRPr="009F7BB0">
        <w:rPr>
          <w:b/>
        </w:rPr>
        <w:t>63 straipsnio pakeitimas</w:t>
      </w:r>
    </w:p>
    <w:p w:rsidR="009F7BB0" w:rsidRDefault="009F7BB0" w:rsidP="009F7BB0">
      <w:pPr>
        <w:ind w:firstLine="720"/>
        <w:jc w:val="both"/>
      </w:pPr>
      <w:r>
        <w:t>Pakeisti 63 straipsnio 1 dalies 9 punktą ir jį išdėstyti taip:</w:t>
      </w:r>
    </w:p>
    <w:p w:rsidR="009E00E5" w:rsidRDefault="009F7BB0" w:rsidP="009E00E5">
      <w:pPr>
        <w:ind w:firstLine="720"/>
        <w:jc w:val="both"/>
        <w:rPr>
          <w:szCs w:val="24"/>
        </w:rPr>
      </w:pPr>
      <w:r w:rsidRPr="009F7BB0">
        <w:rPr>
          <w:szCs w:val="24"/>
        </w:rPr>
        <w:t>„</w:t>
      </w:r>
      <w:r w:rsidR="009E00E5" w:rsidRPr="009F7BB0">
        <w:rPr>
          <w:szCs w:val="24"/>
        </w:rPr>
        <w:t xml:space="preserve">9) momentas, nuo kurio po reorganizavimo pasibaigiančios bendrovės teisės ir pareigos pagal sandorius pereina po reorganizavimo veiksiančiai bendrovei ir sandoriai įtraukiami į šios bendrovės </w:t>
      </w:r>
      <w:r w:rsidR="009E00E5" w:rsidRPr="009F7BB0">
        <w:rPr>
          <w:strike/>
          <w:szCs w:val="24"/>
        </w:rPr>
        <w:t xml:space="preserve">buhalterinę </w:t>
      </w:r>
      <w:r w:rsidRPr="009F7BB0">
        <w:rPr>
          <w:b/>
          <w:szCs w:val="24"/>
        </w:rPr>
        <w:t>finansinę</w:t>
      </w:r>
      <w:r>
        <w:rPr>
          <w:szCs w:val="24"/>
        </w:rPr>
        <w:t xml:space="preserve"> </w:t>
      </w:r>
      <w:r w:rsidR="009E00E5" w:rsidRPr="009F7BB0">
        <w:rPr>
          <w:szCs w:val="24"/>
        </w:rPr>
        <w:t>apskaitą;</w:t>
      </w:r>
      <w:r w:rsidRPr="009F7BB0">
        <w:rPr>
          <w:szCs w:val="24"/>
        </w:rPr>
        <w:t>“.</w:t>
      </w:r>
    </w:p>
    <w:p w:rsidR="00D436B4" w:rsidRDefault="00D436B4" w:rsidP="009E00E5">
      <w:pPr>
        <w:ind w:firstLine="720"/>
        <w:jc w:val="both"/>
        <w:rPr>
          <w:szCs w:val="24"/>
        </w:rPr>
      </w:pPr>
    </w:p>
    <w:p w:rsidR="00F03D77" w:rsidRDefault="00334362" w:rsidP="00F03D77">
      <w:pPr>
        <w:ind w:firstLine="709"/>
        <w:jc w:val="both"/>
        <w:rPr>
          <w:b/>
          <w:szCs w:val="24"/>
        </w:rPr>
      </w:pPr>
      <w:r>
        <w:rPr>
          <w:b/>
          <w:szCs w:val="24"/>
        </w:rPr>
        <w:t>8</w:t>
      </w:r>
      <w:r w:rsidR="0032052D" w:rsidRPr="00F03D77">
        <w:rPr>
          <w:b/>
          <w:szCs w:val="24"/>
        </w:rPr>
        <w:t xml:space="preserve"> </w:t>
      </w:r>
      <w:r w:rsidR="00F03D77" w:rsidRPr="00F03D77">
        <w:rPr>
          <w:b/>
          <w:szCs w:val="24"/>
        </w:rPr>
        <w:t>straipsnis. 74 straipsnio pakeitimas</w:t>
      </w:r>
    </w:p>
    <w:p w:rsidR="00F03D77" w:rsidRDefault="00F03D77" w:rsidP="00F03D77">
      <w:pPr>
        <w:ind w:firstLine="709"/>
        <w:jc w:val="both"/>
        <w:rPr>
          <w:szCs w:val="24"/>
        </w:rPr>
      </w:pPr>
      <w:r>
        <w:rPr>
          <w:szCs w:val="24"/>
        </w:rPr>
        <w:t xml:space="preserve">1. </w:t>
      </w:r>
      <w:r w:rsidRPr="00F03D77">
        <w:rPr>
          <w:szCs w:val="24"/>
        </w:rPr>
        <w:t>Pakeisti 7</w:t>
      </w:r>
      <w:r>
        <w:rPr>
          <w:szCs w:val="24"/>
        </w:rPr>
        <w:t>4</w:t>
      </w:r>
      <w:r w:rsidRPr="00F03D77">
        <w:rPr>
          <w:szCs w:val="24"/>
        </w:rPr>
        <w:t xml:space="preserve"> straipsnio 2 dal</w:t>
      </w:r>
      <w:r>
        <w:rPr>
          <w:szCs w:val="24"/>
        </w:rPr>
        <w:t>ies 1 punktą</w:t>
      </w:r>
      <w:r w:rsidRPr="00F03D77">
        <w:rPr>
          <w:szCs w:val="24"/>
        </w:rPr>
        <w:t xml:space="preserve"> ir j</w:t>
      </w:r>
      <w:r>
        <w:rPr>
          <w:szCs w:val="24"/>
        </w:rPr>
        <w:t>į</w:t>
      </w:r>
      <w:r w:rsidRPr="00F03D77">
        <w:rPr>
          <w:szCs w:val="24"/>
        </w:rPr>
        <w:t xml:space="preserve"> išdėstyti taip:</w:t>
      </w:r>
    </w:p>
    <w:p w:rsidR="00F03D77" w:rsidRDefault="00F03D77" w:rsidP="00F03D77">
      <w:pPr>
        <w:ind w:firstLine="709"/>
        <w:jc w:val="both"/>
        <w:rPr>
          <w:szCs w:val="24"/>
        </w:rPr>
      </w:pPr>
      <w:r>
        <w:rPr>
          <w:szCs w:val="24"/>
        </w:rPr>
        <w:t>„</w:t>
      </w:r>
      <w:r w:rsidRPr="00F03D77">
        <w:rPr>
          <w:szCs w:val="24"/>
        </w:rPr>
        <w:t xml:space="preserve">1) sudaryti likvidavimo laikotarpio pradžios </w:t>
      </w:r>
      <w:r w:rsidRPr="00F03D77">
        <w:rPr>
          <w:strike/>
          <w:szCs w:val="24"/>
        </w:rPr>
        <w:t>balansą</w:t>
      </w:r>
      <w:r>
        <w:rPr>
          <w:strike/>
          <w:szCs w:val="24"/>
        </w:rPr>
        <w:t xml:space="preserve"> </w:t>
      </w:r>
      <w:r w:rsidRPr="00F03D77">
        <w:rPr>
          <w:b/>
          <w:szCs w:val="24"/>
        </w:rPr>
        <w:t>finansinių ataskaitų rinkinį</w:t>
      </w:r>
      <w:r w:rsidRPr="00F03D77">
        <w:rPr>
          <w:szCs w:val="24"/>
        </w:rPr>
        <w:t>;“</w:t>
      </w:r>
      <w:r w:rsidR="00EE7C6E">
        <w:rPr>
          <w:szCs w:val="24"/>
        </w:rPr>
        <w:t>.</w:t>
      </w:r>
    </w:p>
    <w:p w:rsidR="00F03D77" w:rsidRDefault="00F03D77" w:rsidP="00F03D77">
      <w:pPr>
        <w:ind w:firstLine="709"/>
        <w:jc w:val="both"/>
        <w:rPr>
          <w:szCs w:val="24"/>
        </w:rPr>
      </w:pPr>
      <w:r>
        <w:rPr>
          <w:szCs w:val="24"/>
        </w:rPr>
        <w:t xml:space="preserve">2. </w:t>
      </w:r>
      <w:r w:rsidRPr="00F03D77">
        <w:rPr>
          <w:szCs w:val="24"/>
        </w:rPr>
        <w:t>Pakeisti 7</w:t>
      </w:r>
      <w:r>
        <w:rPr>
          <w:szCs w:val="24"/>
        </w:rPr>
        <w:t>4</w:t>
      </w:r>
      <w:r w:rsidRPr="00F03D77">
        <w:rPr>
          <w:szCs w:val="24"/>
        </w:rPr>
        <w:t xml:space="preserve"> straipsnio </w:t>
      </w:r>
      <w:r>
        <w:rPr>
          <w:szCs w:val="24"/>
        </w:rPr>
        <w:t>3</w:t>
      </w:r>
      <w:r w:rsidRPr="00F03D77">
        <w:rPr>
          <w:szCs w:val="24"/>
        </w:rPr>
        <w:t xml:space="preserve"> dalį ir ją išdėstyti taip:</w:t>
      </w:r>
    </w:p>
    <w:p w:rsidR="00FB0907" w:rsidRPr="00FB0907" w:rsidRDefault="00F03D77" w:rsidP="00FB0907">
      <w:pPr>
        <w:ind w:right="92" w:firstLine="720"/>
        <w:jc w:val="both"/>
        <w:rPr>
          <w:szCs w:val="24"/>
        </w:rPr>
      </w:pPr>
      <w:r>
        <w:rPr>
          <w:szCs w:val="24"/>
        </w:rPr>
        <w:t>„</w:t>
      </w:r>
      <w:r w:rsidRPr="00FB0907">
        <w:rPr>
          <w:szCs w:val="24"/>
        </w:rPr>
        <w:t xml:space="preserve">3. </w:t>
      </w:r>
      <w:r w:rsidR="00FB0907" w:rsidRPr="00FB0907">
        <w:rPr>
          <w:szCs w:val="24"/>
        </w:rPr>
        <w:t>Jei bendrovės likvidavimas trunka ilgiau negu metus, po kiekvienų finansinių metų pabaigos ne vėliau kaip per 3 mėnesius likvidatorius sudaro metinių finansinių ataskaitų</w:t>
      </w:r>
      <w:r w:rsidR="00FB0907" w:rsidRPr="00FB0907">
        <w:rPr>
          <w:b/>
          <w:szCs w:val="24"/>
        </w:rPr>
        <w:t xml:space="preserve"> </w:t>
      </w:r>
      <w:r w:rsidR="00FB0907" w:rsidRPr="00FB0907">
        <w:rPr>
          <w:szCs w:val="24"/>
        </w:rPr>
        <w:t>rinkinį ir likvidavimo ataskaitą. Metinių finansinių ataskaitų rinkinį</w:t>
      </w:r>
      <w:r w:rsidR="00EC2F06" w:rsidRPr="00EC2F06">
        <w:rPr>
          <w:b/>
          <w:szCs w:val="24"/>
        </w:rPr>
        <w:t xml:space="preserve">, </w:t>
      </w:r>
      <w:r w:rsidR="00EC2F06" w:rsidRPr="00EC2F06">
        <w:rPr>
          <w:b/>
          <w:bCs/>
          <w:szCs w:val="24"/>
        </w:rPr>
        <w:t>išskyrus</w:t>
      </w:r>
      <w:r w:rsidR="009D0F95">
        <w:rPr>
          <w:b/>
          <w:bCs/>
          <w:szCs w:val="24"/>
        </w:rPr>
        <w:t>,</w:t>
      </w:r>
      <w:r w:rsidR="00EC2F06" w:rsidRPr="00EC2F06">
        <w:rPr>
          <w:b/>
          <w:bCs/>
          <w:szCs w:val="24"/>
        </w:rPr>
        <w:t xml:space="preserve"> kai bendrovė likviduojama Civilinio kodekso 2.106 straipsnio 2, 3, 4 ir 7 punktų nustatytais atvejais</w:t>
      </w:r>
      <w:r w:rsidR="00EC2F06" w:rsidRPr="00EC2F06">
        <w:rPr>
          <w:b/>
          <w:szCs w:val="24"/>
        </w:rPr>
        <w:t>,</w:t>
      </w:r>
      <w:r w:rsidR="00FB0907" w:rsidRPr="00EC2F06">
        <w:rPr>
          <w:szCs w:val="24"/>
        </w:rPr>
        <w:t xml:space="preserve"> </w:t>
      </w:r>
      <w:r w:rsidR="00FB0907" w:rsidRPr="00FB0907">
        <w:rPr>
          <w:szCs w:val="24"/>
        </w:rPr>
        <w:t>ir likvidavimo ataskaitą tvirtina visuotinis akcininkų susirinkimas. Su šiais dokumentais turi teisę susipažinti visi akcininkai ir kreditoriai.</w:t>
      </w:r>
      <w:r w:rsidR="00FB0907">
        <w:rPr>
          <w:szCs w:val="24"/>
        </w:rPr>
        <w:t>“</w:t>
      </w:r>
    </w:p>
    <w:p w:rsidR="00F03D77" w:rsidRDefault="00F03D77" w:rsidP="009E00E5">
      <w:pPr>
        <w:ind w:firstLine="720"/>
        <w:jc w:val="both"/>
        <w:rPr>
          <w:szCs w:val="24"/>
        </w:rPr>
      </w:pPr>
    </w:p>
    <w:p w:rsidR="00D436B4" w:rsidRDefault="00334362" w:rsidP="00D436B4">
      <w:pPr>
        <w:ind w:firstLine="709"/>
        <w:jc w:val="both"/>
        <w:rPr>
          <w:b/>
        </w:rPr>
      </w:pPr>
      <w:r>
        <w:rPr>
          <w:b/>
        </w:rPr>
        <w:t>9</w:t>
      </w:r>
      <w:r w:rsidR="0032052D" w:rsidRPr="009F7BB0">
        <w:rPr>
          <w:b/>
        </w:rPr>
        <w:t xml:space="preserve"> </w:t>
      </w:r>
      <w:r w:rsidR="00D436B4" w:rsidRPr="009F7BB0">
        <w:rPr>
          <w:b/>
        </w:rPr>
        <w:t xml:space="preserve">straipsnis. </w:t>
      </w:r>
      <w:r w:rsidR="00D436B4">
        <w:rPr>
          <w:b/>
        </w:rPr>
        <w:t>76</w:t>
      </w:r>
      <w:r w:rsidR="00D436B4" w:rsidRPr="009F7BB0">
        <w:rPr>
          <w:b/>
        </w:rPr>
        <w:t xml:space="preserve"> straipsnio pakeitimas</w:t>
      </w:r>
    </w:p>
    <w:p w:rsidR="00D436B4" w:rsidRDefault="00D436B4" w:rsidP="00D436B4">
      <w:pPr>
        <w:ind w:firstLine="720"/>
        <w:jc w:val="both"/>
      </w:pPr>
      <w:r>
        <w:t>Pakeisti 76 straipsnio 2 dalį ir ją išdėstyti taip:</w:t>
      </w:r>
    </w:p>
    <w:p w:rsidR="00D436B4" w:rsidRPr="00D436B4" w:rsidRDefault="00D436B4" w:rsidP="00D436B4">
      <w:pPr>
        <w:ind w:right="92" w:firstLine="720"/>
        <w:jc w:val="both"/>
        <w:rPr>
          <w:szCs w:val="24"/>
        </w:rPr>
      </w:pPr>
      <w:r>
        <w:rPr>
          <w:szCs w:val="24"/>
        </w:rPr>
        <w:t>„</w:t>
      </w:r>
      <w:r w:rsidRPr="00D436B4">
        <w:rPr>
          <w:szCs w:val="24"/>
        </w:rPr>
        <w:t xml:space="preserve">2. Jeigu šio Įstatymo 75 straipsnio 1 dalies 3 punkte nurodytų užsienio bendrovių metinių finansinių ataskaitų rinkinys sudaromas vadovaujantis kitokiais, negu Europos Sąjungoje taikomi, reikalavimais, turi būti sudarytas ir vietoj šio straipsnio 1 dalies 3 punkte nurodyto užsienio bendrovės metinių finansinių ataskaitų rinkinio juridinių asmenų registrui pateiktas užsienio bendrovės filialo metinių finansinių ataskaitų rinkinys. Užsienio bendrovės filialo metinių finansinių ataskaitų rinkinys sudaromas </w:t>
      </w:r>
      <w:r w:rsidRPr="00D436B4">
        <w:rPr>
          <w:strike/>
          <w:szCs w:val="24"/>
        </w:rPr>
        <w:t xml:space="preserve">buhalterinę </w:t>
      </w:r>
      <w:r w:rsidRPr="00D436B4">
        <w:rPr>
          <w:b/>
          <w:szCs w:val="24"/>
        </w:rPr>
        <w:t>finansinę</w:t>
      </w:r>
      <w:r>
        <w:rPr>
          <w:szCs w:val="24"/>
        </w:rPr>
        <w:t xml:space="preserve"> </w:t>
      </w:r>
      <w:r w:rsidRPr="00D436B4">
        <w:rPr>
          <w:szCs w:val="24"/>
        </w:rPr>
        <w:t>apskaitą ir finansinę atskaitomybę reglamentuojančių Lietuvos Respublikos teisės aktų nustatyta tvarka.</w:t>
      </w:r>
      <w:r>
        <w:rPr>
          <w:szCs w:val="24"/>
        </w:rPr>
        <w:t>“</w:t>
      </w:r>
    </w:p>
    <w:p w:rsidR="009E00E5" w:rsidRDefault="009E00E5" w:rsidP="00633174">
      <w:pPr>
        <w:ind w:firstLine="720"/>
        <w:jc w:val="both"/>
        <w:rPr>
          <w:szCs w:val="24"/>
        </w:rPr>
      </w:pPr>
    </w:p>
    <w:p w:rsidR="006A2EA8" w:rsidRDefault="00334362" w:rsidP="00633174">
      <w:pPr>
        <w:ind w:firstLine="720"/>
        <w:jc w:val="both"/>
        <w:rPr>
          <w:b/>
          <w:szCs w:val="24"/>
        </w:rPr>
      </w:pPr>
      <w:r>
        <w:rPr>
          <w:b/>
          <w:szCs w:val="24"/>
        </w:rPr>
        <w:t>10</w:t>
      </w:r>
      <w:r w:rsidR="0032052D" w:rsidRPr="00E33CF4">
        <w:rPr>
          <w:b/>
          <w:szCs w:val="24"/>
        </w:rPr>
        <w:t xml:space="preserve"> </w:t>
      </w:r>
      <w:r w:rsidR="006A2EA8" w:rsidRPr="00E33CF4">
        <w:rPr>
          <w:b/>
          <w:szCs w:val="24"/>
        </w:rPr>
        <w:t xml:space="preserve">straipsnis. </w:t>
      </w:r>
      <w:r w:rsidR="00E33CF4">
        <w:rPr>
          <w:b/>
          <w:szCs w:val="24"/>
        </w:rPr>
        <w:t>Įstatymo priedo pakeitimas</w:t>
      </w:r>
    </w:p>
    <w:p w:rsidR="00E33CF4" w:rsidRPr="00E33CF4" w:rsidRDefault="00E33CF4" w:rsidP="00633174">
      <w:pPr>
        <w:ind w:firstLine="720"/>
        <w:jc w:val="both"/>
        <w:rPr>
          <w:b/>
          <w:szCs w:val="24"/>
        </w:rPr>
      </w:pPr>
      <w:r>
        <w:t xml:space="preserve">Pakeisti </w:t>
      </w:r>
      <w:r w:rsidR="005A1526">
        <w:t>Į</w:t>
      </w:r>
      <w:r>
        <w:t>statymo priedą ir jį išdėstyti taip:</w:t>
      </w:r>
    </w:p>
    <w:p w:rsidR="006A2EA8" w:rsidRPr="00E33CF4" w:rsidRDefault="00E33CF4" w:rsidP="006A2EA8">
      <w:pPr>
        <w:ind w:left="5760" w:right="92"/>
        <w:jc w:val="both"/>
        <w:rPr>
          <w:szCs w:val="24"/>
          <w:lang w:val="en-US"/>
        </w:rPr>
      </w:pPr>
      <w:bookmarkStart w:id="3" w:name="part_6f1c866a5cb747a6ade7e2761f8f3d56"/>
      <w:bookmarkStart w:id="4" w:name="part_3d40766de3ca4533b8345ccb524ca328"/>
      <w:bookmarkStart w:id="5" w:name="part_cd3fcef26e104c64985b04d9e3df94e4"/>
      <w:bookmarkStart w:id="6" w:name="part_676d72e3804b4f7ab0900af4dddb4cb5"/>
      <w:bookmarkStart w:id="7" w:name="part_9e95aa152b384a16b08cc907d5bf2566"/>
      <w:bookmarkStart w:id="8" w:name="part_1b019dfa534041bb82dd0dfe29f543b4"/>
      <w:bookmarkStart w:id="9" w:name="part_f66e9fd4d6434d3e937e13ac09b9f1d8"/>
      <w:bookmarkStart w:id="10" w:name="part_8f47f8ee827c4f98b4c336ca1c3820ba"/>
      <w:bookmarkStart w:id="11" w:name="part_389b4bd6634a4538bbfd71a5fe1a3521"/>
      <w:bookmarkEnd w:id="3"/>
      <w:bookmarkEnd w:id="4"/>
      <w:bookmarkEnd w:id="5"/>
      <w:bookmarkEnd w:id="6"/>
      <w:bookmarkEnd w:id="7"/>
      <w:bookmarkEnd w:id="8"/>
      <w:bookmarkEnd w:id="9"/>
      <w:bookmarkEnd w:id="10"/>
      <w:bookmarkEnd w:id="11"/>
      <w:r w:rsidRPr="00E33CF4">
        <w:rPr>
          <w:szCs w:val="24"/>
        </w:rPr>
        <w:t>„</w:t>
      </w:r>
      <w:r w:rsidR="006A2EA8" w:rsidRPr="00E33CF4">
        <w:rPr>
          <w:szCs w:val="24"/>
        </w:rPr>
        <w:t xml:space="preserve">Lietuvos Respublikos </w:t>
      </w:r>
    </w:p>
    <w:p w:rsidR="006A2EA8" w:rsidRPr="00E33CF4" w:rsidRDefault="006A2EA8" w:rsidP="006A2EA8">
      <w:pPr>
        <w:ind w:right="92" w:firstLine="5760"/>
        <w:jc w:val="both"/>
        <w:rPr>
          <w:szCs w:val="24"/>
          <w:lang w:val="en-US"/>
        </w:rPr>
      </w:pPr>
      <w:r w:rsidRPr="00E33CF4">
        <w:rPr>
          <w:szCs w:val="24"/>
        </w:rPr>
        <w:t xml:space="preserve">akcinių bendrovių įstatymo </w:t>
      </w:r>
    </w:p>
    <w:p w:rsidR="006A2EA8" w:rsidRPr="00E33CF4" w:rsidRDefault="006A2EA8" w:rsidP="006A2EA8">
      <w:pPr>
        <w:ind w:right="92" w:firstLine="5760"/>
        <w:jc w:val="both"/>
        <w:rPr>
          <w:szCs w:val="24"/>
          <w:lang w:val="en-US"/>
        </w:rPr>
      </w:pPr>
      <w:r w:rsidRPr="00E33CF4">
        <w:rPr>
          <w:szCs w:val="24"/>
        </w:rPr>
        <w:t>priedas</w:t>
      </w:r>
    </w:p>
    <w:p w:rsidR="006A2EA8" w:rsidRPr="00E33CF4" w:rsidRDefault="006A2EA8" w:rsidP="006A2EA8">
      <w:pPr>
        <w:ind w:right="92" w:firstLine="720"/>
        <w:jc w:val="center"/>
        <w:rPr>
          <w:szCs w:val="24"/>
          <w:lang w:val="en-US"/>
        </w:rPr>
      </w:pPr>
    </w:p>
    <w:p w:rsidR="006A2EA8" w:rsidRPr="00150C8F" w:rsidRDefault="006A2EA8" w:rsidP="006A2EA8">
      <w:pPr>
        <w:ind w:right="92" w:firstLine="720"/>
        <w:jc w:val="center"/>
        <w:rPr>
          <w:szCs w:val="24"/>
          <w:lang w:val="en-US"/>
        </w:rPr>
      </w:pPr>
      <w:r w:rsidRPr="00150C8F">
        <w:rPr>
          <w:bCs/>
          <w:szCs w:val="24"/>
        </w:rPr>
        <w:t>ĮGYVENDINAMI EUROPOS SĄJUNGOS TEISĖS AKTAI</w:t>
      </w:r>
    </w:p>
    <w:p w:rsidR="006A2EA8" w:rsidRPr="00E33CF4" w:rsidRDefault="006A2EA8" w:rsidP="006A2EA8">
      <w:pPr>
        <w:ind w:right="92" w:firstLine="720"/>
        <w:jc w:val="center"/>
        <w:rPr>
          <w:szCs w:val="24"/>
          <w:lang w:val="en-US"/>
        </w:rPr>
      </w:pPr>
    </w:p>
    <w:p w:rsidR="006A2EA8" w:rsidRPr="00D07512" w:rsidRDefault="006A2EA8" w:rsidP="006A2EA8">
      <w:pPr>
        <w:ind w:firstLine="720"/>
        <w:jc w:val="both"/>
        <w:rPr>
          <w:strike/>
          <w:szCs w:val="24"/>
          <w:lang w:val="en-US"/>
        </w:rPr>
      </w:pPr>
      <w:r w:rsidRPr="00D07512">
        <w:rPr>
          <w:strike/>
          <w:szCs w:val="24"/>
        </w:rPr>
        <w:t xml:space="preserve">1. 1982 m. gruodžio 17 d. Šeštoji Tarybos direktyva 82/891/EEB, pagrįsta Sutarties 54 straipsnio 3 dalies g punktu dėl akcinių bendrovių skaidymo (OL </w:t>
      </w:r>
      <w:r w:rsidRPr="00D07512">
        <w:rPr>
          <w:i/>
          <w:iCs/>
          <w:strike/>
          <w:szCs w:val="24"/>
        </w:rPr>
        <w:t xml:space="preserve">2004 m. specialusis </w:t>
      </w:r>
      <w:r w:rsidRPr="00D07512">
        <w:rPr>
          <w:i/>
          <w:iCs/>
          <w:strike/>
          <w:szCs w:val="24"/>
        </w:rPr>
        <w:lastRenderedPageBreak/>
        <w:t>leidimas</w:t>
      </w:r>
      <w:r w:rsidRPr="00D07512">
        <w:rPr>
          <w:strike/>
          <w:szCs w:val="24"/>
        </w:rPr>
        <w:t>, 17 skyrius, 1 tomas, p. 50)</w:t>
      </w:r>
      <w:r w:rsidR="004C1DB4" w:rsidRPr="00A121E7">
        <w:rPr>
          <w:strike/>
          <w:szCs w:val="24"/>
        </w:rPr>
        <w:t>,</w:t>
      </w:r>
      <w:r w:rsidRPr="00D07512">
        <w:rPr>
          <w:strike/>
          <w:szCs w:val="24"/>
        </w:rPr>
        <w:t xml:space="preserve"> su paskutiniais pakeitimais, padarytais 2014 m. gegužės 15 d. Europos Parlamento ir Tarybos direktyva 2014/59/ES (OL 2014 L 173, p. 190).</w:t>
      </w:r>
    </w:p>
    <w:p w:rsidR="006A2EA8" w:rsidRPr="00D07512" w:rsidRDefault="006A2EA8" w:rsidP="006A2EA8">
      <w:pPr>
        <w:ind w:firstLine="720"/>
        <w:jc w:val="both"/>
        <w:rPr>
          <w:strike/>
          <w:szCs w:val="24"/>
          <w:lang w:val="en-US"/>
        </w:rPr>
      </w:pPr>
      <w:r w:rsidRPr="00D07512">
        <w:rPr>
          <w:strike/>
          <w:szCs w:val="24"/>
        </w:rPr>
        <w:t>2. 1989 m. gruodžio 21 d. Vienuoliktoji Tarybos direktyva 89/666/EEB dėl atskleidimo reikalavimų filialams, įsteigtiems valstybėse narėse tam tikrų tipų bendrovių, kurioms taikomi kitos valstybės narės įstatymai (OL 2004 m.</w:t>
      </w:r>
      <w:r w:rsidRPr="00D07512">
        <w:rPr>
          <w:i/>
          <w:iCs/>
          <w:strike/>
          <w:szCs w:val="24"/>
        </w:rPr>
        <w:t xml:space="preserve"> specialusis leidimas</w:t>
      </w:r>
      <w:r w:rsidRPr="00D07512">
        <w:rPr>
          <w:strike/>
          <w:szCs w:val="24"/>
        </w:rPr>
        <w:t>, 17 skyrius, 1 tomas, p. 100).</w:t>
      </w:r>
    </w:p>
    <w:p w:rsidR="006A2EA8" w:rsidRPr="00E33CF4" w:rsidRDefault="006A2EA8" w:rsidP="006A2EA8">
      <w:pPr>
        <w:ind w:firstLine="720"/>
        <w:jc w:val="both"/>
        <w:rPr>
          <w:szCs w:val="24"/>
          <w:lang w:val="en-US"/>
        </w:rPr>
      </w:pPr>
      <w:r w:rsidRPr="00D07512">
        <w:rPr>
          <w:strike/>
          <w:szCs w:val="24"/>
        </w:rPr>
        <w:t>3. 2007 m. lapkričio 13 d. Europos Parlamento ir Tarybos direktyva 2007/63/EB, iš dalies keičianti Tarybos direktyvas 78/855/EEB ir 82/891/EEB dėl reikalavimo, kad jungiant arba skaidant akcines bendroves nepriklausomas ekspertas parengtų ataskaitą (OL 2007 L 300, p. 47).</w:t>
      </w:r>
    </w:p>
    <w:p w:rsidR="006A2EA8" w:rsidRPr="00E33CF4" w:rsidRDefault="006A2EA8" w:rsidP="006A2EA8">
      <w:pPr>
        <w:ind w:firstLine="720"/>
        <w:jc w:val="both"/>
        <w:rPr>
          <w:szCs w:val="24"/>
          <w:lang w:val="en-US"/>
        </w:rPr>
      </w:pPr>
      <w:r w:rsidRPr="009D72C5">
        <w:rPr>
          <w:strike/>
          <w:szCs w:val="24"/>
        </w:rPr>
        <w:t>4</w:t>
      </w:r>
      <w:r w:rsidR="009D72C5">
        <w:rPr>
          <w:strike/>
          <w:szCs w:val="24"/>
        </w:rPr>
        <w:t xml:space="preserve"> </w:t>
      </w:r>
      <w:r w:rsidR="009D72C5" w:rsidRPr="009D72C5">
        <w:rPr>
          <w:b/>
          <w:szCs w:val="24"/>
        </w:rPr>
        <w:t>1</w:t>
      </w:r>
      <w:r w:rsidRPr="00E33CF4">
        <w:rPr>
          <w:szCs w:val="24"/>
        </w:rPr>
        <w:t>. 2007 m. liepos 11 d. Europos Parlamento ir Tarybos direktyva 2007/36/EB dėl naudojimosi tam tikromis akcininkų teisėmis bendrovėse, kurių akcijos įtrauktos į prekybą reguliuojamoje rinkoje</w:t>
      </w:r>
      <w:r w:rsidRPr="00613040">
        <w:rPr>
          <w:strike/>
          <w:szCs w:val="24"/>
        </w:rPr>
        <w:t xml:space="preserve"> (OL 2007 L 184, p. 17)</w:t>
      </w:r>
      <w:r w:rsidRPr="00E33CF4">
        <w:rPr>
          <w:szCs w:val="24"/>
        </w:rPr>
        <w:t>, su paskutiniais pakeitimais, padarytais 2014 m. gegužės 15 d. Europos Parlamento ir Tarybos direktyva 2014/59/ES</w:t>
      </w:r>
      <w:r w:rsidRPr="00613040">
        <w:rPr>
          <w:strike/>
          <w:szCs w:val="24"/>
        </w:rPr>
        <w:t xml:space="preserve"> (OL 2014 L 173, p. 190)</w:t>
      </w:r>
      <w:r w:rsidRPr="00E33CF4">
        <w:rPr>
          <w:szCs w:val="24"/>
        </w:rPr>
        <w:t>.</w:t>
      </w:r>
    </w:p>
    <w:p w:rsidR="006A2EA8" w:rsidRPr="009D72C5" w:rsidRDefault="006A2EA8" w:rsidP="006A2EA8">
      <w:pPr>
        <w:ind w:firstLine="720"/>
        <w:jc w:val="both"/>
        <w:rPr>
          <w:strike/>
          <w:szCs w:val="24"/>
          <w:lang w:val="en-US"/>
        </w:rPr>
      </w:pPr>
      <w:r w:rsidRPr="009D72C5">
        <w:rPr>
          <w:strike/>
          <w:szCs w:val="24"/>
        </w:rPr>
        <w:t>5. 2009 m. rugsėjo 16 d. Europos Parlamento ir Tarybos direktyva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w:t>
      </w:r>
    </w:p>
    <w:p w:rsidR="006A2EA8" w:rsidRPr="00E33CF4" w:rsidRDefault="006A2EA8" w:rsidP="006A2EA8">
      <w:pPr>
        <w:ind w:firstLine="720"/>
        <w:jc w:val="both"/>
        <w:rPr>
          <w:szCs w:val="24"/>
          <w:lang w:val="en-US"/>
        </w:rPr>
      </w:pPr>
      <w:r w:rsidRPr="009D72C5">
        <w:rPr>
          <w:strike/>
          <w:szCs w:val="24"/>
        </w:rPr>
        <w:t>6</w:t>
      </w:r>
      <w:r w:rsidR="009D72C5">
        <w:rPr>
          <w:strike/>
          <w:szCs w:val="24"/>
        </w:rPr>
        <w:t xml:space="preserve"> </w:t>
      </w:r>
      <w:r w:rsidR="009D72C5" w:rsidRPr="009D72C5">
        <w:rPr>
          <w:b/>
          <w:szCs w:val="24"/>
        </w:rPr>
        <w:t>2</w:t>
      </w:r>
      <w:r w:rsidRPr="00E33CF4">
        <w:rPr>
          <w:szCs w:val="24"/>
        </w:rPr>
        <w:t>. 2009 m. rugsėjo 16 d. Europos Parlamento ir Tarybos direktyva 2009/102/EB bendrovių teisės srityje dėl vienanarių privačių ribotos atsakomybės bendrovių</w:t>
      </w:r>
      <w:r w:rsidRPr="007E662D">
        <w:rPr>
          <w:strike/>
          <w:szCs w:val="24"/>
        </w:rPr>
        <w:t xml:space="preserve"> (OL 2009 L 258, p. 20)</w:t>
      </w:r>
      <w:r w:rsidRPr="00E33CF4">
        <w:rPr>
          <w:szCs w:val="24"/>
        </w:rPr>
        <w:t>.</w:t>
      </w:r>
    </w:p>
    <w:p w:rsidR="006A2EA8" w:rsidRPr="009D72C5" w:rsidRDefault="006A2EA8" w:rsidP="006A2EA8">
      <w:pPr>
        <w:ind w:firstLine="720"/>
        <w:jc w:val="both"/>
        <w:rPr>
          <w:strike/>
          <w:szCs w:val="24"/>
          <w:lang w:val="en-US"/>
        </w:rPr>
      </w:pPr>
      <w:r w:rsidRPr="009D72C5">
        <w:rPr>
          <w:strike/>
          <w:szCs w:val="24"/>
        </w:rPr>
        <w:t>7. 2009 m. rugsėjo 16 d. Europos Parlamento ir Tarybos direktyva 2009/109/EB, iš dalies keičianti Tarybos direktyvų 77/91/EEB, 78/855/EEB ir 82/891/EEB bei Direktyvos 2005/56/EB nuostatas dėl ataskaitų bei dokumentų rengimo ir teikimo reikalavimų jungiant ir skaidant bendroves (OL 2009 L 259, p. 14).</w:t>
      </w:r>
    </w:p>
    <w:p w:rsidR="006A2EA8" w:rsidRPr="009D72C5" w:rsidRDefault="006A2EA8" w:rsidP="006A2EA8">
      <w:pPr>
        <w:ind w:firstLine="720"/>
        <w:jc w:val="both"/>
        <w:rPr>
          <w:strike/>
          <w:szCs w:val="24"/>
          <w:lang w:val="en-US"/>
        </w:rPr>
      </w:pPr>
      <w:r w:rsidRPr="009D72C5">
        <w:rPr>
          <w:strike/>
          <w:szCs w:val="24"/>
        </w:rPr>
        <w:t>8. 2011 m. balandžio 5 d. Europos Parlamento ir Tarybos direktyva 2011/35/ES dėl akcinių bendrovių jungimo (OL 2011 L 110, p. 1) su paskutiniais pakeitimais, padarytais 2014 m. gegužės 15 d. Europos Parlamento ir Tarybos direktyva 2014/59/ES (OL 2014 L 173, p. 190).</w:t>
      </w:r>
    </w:p>
    <w:p w:rsidR="006A2EA8" w:rsidRPr="009D72C5" w:rsidRDefault="006A2EA8" w:rsidP="006A2EA8">
      <w:pPr>
        <w:ind w:firstLine="720"/>
        <w:jc w:val="both"/>
        <w:rPr>
          <w:strike/>
          <w:szCs w:val="24"/>
          <w:lang w:val="en-US"/>
        </w:rPr>
      </w:pPr>
      <w:r w:rsidRPr="009D72C5">
        <w:rPr>
          <w:strike/>
          <w:szCs w:val="24"/>
        </w:rPr>
        <w:t>9. 2012 m. spalio 25 d. Europos Parlamento ir Tarybos direktyva 2012/30/ES dėl apsaugos priemonių, kurių valstybės narės, siekdamos tokias priemones suvienodinti, reikalauja iš Sutarties dėl Europos Sąjungos veikimo 54 straipsnio antroje pastraipoje apibrėžtų bendrovių, jų narių ir kitų interesų apsaugai, akcines bendroves steigiant, palaikant ir keičiant jų kapitalą, koordinavimo (OL 2012 L 315, p. 74), su paskutiniais pakeitimais, padarytais 2014 m. gegužės 15 d. Europos Parlamento ir Tarybos direktyva 2014/59/ES (OL 2014 L 173, p. 190).</w:t>
      </w:r>
    </w:p>
    <w:p w:rsidR="006A2EA8" w:rsidRDefault="006A2EA8" w:rsidP="006A2EA8">
      <w:pPr>
        <w:ind w:right="92" w:firstLine="720"/>
        <w:jc w:val="both"/>
        <w:rPr>
          <w:strike/>
          <w:szCs w:val="24"/>
        </w:rPr>
      </w:pPr>
      <w:bookmarkStart w:id="12" w:name="part_bd4d7ec32d2d461b8263f6f9389cac81"/>
      <w:bookmarkEnd w:id="12"/>
      <w:r w:rsidRPr="009D72C5">
        <w:rPr>
          <w:strike/>
          <w:szCs w:val="24"/>
        </w:rPr>
        <w:t>10. 2012 m. birželio 13 d. Europos Parlamento ir Tarybos direktyva 2012/17/ES, kuria iš dalies keičiamos Tarybos direktyvos 89/666/EEB ir Europos Parlamento ir Tarybos direktyvų 2005/56/EB ir 2009/101/EB nuostatos dėl centrinių, komercinių ir bendrovių registrų sąveikos (OL 2012 L 156, p. 1).</w:t>
      </w:r>
    </w:p>
    <w:p w:rsidR="005D638F" w:rsidRDefault="005D638F" w:rsidP="005D638F">
      <w:pPr>
        <w:ind w:firstLine="720"/>
        <w:jc w:val="both"/>
        <w:rPr>
          <w:b/>
          <w:color w:val="000000"/>
        </w:rPr>
      </w:pPr>
      <w:r>
        <w:rPr>
          <w:b/>
          <w:szCs w:val="24"/>
        </w:rPr>
        <w:t xml:space="preserve">3. </w:t>
      </w:r>
      <w:r w:rsidRPr="00092942">
        <w:rPr>
          <w:b/>
          <w:color w:val="000000"/>
        </w:rPr>
        <w:t xml:space="preserve">2013 m. birželio 26 d. </w:t>
      </w:r>
      <w:r w:rsidRPr="00092942">
        <w:rPr>
          <w:b/>
        </w:rPr>
        <w:t xml:space="preserve">Europos Parlamento ir Tarybos direktyva </w:t>
      </w:r>
      <w:r w:rsidRPr="00092942">
        <w:rPr>
          <w:b/>
          <w:color w:val="000000"/>
        </w:rPr>
        <w:t>2013/34/ES</w:t>
      </w:r>
      <w:r w:rsidRPr="00092942">
        <w:rPr>
          <w:b/>
        </w:rPr>
        <w:t xml:space="preserve"> </w:t>
      </w:r>
      <w:r w:rsidRPr="00092942">
        <w:rPr>
          <w:b/>
          <w:color w:val="000000"/>
        </w:rPr>
        <w:t>dėl tam tikrų rūšių įmonių metinių finansinių ataskaitų, konsoliduotųjų finansinių ataskaitų ir susijusių pranešimų, kuria iš dalies keičiama Europos Parlamento ir Tarybos direktyva 2006/43/EB ir panaikinamos Tarybos direktyvos 78/660/EEB ir 83/349/EEB</w:t>
      </w:r>
      <w:r w:rsidR="005D1A70">
        <w:rPr>
          <w:b/>
          <w:color w:val="000000"/>
        </w:rPr>
        <w:t>, su paskutiniais pakeitimais, padarytais 2014 m. spalio 22 d. Europos Parlamento ir Tarybos direktyva 2014/95/ES</w:t>
      </w:r>
      <w:r w:rsidRPr="00092942">
        <w:rPr>
          <w:b/>
          <w:color w:val="000000"/>
        </w:rPr>
        <w:t>.</w:t>
      </w:r>
    </w:p>
    <w:p w:rsidR="00092942" w:rsidRDefault="006A2EA8" w:rsidP="006A2EA8">
      <w:pPr>
        <w:ind w:firstLine="720"/>
        <w:jc w:val="both"/>
        <w:rPr>
          <w:szCs w:val="24"/>
        </w:rPr>
      </w:pPr>
      <w:bookmarkStart w:id="13" w:name="part_1da36fa6101841a8897c17203aa8ac9b"/>
      <w:bookmarkEnd w:id="13"/>
      <w:r w:rsidRPr="009D72C5">
        <w:rPr>
          <w:strike/>
          <w:szCs w:val="24"/>
        </w:rPr>
        <w:t>11</w:t>
      </w:r>
      <w:r w:rsidR="009D72C5" w:rsidRPr="005D638F">
        <w:rPr>
          <w:strike/>
          <w:szCs w:val="24"/>
        </w:rPr>
        <w:t xml:space="preserve"> </w:t>
      </w:r>
      <w:r w:rsidR="005D638F" w:rsidRPr="005D638F">
        <w:rPr>
          <w:b/>
          <w:szCs w:val="24"/>
        </w:rPr>
        <w:t>4</w:t>
      </w:r>
      <w:r w:rsidRPr="00E33CF4">
        <w:rPr>
          <w:szCs w:val="24"/>
        </w:rPr>
        <w:t>. 2017 m. gegužės 17 d. Europos Parlamento ir Tarybos direktyva (ES) 2017/828, kuria iš dalies keičiamos Direktyvos 2007/36/EB nuostatos, susijusios su akcininkų ilgalaikio dalyvavimo skatinimu</w:t>
      </w:r>
      <w:r w:rsidRPr="00092942">
        <w:rPr>
          <w:strike/>
          <w:szCs w:val="24"/>
        </w:rPr>
        <w:t xml:space="preserve"> (OL 2017 L 132, p. 1)</w:t>
      </w:r>
      <w:r w:rsidRPr="00E33CF4">
        <w:rPr>
          <w:szCs w:val="24"/>
        </w:rPr>
        <w:t>.</w:t>
      </w:r>
    </w:p>
    <w:p w:rsidR="006A2EA8" w:rsidRPr="00E33CF4" w:rsidRDefault="009D72C5" w:rsidP="006A2EA8">
      <w:pPr>
        <w:ind w:firstLine="720"/>
        <w:jc w:val="both"/>
        <w:rPr>
          <w:szCs w:val="24"/>
          <w:lang w:val="en-US"/>
        </w:rPr>
      </w:pPr>
      <w:r>
        <w:rPr>
          <w:b/>
          <w:color w:val="000000"/>
        </w:rPr>
        <w:t xml:space="preserve">5. </w:t>
      </w:r>
      <w:r w:rsidRPr="009D72C5">
        <w:rPr>
          <w:b/>
          <w:szCs w:val="24"/>
        </w:rPr>
        <w:t xml:space="preserve">2017 m. </w:t>
      </w:r>
      <w:r>
        <w:rPr>
          <w:b/>
          <w:szCs w:val="24"/>
        </w:rPr>
        <w:t xml:space="preserve">birželio 14 d. </w:t>
      </w:r>
      <w:r w:rsidRPr="00092942">
        <w:rPr>
          <w:b/>
        </w:rPr>
        <w:t>Europos Parlamento ir Tarybos direktyva</w:t>
      </w:r>
      <w:r>
        <w:rPr>
          <w:b/>
        </w:rPr>
        <w:t xml:space="preserve"> (ES) 2017/1132 dėl tam tikrų bendrovių teisės aspektų.</w:t>
      </w:r>
      <w:r w:rsidR="00F90DF7">
        <w:rPr>
          <w:szCs w:val="24"/>
        </w:rPr>
        <w:t>“</w:t>
      </w:r>
    </w:p>
    <w:p w:rsidR="0091144E" w:rsidRPr="006E0B4A" w:rsidRDefault="0091144E" w:rsidP="0091144E">
      <w:pPr>
        <w:ind w:firstLine="720"/>
        <w:jc w:val="both"/>
      </w:pPr>
      <w:bookmarkStart w:id="14" w:name="part_9c349702a2664f119f5151afe893e838"/>
      <w:bookmarkEnd w:id="14"/>
    </w:p>
    <w:p w:rsidR="0091144E" w:rsidRDefault="00777D41" w:rsidP="0091144E">
      <w:pPr>
        <w:ind w:firstLine="720"/>
        <w:jc w:val="both"/>
        <w:rPr>
          <w:b/>
        </w:rPr>
      </w:pPr>
      <w:r>
        <w:rPr>
          <w:b/>
        </w:rPr>
        <w:t>11</w:t>
      </w:r>
      <w:r w:rsidR="0091144E">
        <w:rPr>
          <w:b/>
        </w:rPr>
        <w:t xml:space="preserve"> straipsnis. Įstatymo įsigaliojimas</w:t>
      </w:r>
    </w:p>
    <w:p w:rsidR="002E2FDD" w:rsidRDefault="0091144E" w:rsidP="0091144E">
      <w:pPr>
        <w:ind w:firstLine="720"/>
        <w:jc w:val="both"/>
      </w:pPr>
      <w:r w:rsidRPr="00026F74">
        <w:t>Š</w:t>
      </w:r>
      <w:r>
        <w:t xml:space="preserve">is įstatymas įsigalioja </w:t>
      </w:r>
      <w:r w:rsidR="00DC6BD7">
        <w:t>202</w:t>
      </w:r>
      <w:r w:rsidR="00F90A5A">
        <w:t>2</w:t>
      </w:r>
      <w:r w:rsidR="00DC6BD7">
        <w:t xml:space="preserve"> m. </w:t>
      </w:r>
      <w:r w:rsidR="00937074">
        <w:t>gegužės</w:t>
      </w:r>
      <w:r w:rsidR="00DC6BD7">
        <w:t xml:space="preserve"> 1 d.</w:t>
      </w:r>
    </w:p>
    <w:p w:rsidR="00DC6BD7" w:rsidRPr="00026F74" w:rsidRDefault="00DC6BD7" w:rsidP="0091144E">
      <w:pPr>
        <w:ind w:firstLine="720"/>
        <w:jc w:val="both"/>
      </w:pPr>
    </w:p>
    <w:p w:rsidR="0091144E" w:rsidRPr="006E0B4A" w:rsidRDefault="0091144E" w:rsidP="0091144E">
      <w:pPr>
        <w:pStyle w:val="Pagrindiniotekstotrauka2"/>
        <w:ind w:firstLine="720"/>
        <w:rPr>
          <w:szCs w:val="24"/>
        </w:rPr>
      </w:pPr>
    </w:p>
    <w:p w:rsidR="0091144E" w:rsidRPr="00405C9E" w:rsidRDefault="0091144E" w:rsidP="007F33FF">
      <w:pPr>
        <w:ind w:firstLine="709"/>
        <w:jc w:val="both"/>
      </w:pPr>
      <w:r w:rsidRPr="00405C9E">
        <w:rPr>
          <w:i/>
        </w:rPr>
        <w:t>Skelbiu šį Lietuvos Respublikos Seimo priimtą įstatymą.</w:t>
      </w:r>
    </w:p>
    <w:p w:rsidR="002E2FDD" w:rsidRPr="0091144E" w:rsidRDefault="0091144E" w:rsidP="0091144E">
      <w:pPr>
        <w:shd w:val="clear" w:color="auto" w:fill="FFFFFF"/>
        <w:tabs>
          <w:tab w:val="left" w:pos="0"/>
        </w:tabs>
        <w:spacing w:before="562"/>
      </w:pPr>
      <w:r>
        <w:rPr>
          <w:color w:val="000000"/>
          <w:spacing w:val="-2"/>
        </w:rPr>
        <w:t>Respublikos Prezidentas</w:t>
      </w:r>
    </w:p>
    <w:sectPr w:rsidR="002E2FDD" w:rsidRPr="0091144E" w:rsidSect="0054083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2A" w:rsidRDefault="0085372A">
      <w:r>
        <w:separator/>
      </w:r>
    </w:p>
  </w:endnote>
  <w:endnote w:type="continuationSeparator" w:id="0">
    <w:p w:rsidR="0085372A" w:rsidRDefault="0085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1D4E0F" w:rsidRDefault="001D4E0F">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2A" w:rsidRDefault="0085372A">
      <w:r>
        <w:separator/>
      </w:r>
    </w:p>
  </w:footnote>
  <w:footnote w:type="continuationSeparator" w:id="0">
    <w:p w:rsidR="0085372A" w:rsidRDefault="00853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1D4E0F" w:rsidRDefault="001D4E0F">
        <w:pPr>
          <w:pStyle w:val="Antrats"/>
          <w:jc w:val="center"/>
        </w:pPr>
        <w:r>
          <w:fldChar w:fldCharType="begin"/>
        </w:r>
        <w:r>
          <w:instrText>PAGE   \* MERGEFORMAT</w:instrText>
        </w:r>
        <w:r>
          <w:fldChar w:fldCharType="separate"/>
        </w:r>
        <w:r w:rsidR="006019F5">
          <w:rPr>
            <w:noProof/>
          </w:rPr>
          <w:t>2</w:t>
        </w:r>
        <w:r>
          <w:fldChar w:fldCharType="end"/>
        </w:r>
      </w:p>
    </w:sdtContent>
  </w:sdt>
  <w:p w:rsidR="001D4E0F" w:rsidRDefault="001D4E0F">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0F" w:rsidRDefault="001D4E0F">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EA9"/>
    <w:multiLevelType w:val="hybridMultilevel"/>
    <w:tmpl w:val="76BC9D70"/>
    <w:lvl w:ilvl="0" w:tplc="C7EADF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7E6621"/>
    <w:multiLevelType w:val="hybridMultilevel"/>
    <w:tmpl w:val="6E60DFD8"/>
    <w:lvl w:ilvl="0" w:tplc="290659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7">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164C10"/>
    <w:multiLevelType w:val="hybridMultilevel"/>
    <w:tmpl w:val="8CD40AE8"/>
    <w:lvl w:ilvl="0" w:tplc="104E05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22C186D"/>
    <w:multiLevelType w:val="hybridMultilevel"/>
    <w:tmpl w:val="45124D2A"/>
    <w:lvl w:ilvl="0" w:tplc="B86E0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3">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CEE547A"/>
    <w:multiLevelType w:val="hybridMultilevel"/>
    <w:tmpl w:val="9D787C92"/>
    <w:lvl w:ilvl="0" w:tplc="22FEB976">
      <w:start w:val="1"/>
      <w:numFmt w:val="decimal"/>
      <w:lvlText w:val="%1."/>
      <w:lvlJc w:val="left"/>
      <w:pPr>
        <w:ind w:left="4472"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8"/>
  </w:num>
  <w:num w:numId="3">
    <w:abstractNumId w:val="16"/>
  </w:num>
  <w:num w:numId="4">
    <w:abstractNumId w:val="1"/>
  </w:num>
  <w:num w:numId="5">
    <w:abstractNumId w:val="6"/>
  </w:num>
  <w:num w:numId="6">
    <w:abstractNumId w:val="7"/>
  </w:num>
  <w:num w:numId="7">
    <w:abstractNumId w:val="11"/>
  </w:num>
  <w:num w:numId="8">
    <w:abstractNumId w:val="26"/>
  </w:num>
  <w:num w:numId="9">
    <w:abstractNumId w:val="8"/>
  </w:num>
  <w:num w:numId="10">
    <w:abstractNumId w:val="18"/>
  </w:num>
  <w:num w:numId="11">
    <w:abstractNumId w:val="23"/>
  </w:num>
  <w:num w:numId="12">
    <w:abstractNumId w:val="17"/>
  </w:num>
  <w:num w:numId="13">
    <w:abstractNumId w:val="25"/>
  </w:num>
  <w:num w:numId="14">
    <w:abstractNumId w:val="15"/>
  </w:num>
  <w:num w:numId="15">
    <w:abstractNumId w:val="27"/>
  </w:num>
  <w:num w:numId="16">
    <w:abstractNumId w:val="5"/>
  </w:num>
  <w:num w:numId="17">
    <w:abstractNumId w:val="20"/>
  </w:num>
  <w:num w:numId="18">
    <w:abstractNumId w:val="3"/>
  </w:num>
  <w:num w:numId="19">
    <w:abstractNumId w:val="12"/>
  </w:num>
  <w:num w:numId="20">
    <w:abstractNumId w:val="14"/>
  </w:num>
  <w:num w:numId="21">
    <w:abstractNumId w:val="22"/>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num>
  <w:num w:numId="27">
    <w:abstractNumId w:val="24"/>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75D9"/>
    <w:rsid w:val="00011728"/>
    <w:rsid w:val="00011B3C"/>
    <w:rsid w:val="00011C4C"/>
    <w:rsid w:val="000151C6"/>
    <w:rsid w:val="000205C5"/>
    <w:rsid w:val="00023E80"/>
    <w:rsid w:val="00024C36"/>
    <w:rsid w:val="0002792F"/>
    <w:rsid w:val="00054F4F"/>
    <w:rsid w:val="000551EC"/>
    <w:rsid w:val="00062D4B"/>
    <w:rsid w:val="00062F62"/>
    <w:rsid w:val="0007176D"/>
    <w:rsid w:val="00071C35"/>
    <w:rsid w:val="000776B5"/>
    <w:rsid w:val="0008404E"/>
    <w:rsid w:val="00092942"/>
    <w:rsid w:val="000935C6"/>
    <w:rsid w:val="00096BF7"/>
    <w:rsid w:val="000A3698"/>
    <w:rsid w:val="000A425C"/>
    <w:rsid w:val="000A687A"/>
    <w:rsid w:val="000B554D"/>
    <w:rsid w:val="000B5CA6"/>
    <w:rsid w:val="000B7001"/>
    <w:rsid w:val="000B73C4"/>
    <w:rsid w:val="000C017C"/>
    <w:rsid w:val="000C08EA"/>
    <w:rsid w:val="000C4FA8"/>
    <w:rsid w:val="000C6B2A"/>
    <w:rsid w:val="000D008C"/>
    <w:rsid w:val="000D1327"/>
    <w:rsid w:val="000D24E7"/>
    <w:rsid w:val="000D3636"/>
    <w:rsid w:val="000D4359"/>
    <w:rsid w:val="000D739D"/>
    <w:rsid w:val="000E7353"/>
    <w:rsid w:val="000F6ECE"/>
    <w:rsid w:val="001129A9"/>
    <w:rsid w:val="00114601"/>
    <w:rsid w:val="0012020A"/>
    <w:rsid w:val="001231FB"/>
    <w:rsid w:val="001240B7"/>
    <w:rsid w:val="00127D55"/>
    <w:rsid w:val="001302E7"/>
    <w:rsid w:val="00130734"/>
    <w:rsid w:val="00131D4C"/>
    <w:rsid w:val="00131FA9"/>
    <w:rsid w:val="0013305B"/>
    <w:rsid w:val="0013777D"/>
    <w:rsid w:val="001410C5"/>
    <w:rsid w:val="00143BB4"/>
    <w:rsid w:val="00144461"/>
    <w:rsid w:val="00147D8A"/>
    <w:rsid w:val="00147E92"/>
    <w:rsid w:val="00150C8F"/>
    <w:rsid w:val="00151567"/>
    <w:rsid w:val="00154968"/>
    <w:rsid w:val="00155C76"/>
    <w:rsid w:val="00161417"/>
    <w:rsid w:val="001627AA"/>
    <w:rsid w:val="00163882"/>
    <w:rsid w:val="00163C05"/>
    <w:rsid w:val="00170E61"/>
    <w:rsid w:val="00172290"/>
    <w:rsid w:val="00175398"/>
    <w:rsid w:val="00180BBE"/>
    <w:rsid w:val="001829B4"/>
    <w:rsid w:val="00192827"/>
    <w:rsid w:val="00197C98"/>
    <w:rsid w:val="001A0948"/>
    <w:rsid w:val="001A4D49"/>
    <w:rsid w:val="001A55D7"/>
    <w:rsid w:val="001B3EC1"/>
    <w:rsid w:val="001B62F3"/>
    <w:rsid w:val="001C15FC"/>
    <w:rsid w:val="001C603D"/>
    <w:rsid w:val="001D2590"/>
    <w:rsid w:val="001D3D3A"/>
    <w:rsid w:val="001D4E0F"/>
    <w:rsid w:val="001D72DF"/>
    <w:rsid w:val="001E1055"/>
    <w:rsid w:val="001E1B4E"/>
    <w:rsid w:val="001E78E1"/>
    <w:rsid w:val="001E7962"/>
    <w:rsid w:val="001F6309"/>
    <w:rsid w:val="00203697"/>
    <w:rsid w:val="00206104"/>
    <w:rsid w:val="002109B0"/>
    <w:rsid w:val="0021163C"/>
    <w:rsid w:val="00213980"/>
    <w:rsid w:val="00215CBD"/>
    <w:rsid w:val="00223317"/>
    <w:rsid w:val="00231327"/>
    <w:rsid w:val="00233832"/>
    <w:rsid w:val="002340FC"/>
    <w:rsid w:val="0023685D"/>
    <w:rsid w:val="00242B71"/>
    <w:rsid w:val="0024425C"/>
    <w:rsid w:val="0025590D"/>
    <w:rsid w:val="002668B4"/>
    <w:rsid w:val="00271E0E"/>
    <w:rsid w:val="0027285D"/>
    <w:rsid w:val="002743EC"/>
    <w:rsid w:val="00274A70"/>
    <w:rsid w:val="00274ED8"/>
    <w:rsid w:val="00280802"/>
    <w:rsid w:val="0028314A"/>
    <w:rsid w:val="002845F7"/>
    <w:rsid w:val="00286CCD"/>
    <w:rsid w:val="00292D4E"/>
    <w:rsid w:val="00293A62"/>
    <w:rsid w:val="00295BCE"/>
    <w:rsid w:val="00296323"/>
    <w:rsid w:val="002A14A3"/>
    <w:rsid w:val="002A2F2C"/>
    <w:rsid w:val="002A434E"/>
    <w:rsid w:val="002B28D3"/>
    <w:rsid w:val="002B39FB"/>
    <w:rsid w:val="002B4133"/>
    <w:rsid w:val="002B5B10"/>
    <w:rsid w:val="002B61AC"/>
    <w:rsid w:val="002B6F87"/>
    <w:rsid w:val="002B7558"/>
    <w:rsid w:val="002C20A5"/>
    <w:rsid w:val="002C6FE9"/>
    <w:rsid w:val="002D00D0"/>
    <w:rsid w:val="002D3C84"/>
    <w:rsid w:val="002D49A5"/>
    <w:rsid w:val="002D6D11"/>
    <w:rsid w:val="002D728A"/>
    <w:rsid w:val="002D7804"/>
    <w:rsid w:val="002D7B2C"/>
    <w:rsid w:val="002E1D42"/>
    <w:rsid w:val="002E2FDD"/>
    <w:rsid w:val="002E3921"/>
    <w:rsid w:val="002E4104"/>
    <w:rsid w:val="002E46AE"/>
    <w:rsid w:val="002E5EEB"/>
    <w:rsid w:val="002F2D44"/>
    <w:rsid w:val="00304678"/>
    <w:rsid w:val="00306BD6"/>
    <w:rsid w:val="00306DB5"/>
    <w:rsid w:val="00307C2A"/>
    <w:rsid w:val="00312E0B"/>
    <w:rsid w:val="003157AC"/>
    <w:rsid w:val="00315975"/>
    <w:rsid w:val="0032052D"/>
    <w:rsid w:val="00325D84"/>
    <w:rsid w:val="00327F3E"/>
    <w:rsid w:val="00334362"/>
    <w:rsid w:val="003354FD"/>
    <w:rsid w:val="00335A79"/>
    <w:rsid w:val="00335CA7"/>
    <w:rsid w:val="003407CF"/>
    <w:rsid w:val="003434B0"/>
    <w:rsid w:val="00344C1F"/>
    <w:rsid w:val="00346278"/>
    <w:rsid w:val="00346B2A"/>
    <w:rsid w:val="00346E5B"/>
    <w:rsid w:val="003538C5"/>
    <w:rsid w:val="00357B1D"/>
    <w:rsid w:val="00362177"/>
    <w:rsid w:val="00366505"/>
    <w:rsid w:val="00373078"/>
    <w:rsid w:val="00375BA4"/>
    <w:rsid w:val="00382A0E"/>
    <w:rsid w:val="00383E07"/>
    <w:rsid w:val="00390208"/>
    <w:rsid w:val="0039106B"/>
    <w:rsid w:val="003A1CA8"/>
    <w:rsid w:val="003A4330"/>
    <w:rsid w:val="003B7F8F"/>
    <w:rsid w:val="003C7A30"/>
    <w:rsid w:val="003D38C5"/>
    <w:rsid w:val="003D4F5E"/>
    <w:rsid w:val="003D623E"/>
    <w:rsid w:val="003E1015"/>
    <w:rsid w:val="003E12F5"/>
    <w:rsid w:val="003E5781"/>
    <w:rsid w:val="003E5AE7"/>
    <w:rsid w:val="003F0859"/>
    <w:rsid w:val="003F281C"/>
    <w:rsid w:val="003F3AA1"/>
    <w:rsid w:val="003F3E75"/>
    <w:rsid w:val="003F46E5"/>
    <w:rsid w:val="003F5F48"/>
    <w:rsid w:val="003F6E50"/>
    <w:rsid w:val="0040062D"/>
    <w:rsid w:val="00402576"/>
    <w:rsid w:val="00403071"/>
    <w:rsid w:val="00404596"/>
    <w:rsid w:val="00404ADB"/>
    <w:rsid w:val="004143D7"/>
    <w:rsid w:val="00416A44"/>
    <w:rsid w:val="00417D5F"/>
    <w:rsid w:val="00421F94"/>
    <w:rsid w:val="00423384"/>
    <w:rsid w:val="00425149"/>
    <w:rsid w:val="00426DFE"/>
    <w:rsid w:val="0042768A"/>
    <w:rsid w:val="0043117A"/>
    <w:rsid w:val="00433F58"/>
    <w:rsid w:val="00434601"/>
    <w:rsid w:val="004351D4"/>
    <w:rsid w:val="0043635A"/>
    <w:rsid w:val="00436ACF"/>
    <w:rsid w:val="0044175D"/>
    <w:rsid w:val="00445609"/>
    <w:rsid w:val="00450062"/>
    <w:rsid w:val="004535C3"/>
    <w:rsid w:val="00471098"/>
    <w:rsid w:val="00471C11"/>
    <w:rsid w:val="004747AC"/>
    <w:rsid w:val="00475B8C"/>
    <w:rsid w:val="00476240"/>
    <w:rsid w:val="00484807"/>
    <w:rsid w:val="00494608"/>
    <w:rsid w:val="00495174"/>
    <w:rsid w:val="00497A6C"/>
    <w:rsid w:val="004A3E03"/>
    <w:rsid w:val="004A5455"/>
    <w:rsid w:val="004A5F18"/>
    <w:rsid w:val="004A7614"/>
    <w:rsid w:val="004B12B3"/>
    <w:rsid w:val="004C127F"/>
    <w:rsid w:val="004C1DB4"/>
    <w:rsid w:val="004C37C6"/>
    <w:rsid w:val="004C49DD"/>
    <w:rsid w:val="004D0ED4"/>
    <w:rsid w:val="004D2755"/>
    <w:rsid w:val="004D5929"/>
    <w:rsid w:val="004E20C0"/>
    <w:rsid w:val="004E3153"/>
    <w:rsid w:val="004E5800"/>
    <w:rsid w:val="004E6C49"/>
    <w:rsid w:val="004E7068"/>
    <w:rsid w:val="004F5468"/>
    <w:rsid w:val="00500214"/>
    <w:rsid w:val="0051183C"/>
    <w:rsid w:val="00516BD8"/>
    <w:rsid w:val="0051750E"/>
    <w:rsid w:val="00520746"/>
    <w:rsid w:val="0052246D"/>
    <w:rsid w:val="0052255E"/>
    <w:rsid w:val="00525BB9"/>
    <w:rsid w:val="00537FF1"/>
    <w:rsid w:val="00540839"/>
    <w:rsid w:val="00540F19"/>
    <w:rsid w:val="00553F83"/>
    <w:rsid w:val="005653CA"/>
    <w:rsid w:val="00592AE4"/>
    <w:rsid w:val="00595A6F"/>
    <w:rsid w:val="005A0AD0"/>
    <w:rsid w:val="005A1526"/>
    <w:rsid w:val="005B1FDD"/>
    <w:rsid w:val="005B2D18"/>
    <w:rsid w:val="005B7F41"/>
    <w:rsid w:val="005C22BE"/>
    <w:rsid w:val="005C3195"/>
    <w:rsid w:val="005C6147"/>
    <w:rsid w:val="005C6E41"/>
    <w:rsid w:val="005C74C5"/>
    <w:rsid w:val="005D1A70"/>
    <w:rsid w:val="005D5923"/>
    <w:rsid w:val="005D638F"/>
    <w:rsid w:val="005D7522"/>
    <w:rsid w:val="005E14EF"/>
    <w:rsid w:val="005F2D2C"/>
    <w:rsid w:val="005F314B"/>
    <w:rsid w:val="005F600B"/>
    <w:rsid w:val="005F73C0"/>
    <w:rsid w:val="006019F5"/>
    <w:rsid w:val="00605AD1"/>
    <w:rsid w:val="00612303"/>
    <w:rsid w:val="00613040"/>
    <w:rsid w:val="006158C9"/>
    <w:rsid w:val="00617084"/>
    <w:rsid w:val="0062102E"/>
    <w:rsid w:val="0062654A"/>
    <w:rsid w:val="00627BDF"/>
    <w:rsid w:val="00633174"/>
    <w:rsid w:val="00634894"/>
    <w:rsid w:val="00635DF5"/>
    <w:rsid w:val="0064282C"/>
    <w:rsid w:val="00643AE1"/>
    <w:rsid w:val="00643B1C"/>
    <w:rsid w:val="006520FB"/>
    <w:rsid w:val="00655970"/>
    <w:rsid w:val="006640C7"/>
    <w:rsid w:val="00664CF2"/>
    <w:rsid w:val="006651EF"/>
    <w:rsid w:val="00671021"/>
    <w:rsid w:val="00672111"/>
    <w:rsid w:val="00673D52"/>
    <w:rsid w:val="006747D4"/>
    <w:rsid w:val="00675619"/>
    <w:rsid w:val="00676AAC"/>
    <w:rsid w:val="0068140D"/>
    <w:rsid w:val="0068238A"/>
    <w:rsid w:val="00683598"/>
    <w:rsid w:val="00684E1F"/>
    <w:rsid w:val="006A0FEF"/>
    <w:rsid w:val="006A1954"/>
    <w:rsid w:val="006A1F52"/>
    <w:rsid w:val="006A2EA8"/>
    <w:rsid w:val="006B1896"/>
    <w:rsid w:val="006C3E5D"/>
    <w:rsid w:val="006C422F"/>
    <w:rsid w:val="006C7426"/>
    <w:rsid w:val="006E101B"/>
    <w:rsid w:val="006E4B0C"/>
    <w:rsid w:val="006F2948"/>
    <w:rsid w:val="006F68DF"/>
    <w:rsid w:val="00705953"/>
    <w:rsid w:val="0070655F"/>
    <w:rsid w:val="0071070B"/>
    <w:rsid w:val="00716002"/>
    <w:rsid w:val="0072771C"/>
    <w:rsid w:val="0073166E"/>
    <w:rsid w:val="00735185"/>
    <w:rsid w:val="00740456"/>
    <w:rsid w:val="00740A6D"/>
    <w:rsid w:val="00741B12"/>
    <w:rsid w:val="00744001"/>
    <w:rsid w:val="007477EA"/>
    <w:rsid w:val="00754F7F"/>
    <w:rsid w:val="00755285"/>
    <w:rsid w:val="00756210"/>
    <w:rsid w:val="007565E1"/>
    <w:rsid w:val="00764362"/>
    <w:rsid w:val="007735A1"/>
    <w:rsid w:val="00775D24"/>
    <w:rsid w:val="00776842"/>
    <w:rsid w:val="00777D41"/>
    <w:rsid w:val="00783351"/>
    <w:rsid w:val="0078782F"/>
    <w:rsid w:val="00791A9E"/>
    <w:rsid w:val="00791FEA"/>
    <w:rsid w:val="00795BE5"/>
    <w:rsid w:val="007A17EE"/>
    <w:rsid w:val="007A5FBC"/>
    <w:rsid w:val="007A683F"/>
    <w:rsid w:val="007B1376"/>
    <w:rsid w:val="007B4FC4"/>
    <w:rsid w:val="007B66B2"/>
    <w:rsid w:val="007B744E"/>
    <w:rsid w:val="007C6A95"/>
    <w:rsid w:val="007E2526"/>
    <w:rsid w:val="007E4931"/>
    <w:rsid w:val="007E662D"/>
    <w:rsid w:val="007F250C"/>
    <w:rsid w:val="007F2BA2"/>
    <w:rsid w:val="007F33FF"/>
    <w:rsid w:val="007F7DFA"/>
    <w:rsid w:val="00802923"/>
    <w:rsid w:val="008062A4"/>
    <w:rsid w:val="00814B43"/>
    <w:rsid w:val="00821958"/>
    <w:rsid w:val="00831CB1"/>
    <w:rsid w:val="0083595F"/>
    <w:rsid w:val="00836C75"/>
    <w:rsid w:val="00843463"/>
    <w:rsid w:val="00847AE2"/>
    <w:rsid w:val="0085372A"/>
    <w:rsid w:val="00856CFC"/>
    <w:rsid w:val="00866BA0"/>
    <w:rsid w:val="00866DCF"/>
    <w:rsid w:val="008731E3"/>
    <w:rsid w:val="00874A7B"/>
    <w:rsid w:val="00874AB7"/>
    <w:rsid w:val="008758E8"/>
    <w:rsid w:val="00875FB0"/>
    <w:rsid w:val="00882BB7"/>
    <w:rsid w:val="00884507"/>
    <w:rsid w:val="00892C4A"/>
    <w:rsid w:val="00892E7E"/>
    <w:rsid w:val="00897111"/>
    <w:rsid w:val="00897920"/>
    <w:rsid w:val="008C07E2"/>
    <w:rsid w:val="008C2D90"/>
    <w:rsid w:val="008C5338"/>
    <w:rsid w:val="008D7170"/>
    <w:rsid w:val="008E1F26"/>
    <w:rsid w:val="008E3C97"/>
    <w:rsid w:val="008E5423"/>
    <w:rsid w:val="008F0835"/>
    <w:rsid w:val="008F15A0"/>
    <w:rsid w:val="008F1754"/>
    <w:rsid w:val="008F3654"/>
    <w:rsid w:val="008F4031"/>
    <w:rsid w:val="00902363"/>
    <w:rsid w:val="009047CF"/>
    <w:rsid w:val="009067D9"/>
    <w:rsid w:val="0091144E"/>
    <w:rsid w:val="009131A3"/>
    <w:rsid w:val="009160F3"/>
    <w:rsid w:val="00923938"/>
    <w:rsid w:val="009243DA"/>
    <w:rsid w:val="00924843"/>
    <w:rsid w:val="00925C5C"/>
    <w:rsid w:val="00925DA7"/>
    <w:rsid w:val="00925F7F"/>
    <w:rsid w:val="00926BB0"/>
    <w:rsid w:val="00932392"/>
    <w:rsid w:val="00934393"/>
    <w:rsid w:val="00935D97"/>
    <w:rsid w:val="00936158"/>
    <w:rsid w:val="00937074"/>
    <w:rsid w:val="00937109"/>
    <w:rsid w:val="009411BE"/>
    <w:rsid w:val="00941A12"/>
    <w:rsid w:val="00941B3C"/>
    <w:rsid w:val="00944D01"/>
    <w:rsid w:val="0094524A"/>
    <w:rsid w:val="00950DF1"/>
    <w:rsid w:val="00950F83"/>
    <w:rsid w:val="00951F97"/>
    <w:rsid w:val="0095300C"/>
    <w:rsid w:val="00960A7F"/>
    <w:rsid w:val="009618E5"/>
    <w:rsid w:val="0096242D"/>
    <w:rsid w:val="00965231"/>
    <w:rsid w:val="0097137B"/>
    <w:rsid w:val="00972971"/>
    <w:rsid w:val="00974F97"/>
    <w:rsid w:val="0098100B"/>
    <w:rsid w:val="00991877"/>
    <w:rsid w:val="0099203C"/>
    <w:rsid w:val="00994FF1"/>
    <w:rsid w:val="009A1F1A"/>
    <w:rsid w:val="009A2FB6"/>
    <w:rsid w:val="009A39F2"/>
    <w:rsid w:val="009A6BFB"/>
    <w:rsid w:val="009B4B43"/>
    <w:rsid w:val="009B5A9A"/>
    <w:rsid w:val="009B622B"/>
    <w:rsid w:val="009C4736"/>
    <w:rsid w:val="009C6010"/>
    <w:rsid w:val="009D0F95"/>
    <w:rsid w:val="009D2E07"/>
    <w:rsid w:val="009D3F2E"/>
    <w:rsid w:val="009D614B"/>
    <w:rsid w:val="009D6FDB"/>
    <w:rsid w:val="009D72C5"/>
    <w:rsid w:val="009E00E5"/>
    <w:rsid w:val="009E2121"/>
    <w:rsid w:val="009E4AB1"/>
    <w:rsid w:val="009F4167"/>
    <w:rsid w:val="009F78DE"/>
    <w:rsid w:val="009F7BB0"/>
    <w:rsid w:val="00A0492A"/>
    <w:rsid w:val="00A04AAB"/>
    <w:rsid w:val="00A060BD"/>
    <w:rsid w:val="00A121E7"/>
    <w:rsid w:val="00A15C35"/>
    <w:rsid w:val="00A23FBB"/>
    <w:rsid w:val="00A2798D"/>
    <w:rsid w:val="00A34DBE"/>
    <w:rsid w:val="00A355E2"/>
    <w:rsid w:val="00A36C6C"/>
    <w:rsid w:val="00A428AF"/>
    <w:rsid w:val="00A470D1"/>
    <w:rsid w:val="00A5169B"/>
    <w:rsid w:val="00A6332E"/>
    <w:rsid w:val="00A63816"/>
    <w:rsid w:val="00A66D7D"/>
    <w:rsid w:val="00A67651"/>
    <w:rsid w:val="00A70DA3"/>
    <w:rsid w:val="00A72D12"/>
    <w:rsid w:val="00A74662"/>
    <w:rsid w:val="00A82651"/>
    <w:rsid w:val="00A82FCE"/>
    <w:rsid w:val="00A85E71"/>
    <w:rsid w:val="00A91936"/>
    <w:rsid w:val="00A969B7"/>
    <w:rsid w:val="00AA0039"/>
    <w:rsid w:val="00AA4631"/>
    <w:rsid w:val="00AB7C9F"/>
    <w:rsid w:val="00AC42B9"/>
    <w:rsid w:val="00AC4568"/>
    <w:rsid w:val="00AC7CAB"/>
    <w:rsid w:val="00AD3F46"/>
    <w:rsid w:val="00AD6132"/>
    <w:rsid w:val="00AD6781"/>
    <w:rsid w:val="00AE0159"/>
    <w:rsid w:val="00AE1610"/>
    <w:rsid w:val="00AE22BC"/>
    <w:rsid w:val="00AE48AD"/>
    <w:rsid w:val="00AF0AF8"/>
    <w:rsid w:val="00AF34B5"/>
    <w:rsid w:val="00AF7549"/>
    <w:rsid w:val="00AF761E"/>
    <w:rsid w:val="00B003ED"/>
    <w:rsid w:val="00B0109F"/>
    <w:rsid w:val="00B04160"/>
    <w:rsid w:val="00B04ED7"/>
    <w:rsid w:val="00B05614"/>
    <w:rsid w:val="00B06920"/>
    <w:rsid w:val="00B11E0F"/>
    <w:rsid w:val="00B14892"/>
    <w:rsid w:val="00B15748"/>
    <w:rsid w:val="00B21038"/>
    <w:rsid w:val="00B24DF9"/>
    <w:rsid w:val="00B32F37"/>
    <w:rsid w:val="00B34002"/>
    <w:rsid w:val="00B34710"/>
    <w:rsid w:val="00B36A58"/>
    <w:rsid w:val="00B43B77"/>
    <w:rsid w:val="00B46E73"/>
    <w:rsid w:val="00B47DE1"/>
    <w:rsid w:val="00B54516"/>
    <w:rsid w:val="00B62296"/>
    <w:rsid w:val="00B6411E"/>
    <w:rsid w:val="00B65F8D"/>
    <w:rsid w:val="00B76AC9"/>
    <w:rsid w:val="00B903E5"/>
    <w:rsid w:val="00B92A18"/>
    <w:rsid w:val="00B96A8C"/>
    <w:rsid w:val="00BA4D8A"/>
    <w:rsid w:val="00BB67E4"/>
    <w:rsid w:val="00BC5808"/>
    <w:rsid w:val="00BC5D97"/>
    <w:rsid w:val="00BD07AA"/>
    <w:rsid w:val="00BD1B9D"/>
    <w:rsid w:val="00BD2AC3"/>
    <w:rsid w:val="00BD2BAB"/>
    <w:rsid w:val="00BD39B5"/>
    <w:rsid w:val="00BD4764"/>
    <w:rsid w:val="00BE02C0"/>
    <w:rsid w:val="00BE15DA"/>
    <w:rsid w:val="00BE191C"/>
    <w:rsid w:val="00BF3213"/>
    <w:rsid w:val="00BF7FB4"/>
    <w:rsid w:val="00C011A8"/>
    <w:rsid w:val="00C06532"/>
    <w:rsid w:val="00C07008"/>
    <w:rsid w:val="00C22625"/>
    <w:rsid w:val="00C31746"/>
    <w:rsid w:val="00C31E6E"/>
    <w:rsid w:val="00C33EB5"/>
    <w:rsid w:val="00C36AEE"/>
    <w:rsid w:val="00C4091E"/>
    <w:rsid w:val="00C51606"/>
    <w:rsid w:val="00C53B90"/>
    <w:rsid w:val="00C57A1C"/>
    <w:rsid w:val="00C80B42"/>
    <w:rsid w:val="00C8125A"/>
    <w:rsid w:val="00C824C3"/>
    <w:rsid w:val="00C8256F"/>
    <w:rsid w:val="00CA2814"/>
    <w:rsid w:val="00CA55E3"/>
    <w:rsid w:val="00CA6391"/>
    <w:rsid w:val="00CA6831"/>
    <w:rsid w:val="00CB1DD9"/>
    <w:rsid w:val="00CB2FE6"/>
    <w:rsid w:val="00CB4646"/>
    <w:rsid w:val="00CC16E1"/>
    <w:rsid w:val="00CC307B"/>
    <w:rsid w:val="00CC68C0"/>
    <w:rsid w:val="00CD082C"/>
    <w:rsid w:val="00CD1251"/>
    <w:rsid w:val="00CE10D4"/>
    <w:rsid w:val="00CE423D"/>
    <w:rsid w:val="00CF2B49"/>
    <w:rsid w:val="00CF374F"/>
    <w:rsid w:val="00CF5582"/>
    <w:rsid w:val="00D07512"/>
    <w:rsid w:val="00D12E78"/>
    <w:rsid w:val="00D3205F"/>
    <w:rsid w:val="00D3381C"/>
    <w:rsid w:val="00D369E7"/>
    <w:rsid w:val="00D42F7C"/>
    <w:rsid w:val="00D436B4"/>
    <w:rsid w:val="00D51FA5"/>
    <w:rsid w:val="00D54F39"/>
    <w:rsid w:val="00D61245"/>
    <w:rsid w:val="00D63E66"/>
    <w:rsid w:val="00D6409C"/>
    <w:rsid w:val="00D81E87"/>
    <w:rsid w:val="00D846E2"/>
    <w:rsid w:val="00D859EC"/>
    <w:rsid w:val="00D863A1"/>
    <w:rsid w:val="00D92C21"/>
    <w:rsid w:val="00D935B3"/>
    <w:rsid w:val="00D9368E"/>
    <w:rsid w:val="00DA669F"/>
    <w:rsid w:val="00DB540A"/>
    <w:rsid w:val="00DB7A1D"/>
    <w:rsid w:val="00DC0E15"/>
    <w:rsid w:val="00DC222D"/>
    <w:rsid w:val="00DC2DF8"/>
    <w:rsid w:val="00DC45F7"/>
    <w:rsid w:val="00DC52FF"/>
    <w:rsid w:val="00DC6BD7"/>
    <w:rsid w:val="00DC792C"/>
    <w:rsid w:val="00DD02B5"/>
    <w:rsid w:val="00DD040F"/>
    <w:rsid w:val="00DE47E6"/>
    <w:rsid w:val="00DF36A9"/>
    <w:rsid w:val="00DF46B6"/>
    <w:rsid w:val="00DF78CD"/>
    <w:rsid w:val="00E01490"/>
    <w:rsid w:val="00E017DB"/>
    <w:rsid w:val="00E0250D"/>
    <w:rsid w:val="00E05EC3"/>
    <w:rsid w:val="00E07D79"/>
    <w:rsid w:val="00E124E8"/>
    <w:rsid w:val="00E13520"/>
    <w:rsid w:val="00E13617"/>
    <w:rsid w:val="00E16C5D"/>
    <w:rsid w:val="00E2240F"/>
    <w:rsid w:val="00E23470"/>
    <w:rsid w:val="00E26B34"/>
    <w:rsid w:val="00E3015F"/>
    <w:rsid w:val="00E30B59"/>
    <w:rsid w:val="00E3107F"/>
    <w:rsid w:val="00E33CF4"/>
    <w:rsid w:val="00E379FF"/>
    <w:rsid w:val="00E403BF"/>
    <w:rsid w:val="00E439A6"/>
    <w:rsid w:val="00E46142"/>
    <w:rsid w:val="00E502F5"/>
    <w:rsid w:val="00E508D9"/>
    <w:rsid w:val="00E54FD7"/>
    <w:rsid w:val="00E6675A"/>
    <w:rsid w:val="00E76E3A"/>
    <w:rsid w:val="00E81318"/>
    <w:rsid w:val="00E83B8D"/>
    <w:rsid w:val="00E85F45"/>
    <w:rsid w:val="00E93221"/>
    <w:rsid w:val="00E9366B"/>
    <w:rsid w:val="00EB3A43"/>
    <w:rsid w:val="00EB78EB"/>
    <w:rsid w:val="00EC1FD2"/>
    <w:rsid w:val="00EC2F06"/>
    <w:rsid w:val="00EC4F74"/>
    <w:rsid w:val="00EC5773"/>
    <w:rsid w:val="00EC7B75"/>
    <w:rsid w:val="00ED06FD"/>
    <w:rsid w:val="00ED3F44"/>
    <w:rsid w:val="00ED408B"/>
    <w:rsid w:val="00ED4FC3"/>
    <w:rsid w:val="00ED7D6A"/>
    <w:rsid w:val="00EE2270"/>
    <w:rsid w:val="00EE3B19"/>
    <w:rsid w:val="00EE5F83"/>
    <w:rsid w:val="00EE7C6E"/>
    <w:rsid w:val="00EF0C58"/>
    <w:rsid w:val="00EF3F93"/>
    <w:rsid w:val="00EF4318"/>
    <w:rsid w:val="00EF456B"/>
    <w:rsid w:val="00EF6F44"/>
    <w:rsid w:val="00F02EEF"/>
    <w:rsid w:val="00F03D77"/>
    <w:rsid w:val="00F04640"/>
    <w:rsid w:val="00F136C8"/>
    <w:rsid w:val="00F143EB"/>
    <w:rsid w:val="00F20FDD"/>
    <w:rsid w:val="00F2103B"/>
    <w:rsid w:val="00F21B7A"/>
    <w:rsid w:val="00F24B15"/>
    <w:rsid w:val="00F255AA"/>
    <w:rsid w:val="00F31385"/>
    <w:rsid w:val="00F337FE"/>
    <w:rsid w:val="00F47F92"/>
    <w:rsid w:val="00F56C0D"/>
    <w:rsid w:val="00F57946"/>
    <w:rsid w:val="00F603BE"/>
    <w:rsid w:val="00F6199A"/>
    <w:rsid w:val="00F63933"/>
    <w:rsid w:val="00F65BA4"/>
    <w:rsid w:val="00F72764"/>
    <w:rsid w:val="00F740EE"/>
    <w:rsid w:val="00F77D16"/>
    <w:rsid w:val="00F8023F"/>
    <w:rsid w:val="00F84068"/>
    <w:rsid w:val="00F84855"/>
    <w:rsid w:val="00F87074"/>
    <w:rsid w:val="00F90A5A"/>
    <w:rsid w:val="00F90DF7"/>
    <w:rsid w:val="00F91126"/>
    <w:rsid w:val="00F96DB9"/>
    <w:rsid w:val="00F97814"/>
    <w:rsid w:val="00FA0A40"/>
    <w:rsid w:val="00FA194E"/>
    <w:rsid w:val="00FB0907"/>
    <w:rsid w:val="00FB2974"/>
    <w:rsid w:val="00FC0550"/>
    <w:rsid w:val="00FC470C"/>
    <w:rsid w:val="00FD1840"/>
    <w:rsid w:val="00FD318C"/>
    <w:rsid w:val="00FD5DE8"/>
    <w:rsid w:val="00FE1ED7"/>
    <w:rsid w:val="00FE2F83"/>
    <w:rsid w:val="00FE431F"/>
    <w:rsid w:val="00FE5169"/>
    <w:rsid w:val="00FE655E"/>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paragraph" w:styleId="Puslapioinaostekstas">
    <w:name w:val="footnote text"/>
    <w:basedOn w:val="prastasis"/>
    <w:link w:val="PuslapioinaostekstasDiagrama"/>
    <w:uiPriority w:val="99"/>
    <w:semiHidden/>
    <w:unhideWhenUsed/>
    <w:rsid w:val="006C7426"/>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C742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6C7426"/>
    <w:rPr>
      <w:vertAlign w:val="superscript"/>
    </w:rPr>
  </w:style>
  <w:style w:type="character" w:customStyle="1" w:styleId="italics">
    <w:name w:val="italics"/>
    <w:basedOn w:val="Numatytasispastraiposriftas"/>
    <w:rsid w:val="00E502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paragraph" w:styleId="Puslapioinaostekstas">
    <w:name w:val="footnote text"/>
    <w:basedOn w:val="prastasis"/>
    <w:link w:val="PuslapioinaostekstasDiagrama"/>
    <w:uiPriority w:val="99"/>
    <w:semiHidden/>
    <w:unhideWhenUsed/>
    <w:rsid w:val="006C7426"/>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6C7426"/>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6C7426"/>
    <w:rPr>
      <w:vertAlign w:val="superscript"/>
    </w:rPr>
  </w:style>
  <w:style w:type="character" w:customStyle="1" w:styleId="italics">
    <w:name w:val="italics"/>
    <w:basedOn w:val="Numatytasispastraiposriftas"/>
    <w:rsid w:val="00E50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925000851">
      <w:bodyDiv w:val="1"/>
      <w:marLeft w:val="0"/>
      <w:marRight w:val="0"/>
      <w:marTop w:val="0"/>
      <w:marBottom w:val="0"/>
      <w:divBdr>
        <w:top w:val="none" w:sz="0" w:space="0" w:color="auto"/>
        <w:left w:val="none" w:sz="0" w:space="0" w:color="auto"/>
        <w:bottom w:val="none" w:sz="0" w:space="0" w:color="auto"/>
        <w:right w:val="none" w:sz="0" w:space="0" w:color="auto"/>
      </w:divBdr>
      <w:divsChild>
        <w:div w:id="476264530">
          <w:marLeft w:val="0"/>
          <w:marRight w:val="0"/>
          <w:marTop w:val="0"/>
          <w:marBottom w:val="0"/>
          <w:divBdr>
            <w:top w:val="none" w:sz="0" w:space="0" w:color="auto"/>
            <w:left w:val="none" w:sz="0" w:space="0" w:color="auto"/>
            <w:bottom w:val="none" w:sz="0" w:space="0" w:color="auto"/>
            <w:right w:val="none" w:sz="0" w:space="0" w:color="auto"/>
          </w:divBdr>
          <w:divsChild>
            <w:div w:id="522135232">
              <w:marLeft w:val="0"/>
              <w:marRight w:val="0"/>
              <w:marTop w:val="0"/>
              <w:marBottom w:val="0"/>
              <w:divBdr>
                <w:top w:val="none" w:sz="0" w:space="0" w:color="auto"/>
                <w:left w:val="none" w:sz="0" w:space="0" w:color="auto"/>
                <w:bottom w:val="none" w:sz="0" w:space="0" w:color="auto"/>
                <w:right w:val="none" w:sz="0" w:space="0" w:color="auto"/>
              </w:divBdr>
              <w:divsChild>
                <w:div w:id="581984724">
                  <w:marLeft w:val="0"/>
                  <w:marRight w:val="0"/>
                  <w:marTop w:val="0"/>
                  <w:marBottom w:val="0"/>
                  <w:divBdr>
                    <w:top w:val="none" w:sz="0" w:space="0" w:color="auto"/>
                    <w:left w:val="none" w:sz="0" w:space="0" w:color="auto"/>
                    <w:bottom w:val="none" w:sz="0" w:space="0" w:color="auto"/>
                    <w:right w:val="none" w:sz="0" w:space="0" w:color="auto"/>
                  </w:divBdr>
                  <w:divsChild>
                    <w:div w:id="9183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96748">
      <w:bodyDiv w:val="1"/>
      <w:marLeft w:val="0"/>
      <w:marRight w:val="0"/>
      <w:marTop w:val="0"/>
      <w:marBottom w:val="0"/>
      <w:divBdr>
        <w:top w:val="none" w:sz="0" w:space="0" w:color="auto"/>
        <w:left w:val="none" w:sz="0" w:space="0" w:color="auto"/>
        <w:bottom w:val="none" w:sz="0" w:space="0" w:color="auto"/>
        <w:right w:val="none" w:sz="0" w:space="0" w:color="auto"/>
      </w:divBdr>
      <w:divsChild>
        <w:div w:id="904922911">
          <w:marLeft w:val="0"/>
          <w:marRight w:val="0"/>
          <w:marTop w:val="0"/>
          <w:marBottom w:val="0"/>
          <w:divBdr>
            <w:top w:val="none" w:sz="0" w:space="0" w:color="auto"/>
            <w:left w:val="none" w:sz="0" w:space="0" w:color="auto"/>
            <w:bottom w:val="none" w:sz="0" w:space="0" w:color="auto"/>
            <w:right w:val="none" w:sz="0" w:space="0" w:color="auto"/>
          </w:divBdr>
          <w:divsChild>
            <w:div w:id="1208447392">
              <w:marLeft w:val="0"/>
              <w:marRight w:val="0"/>
              <w:marTop w:val="0"/>
              <w:marBottom w:val="0"/>
              <w:divBdr>
                <w:top w:val="none" w:sz="0" w:space="0" w:color="auto"/>
                <w:left w:val="none" w:sz="0" w:space="0" w:color="auto"/>
                <w:bottom w:val="none" w:sz="0" w:space="0" w:color="auto"/>
                <w:right w:val="none" w:sz="0" w:space="0" w:color="auto"/>
              </w:divBdr>
              <w:divsChild>
                <w:div w:id="483157688">
                  <w:marLeft w:val="0"/>
                  <w:marRight w:val="0"/>
                  <w:marTop w:val="0"/>
                  <w:marBottom w:val="0"/>
                  <w:divBdr>
                    <w:top w:val="none" w:sz="0" w:space="0" w:color="auto"/>
                    <w:left w:val="none" w:sz="0" w:space="0" w:color="auto"/>
                    <w:bottom w:val="none" w:sz="0" w:space="0" w:color="auto"/>
                    <w:right w:val="none" w:sz="0" w:space="0" w:color="auto"/>
                  </w:divBdr>
                  <w:divsChild>
                    <w:div w:id="275986019">
                      <w:marLeft w:val="0"/>
                      <w:marRight w:val="0"/>
                      <w:marTop w:val="0"/>
                      <w:marBottom w:val="0"/>
                      <w:divBdr>
                        <w:top w:val="none" w:sz="0" w:space="0" w:color="auto"/>
                        <w:left w:val="none" w:sz="0" w:space="0" w:color="auto"/>
                        <w:bottom w:val="none" w:sz="0" w:space="0" w:color="auto"/>
                        <w:right w:val="none" w:sz="0" w:space="0" w:color="auto"/>
                      </w:divBdr>
                      <w:divsChild>
                        <w:div w:id="676468005">
                          <w:marLeft w:val="0"/>
                          <w:marRight w:val="0"/>
                          <w:marTop w:val="0"/>
                          <w:marBottom w:val="0"/>
                          <w:divBdr>
                            <w:top w:val="none" w:sz="0" w:space="0" w:color="auto"/>
                            <w:left w:val="none" w:sz="0" w:space="0" w:color="auto"/>
                            <w:bottom w:val="none" w:sz="0" w:space="0" w:color="auto"/>
                            <w:right w:val="none" w:sz="0" w:space="0" w:color="auto"/>
                          </w:divBdr>
                        </w:div>
                        <w:div w:id="10434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14297">
      <w:bodyDiv w:val="1"/>
      <w:marLeft w:val="0"/>
      <w:marRight w:val="0"/>
      <w:marTop w:val="0"/>
      <w:marBottom w:val="0"/>
      <w:divBdr>
        <w:top w:val="none" w:sz="0" w:space="0" w:color="auto"/>
        <w:left w:val="none" w:sz="0" w:space="0" w:color="auto"/>
        <w:bottom w:val="none" w:sz="0" w:space="0" w:color="auto"/>
        <w:right w:val="none" w:sz="0" w:space="0" w:color="auto"/>
      </w:divBdr>
      <w:divsChild>
        <w:div w:id="202406208">
          <w:marLeft w:val="0"/>
          <w:marRight w:val="0"/>
          <w:marTop w:val="0"/>
          <w:marBottom w:val="0"/>
          <w:divBdr>
            <w:top w:val="none" w:sz="0" w:space="0" w:color="auto"/>
            <w:left w:val="none" w:sz="0" w:space="0" w:color="auto"/>
            <w:bottom w:val="none" w:sz="0" w:space="0" w:color="auto"/>
            <w:right w:val="none" w:sz="0" w:space="0" w:color="auto"/>
          </w:divBdr>
          <w:divsChild>
            <w:div w:id="1267274834">
              <w:marLeft w:val="0"/>
              <w:marRight w:val="0"/>
              <w:marTop w:val="0"/>
              <w:marBottom w:val="0"/>
              <w:divBdr>
                <w:top w:val="none" w:sz="0" w:space="0" w:color="auto"/>
                <w:left w:val="none" w:sz="0" w:space="0" w:color="auto"/>
                <w:bottom w:val="none" w:sz="0" w:space="0" w:color="auto"/>
                <w:right w:val="none" w:sz="0" w:space="0" w:color="auto"/>
              </w:divBdr>
              <w:divsChild>
                <w:div w:id="252664860">
                  <w:marLeft w:val="0"/>
                  <w:marRight w:val="0"/>
                  <w:marTop w:val="0"/>
                  <w:marBottom w:val="0"/>
                  <w:divBdr>
                    <w:top w:val="none" w:sz="0" w:space="0" w:color="auto"/>
                    <w:left w:val="none" w:sz="0" w:space="0" w:color="auto"/>
                    <w:bottom w:val="none" w:sz="0" w:space="0" w:color="auto"/>
                    <w:right w:val="none" w:sz="0" w:space="0" w:color="auto"/>
                  </w:divBdr>
                  <w:divsChild>
                    <w:div w:id="27147491">
                      <w:marLeft w:val="0"/>
                      <w:marRight w:val="0"/>
                      <w:marTop w:val="0"/>
                      <w:marBottom w:val="0"/>
                      <w:divBdr>
                        <w:top w:val="none" w:sz="0" w:space="0" w:color="auto"/>
                        <w:left w:val="none" w:sz="0" w:space="0" w:color="auto"/>
                        <w:bottom w:val="none" w:sz="0" w:space="0" w:color="auto"/>
                        <w:right w:val="none" w:sz="0" w:space="0" w:color="auto"/>
                      </w:divBdr>
                    </w:div>
                    <w:div w:id="1627157234">
                      <w:marLeft w:val="0"/>
                      <w:marRight w:val="0"/>
                      <w:marTop w:val="0"/>
                      <w:marBottom w:val="0"/>
                      <w:divBdr>
                        <w:top w:val="none" w:sz="0" w:space="0" w:color="auto"/>
                        <w:left w:val="none" w:sz="0" w:space="0" w:color="auto"/>
                        <w:bottom w:val="none" w:sz="0" w:space="0" w:color="auto"/>
                        <w:right w:val="none" w:sz="0" w:space="0" w:color="auto"/>
                      </w:divBdr>
                    </w:div>
                    <w:div w:id="1520662725">
                      <w:marLeft w:val="0"/>
                      <w:marRight w:val="0"/>
                      <w:marTop w:val="0"/>
                      <w:marBottom w:val="0"/>
                      <w:divBdr>
                        <w:top w:val="none" w:sz="0" w:space="0" w:color="auto"/>
                        <w:left w:val="none" w:sz="0" w:space="0" w:color="auto"/>
                        <w:bottom w:val="none" w:sz="0" w:space="0" w:color="auto"/>
                        <w:right w:val="none" w:sz="0" w:space="0" w:color="auto"/>
                      </w:divBdr>
                    </w:div>
                    <w:div w:id="12061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88087">
      <w:bodyDiv w:val="1"/>
      <w:marLeft w:val="0"/>
      <w:marRight w:val="0"/>
      <w:marTop w:val="0"/>
      <w:marBottom w:val="0"/>
      <w:divBdr>
        <w:top w:val="none" w:sz="0" w:space="0" w:color="auto"/>
        <w:left w:val="none" w:sz="0" w:space="0" w:color="auto"/>
        <w:bottom w:val="none" w:sz="0" w:space="0" w:color="auto"/>
        <w:right w:val="none" w:sz="0" w:space="0" w:color="auto"/>
      </w:divBdr>
      <w:divsChild>
        <w:div w:id="1366324618">
          <w:marLeft w:val="0"/>
          <w:marRight w:val="0"/>
          <w:marTop w:val="0"/>
          <w:marBottom w:val="0"/>
          <w:divBdr>
            <w:top w:val="none" w:sz="0" w:space="0" w:color="auto"/>
            <w:left w:val="none" w:sz="0" w:space="0" w:color="auto"/>
            <w:bottom w:val="none" w:sz="0" w:space="0" w:color="auto"/>
            <w:right w:val="none" w:sz="0" w:space="0" w:color="auto"/>
          </w:divBdr>
          <w:divsChild>
            <w:div w:id="839740689">
              <w:marLeft w:val="0"/>
              <w:marRight w:val="0"/>
              <w:marTop w:val="0"/>
              <w:marBottom w:val="0"/>
              <w:divBdr>
                <w:top w:val="none" w:sz="0" w:space="0" w:color="auto"/>
                <w:left w:val="none" w:sz="0" w:space="0" w:color="auto"/>
                <w:bottom w:val="none" w:sz="0" w:space="0" w:color="auto"/>
                <w:right w:val="none" w:sz="0" w:space="0" w:color="auto"/>
              </w:divBdr>
              <w:divsChild>
                <w:div w:id="1016031254">
                  <w:marLeft w:val="0"/>
                  <w:marRight w:val="0"/>
                  <w:marTop w:val="0"/>
                  <w:marBottom w:val="0"/>
                  <w:divBdr>
                    <w:top w:val="none" w:sz="0" w:space="0" w:color="auto"/>
                    <w:left w:val="none" w:sz="0" w:space="0" w:color="auto"/>
                    <w:bottom w:val="none" w:sz="0" w:space="0" w:color="auto"/>
                    <w:right w:val="none" w:sz="0" w:space="0" w:color="auto"/>
                  </w:divBdr>
                  <w:divsChild>
                    <w:div w:id="718283750">
                      <w:marLeft w:val="0"/>
                      <w:marRight w:val="0"/>
                      <w:marTop w:val="0"/>
                      <w:marBottom w:val="0"/>
                      <w:divBdr>
                        <w:top w:val="none" w:sz="0" w:space="0" w:color="auto"/>
                        <w:left w:val="none" w:sz="0" w:space="0" w:color="auto"/>
                        <w:bottom w:val="none" w:sz="0" w:space="0" w:color="auto"/>
                        <w:right w:val="none" w:sz="0" w:space="0" w:color="auto"/>
                      </w:divBdr>
                      <w:divsChild>
                        <w:div w:id="1485393492">
                          <w:marLeft w:val="0"/>
                          <w:marRight w:val="0"/>
                          <w:marTop w:val="0"/>
                          <w:marBottom w:val="0"/>
                          <w:divBdr>
                            <w:top w:val="none" w:sz="0" w:space="0" w:color="auto"/>
                            <w:left w:val="none" w:sz="0" w:space="0" w:color="auto"/>
                            <w:bottom w:val="none" w:sz="0" w:space="0" w:color="auto"/>
                            <w:right w:val="none" w:sz="0" w:space="0" w:color="auto"/>
                          </w:divBdr>
                        </w:div>
                        <w:div w:id="210046282">
                          <w:marLeft w:val="0"/>
                          <w:marRight w:val="0"/>
                          <w:marTop w:val="0"/>
                          <w:marBottom w:val="0"/>
                          <w:divBdr>
                            <w:top w:val="none" w:sz="0" w:space="0" w:color="auto"/>
                            <w:left w:val="none" w:sz="0" w:space="0" w:color="auto"/>
                            <w:bottom w:val="none" w:sz="0" w:space="0" w:color="auto"/>
                            <w:right w:val="none" w:sz="0" w:space="0" w:color="auto"/>
                          </w:divBdr>
                        </w:div>
                        <w:div w:id="1797021283">
                          <w:marLeft w:val="0"/>
                          <w:marRight w:val="0"/>
                          <w:marTop w:val="0"/>
                          <w:marBottom w:val="0"/>
                          <w:divBdr>
                            <w:top w:val="none" w:sz="0" w:space="0" w:color="auto"/>
                            <w:left w:val="none" w:sz="0" w:space="0" w:color="auto"/>
                            <w:bottom w:val="none" w:sz="0" w:space="0" w:color="auto"/>
                            <w:right w:val="none" w:sz="0" w:space="0" w:color="auto"/>
                          </w:divBdr>
                        </w:div>
                        <w:div w:id="505874098">
                          <w:marLeft w:val="0"/>
                          <w:marRight w:val="0"/>
                          <w:marTop w:val="0"/>
                          <w:marBottom w:val="0"/>
                          <w:divBdr>
                            <w:top w:val="none" w:sz="0" w:space="0" w:color="auto"/>
                            <w:left w:val="none" w:sz="0" w:space="0" w:color="auto"/>
                            <w:bottom w:val="none" w:sz="0" w:space="0" w:color="auto"/>
                            <w:right w:val="none" w:sz="0" w:space="0" w:color="auto"/>
                          </w:divBdr>
                        </w:div>
                        <w:div w:id="1442921939">
                          <w:marLeft w:val="0"/>
                          <w:marRight w:val="0"/>
                          <w:marTop w:val="0"/>
                          <w:marBottom w:val="0"/>
                          <w:divBdr>
                            <w:top w:val="none" w:sz="0" w:space="0" w:color="auto"/>
                            <w:left w:val="none" w:sz="0" w:space="0" w:color="auto"/>
                            <w:bottom w:val="none" w:sz="0" w:space="0" w:color="auto"/>
                            <w:right w:val="none" w:sz="0" w:space="0" w:color="auto"/>
                          </w:divBdr>
                        </w:div>
                        <w:div w:id="1774936857">
                          <w:marLeft w:val="0"/>
                          <w:marRight w:val="0"/>
                          <w:marTop w:val="0"/>
                          <w:marBottom w:val="0"/>
                          <w:divBdr>
                            <w:top w:val="none" w:sz="0" w:space="0" w:color="auto"/>
                            <w:left w:val="none" w:sz="0" w:space="0" w:color="auto"/>
                            <w:bottom w:val="none" w:sz="0" w:space="0" w:color="auto"/>
                            <w:right w:val="none" w:sz="0" w:space="0" w:color="auto"/>
                          </w:divBdr>
                        </w:div>
                        <w:div w:id="1324698457">
                          <w:marLeft w:val="0"/>
                          <w:marRight w:val="0"/>
                          <w:marTop w:val="0"/>
                          <w:marBottom w:val="0"/>
                          <w:divBdr>
                            <w:top w:val="none" w:sz="0" w:space="0" w:color="auto"/>
                            <w:left w:val="none" w:sz="0" w:space="0" w:color="auto"/>
                            <w:bottom w:val="none" w:sz="0" w:space="0" w:color="auto"/>
                            <w:right w:val="none" w:sz="0" w:space="0" w:color="auto"/>
                          </w:divBdr>
                        </w:div>
                        <w:div w:id="5893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869583">
      <w:bodyDiv w:val="1"/>
      <w:marLeft w:val="0"/>
      <w:marRight w:val="0"/>
      <w:marTop w:val="0"/>
      <w:marBottom w:val="0"/>
      <w:divBdr>
        <w:top w:val="none" w:sz="0" w:space="0" w:color="auto"/>
        <w:left w:val="none" w:sz="0" w:space="0" w:color="auto"/>
        <w:bottom w:val="none" w:sz="0" w:space="0" w:color="auto"/>
        <w:right w:val="none" w:sz="0" w:space="0" w:color="auto"/>
      </w:divBdr>
      <w:divsChild>
        <w:div w:id="682165217">
          <w:marLeft w:val="0"/>
          <w:marRight w:val="0"/>
          <w:marTop w:val="0"/>
          <w:marBottom w:val="0"/>
          <w:divBdr>
            <w:top w:val="none" w:sz="0" w:space="0" w:color="auto"/>
            <w:left w:val="none" w:sz="0" w:space="0" w:color="auto"/>
            <w:bottom w:val="none" w:sz="0" w:space="0" w:color="auto"/>
            <w:right w:val="none" w:sz="0" w:space="0" w:color="auto"/>
          </w:divBdr>
          <w:divsChild>
            <w:div w:id="1335692903">
              <w:marLeft w:val="0"/>
              <w:marRight w:val="0"/>
              <w:marTop w:val="0"/>
              <w:marBottom w:val="0"/>
              <w:divBdr>
                <w:top w:val="none" w:sz="0" w:space="0" w:color="auto"/>
                <w:left w:val="none" w:sz="0" w:space="0" w:color="auto"/>
                <w:bottom w:val="none" w:sz="0" w:space="0" w:color="auto"/>
                <w:right w:val="none" w:sz="0" w:space="0" w:color="auto"/>
              </w:divBdr>
            </w:div>
            <w:div w:id="204609181">
              <w:marLeft w:val="0"/>
              <w:marRight w:val="0"/>
              <w:marTop w:val="0"/>
              <w:marBottom w:val="0"/>
              <w:divBdr>
                <w:top w:val="none" w:sz="0" w:space="0" w:color="auto"/>
                <w:left w:val="none" w:sz="0" w:space="0" w:color="auto"/>
                <w:bottom w:val="none" w:sz="0" w:space="0" w:color="auto"/>
                <w:right w:val="none" w:sz="0" w:space="0" w:color="auto"/>
              </w:divBdr>
            </w:div>
            <w:div w:id="554973981">
              <w:marLeft w:val="0"/>
              <w:marRight w:val="0"/>
              <w:marTop w:val="0"/>
              <w:marBottom w:val="0"/>
              <w:divBdr>
                <w:top w:val="none" w:sz="0" w:space="0" w:color="auto"/>
                <w:left w:val="none" w:sz="0" w:space="0" w:color="auto"/>
                <w:bottom w:val="none" w:sz="0" w:space="0" w:color="auto"/>
                <w:right w:val="none" w:sz="0" w:space="0" w:color="auto"/>
              </w:divBdr>
            </w:div>
            <w:div w:id="1878854726">
              <w:marLeft w:val="0"/>
              <w:marRight w:val="0"/>
              <w:marTop w:val="0"/>
              <w:marBottom w:val="0"/>
              <w:divBdr>
                <w:top w:val="none" w:sz="0" w:space="0" w:color="auto"/>
                <w:left w:val="none" w:sz="0" w:space="0" w:color="auto"/>
                <w:bottom w:val="none" w:sz="0" w:space="0" w:color="auto"/>
                <w:right w:val="none" w:sz="0" w:space="0" w:color="auto"/>
              </w:divBdr>
            </w:div>
            <w:div w:id="1870101073">
              <w:marLeft w:val="0"/>
              <w:marRight w:val="0"/>
              <w:marTop w:val="0"/>
              <w:marBottom w:val="0"/>
              <w:divBdr>
                <w:top w:val="none" w:sz="0" w:space="0" w:color="auto"/>
                <w:left w:val="none" w:sz="0" w:space="0" w:color="auto"/>
                <w:bottom w:val="none" w:sz="0" w:space="0" w:color="auto"/>
                <w:right w:val="none" w:sz="0" w:space="0" w:color="auto"/>
              </w:divBdr>
            </w:div>
            <w:div w:id="478965227">
              <w:marLeft w:val="0"/>
              <w:marRight w:val="0"/>
              <w:marTop w:val="0"/>
              <w:marBottom w:val="0"/>
              <w:divBdr>
                <w:top w:val="none" w:sz="0" w:space="0" w:color="auto"/>
                <w:left w:val="none" w:sz="0" w:space="0" w:color="auto"/>
                <w:bottom w:val="none" w:sz="0" w:space="0" w:color="auto"/>
                <w:right w:val="none" w:sz="0" w:space="0" w:color="auto"/>
              </w:divBdr>
            </w:div>
            <w:div w:id="174535282">
              <w:marLeft w:val="0"/>
              <w:marRight w:val="0"/>
              <w:marTop w:val="0"/>
              <w:marBottom w:val="0"/>
              <w:divBdr>
                <w:top w:val="none" w:sz="0" w:space="0" w:color="auto"/>
                <w:left w:val="none" w:sz="0" w:space="0" w:color="auto"/>
                <w:bottom w:val="none" w:sz="0" w:space="0" w:color="auto"/>
                <w:right w:val="none" w:sz="0" w:space="0" w:color="auto"/>
              </w:divBdr>
            </w:div>
            <w:div w:id="1582521841">
              <w:marLeft w:val="0"/>
              <w:marRight w:val="0"/>
              <w:marTop w:val="0"/>
              <w:marBottom w:val="0"/>
              <w:divBdr>
                <w:top w:val="none" w:sz="0" w:space="0" w:color="auto"/>
                <w:left w:val="none" w:sz="0" w:space="0" w:color="auto"/>
                <w:bottom w:val="none" w:sz="0" w:space="0" w:color="auto"/>
                <w:right w:val="none" w:sz="0" w:space="0" w:color="auto"/>
              </w:divBdr>
            </w:div>
            <w:div w:id="3111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1818449404">
      <w:bodyDiv w:val="1"/>
      <w:marLeft w:val="0"/>
      <w:marRight w:val="0"/>
      <w:marTop w:val="0"/>
      <w:marBottom w:val="0"/>
      <w:divBdr>
        <w:top w:val="none" w:sz="0" w:space="0" w:color="auto"/>
        <w:left w:val="none" w:sz="0" w:space="0" w:color="auto"/>
        <w:bottom w:val="none" w:sz="0" w:space="0" w:color="auto"/>
        <w:right w:val="none" w:sz="0" w:space="0" w:color="auto"/>
      </w:divBdr>
      <w:divsChild>
        <w:div w:id="1939023254">
          <w:marLeft w:val="0"/>
          <w:marRight w:val="0"/>
          <w:marTop w:val="0"/>
          <w:marBottom w:val="0"/>
          <w:divBdr>
            <w:top w:val="none" w:sz="0" w:space="0" w:color="auto"/>
            <w:left w:val="none" w:sz="0" w:space="0" w:color="auto"/>
            <w:bottom w:val="none" w:sz="0" w:space="0" w:color="auto"/>
            <w:right w:val="none" w:sz="0" w:space="0" w:color="auto"/>
          </w:divBdr>
          <w:divsChild>
            <w:div w:id="1150637248">
              <w:marLeft w:val="0"/>
              <w:marRight w:val="0"/>
              <w:marTop w:val="0"/>
              <w:marBottom w:val="0"/>
              <w:divBdr>
                <w:top w:val="none" w:sz="0" w:space="0" w:color="auto"/>
                <w:left w:val="none" w:sz="0" w:space="0" w:color="auto"/>
                <w:bottom w:val="none" w:sz="0" w:space="0" w:color="auto"/>
                <w:right w:val="none" w:sz="0" w:space="0" w:color="auto"/>
              </w:divBdr>
              <w:divsChild>
                <w:div w:id="1111129972">
                  <w:marLeft w:val="0"/>
                  <w:marRight w:val="0"/>
                  <w:marTop w:val="0"/>
                  <w:marBottom w:val="0"/>
                  <w:divBdr>
                    <w:top w:val="none" w:sz="0" w:space="0" w:color="auto"/>
                    <w:left w:val="none" w:sz="0" w:space="0" w:color="auto"/>
                    <w:bottom w:val="none" w:sz="0" w:space="0" w:color="auto"/>
                    <w:right w:val="none" w:sz="0" w:space="0" w:color="auto"/>
                  </w:divBdr>
                  <w:divsChild>
                    <w:div w:id="45498821">
                      <w:marLeft w:val="0"/>
                      <w:marRight w:val="0"/>
                      <w:marTop w:val="0"/>
                      <w:marBottom w:val="0"/>
                      <w:divBdr>
                        <w:top w:val="none" w:sz="0" w:space="0" w:color="auto"/>
                        <w:left w:val="none" w:sz="0" w:space="0" w:color="auto"/>
                        <w:bottom w:val="none" w:sz="0" w:space="0" w:color="auto"/>
                        <w:right w:val="none" w:sz="0" w:space="0" w:color="auto"/>
                      </w:divBdr>
                      <w:divsChild>
                        <w:div w:id="1895848262">
                          <w:marLeft w:val="0"/>
                          <w:marRight w:val="0"/>
                          <w:marTop w:val="0"/>
                          <w:marBottom w:val="0"/>
                          <w:divBdr>
                            <w:top w:val="none" w:sz="0" w:space="0" w:color="auto"/>
                            <w:left w:val="none" w:sz="0" w:space="0" w:color="auto"/>
                            <w:bottom w:val="none" w:sz="0" w:space="0" w:color="auto"/>
                            <w:right w:val="none" w:sz="0" w:space="0" w:color="auto"/>
                          </w:divBdr>
                        </w:div>
                        <w:div w:id="1810440153">
                          <w:marLeft w:val="0"/>
                          <w:marRight w:val="0"/>
                          <w:marTop w:val="0"/>
                          <w:marBottom w:val="0"/>
                          <w:divBdr>
                            <w:top w:val="none" w:sz="0" w:space="0" w:color="auto"/>
                            <w:left w:val="none" w:sz="0" w:space="0" w:color="auto"/>
                            <w:bottom w:val="none" w:sz="0" w:space="0" w:color="auto"/>
                            <w:right w:val="none" w:sz="0" w:space="0" w:color="auto"/>
                          </w:divBdr>
                        </w:div>
                        <w:div w:id="1531332470">
                          <w:marLeft w:val="0"/>
                          <w:marRight w:val="0"/>
                          <w:marTop w:val="0"/>
                          <w:marBottom w:val="0"/>
                          <w:divBdr>
                            <w:top w:val="none" w:sz="0" w:space="0" w:color="auto"/>
                            <w:left w:val="none" w:sz="0" w:space="0" w:color="auto"/>
                            <w:bottom w:val="none" w:sz="0" w:space="0" w:color="auto"/>
                            <w:right w:val="none" w:sz="0" w:space="0" w:color="auto"/>
                          </w:divBdr>
                        </w:div>
                        <w:div w:id="294943776">
                          <w:marLeft w:val="0"/>
                          <w:marRight w:val="0"/>
                          <w:marTop w:val="0"/>
                          <w:marBottom w:val="0"/>
                          <w:divBdr>
                            <w:top w:val="none" w:sz="0" w:space="0" w:color="auto"/>
                            <w:left w:val="none" w:sz="0" w:space="0" w:color="auto"/>
                            <w:bottom w:val="none" w:sz="0" w:space="0" w:color="auto"/>
                            <w:right w:val="none" w:sz="0" w:space="0" w:color="auto"/>
                          </w:divBdr>
                        </w:div>
                        <w:div w:id="2120177229">
                          <w:marLeft w:val="0"/>
                          <w:marRight w:val="0"/>
                          <w:marTop w:val="0"/>
                          <w:marBottom w:val="0"/>
                          <w:divBdr>
                            <w:top w:val="none" w:sz="0" w:space="0" w:color="auto"/>
                            <w:left w:val="none" w:sz="0" w:space="0" w:color="auto"/>
                            <w:bottom w:val="none" w:sz="0" w:space="0" w:color="auto"/>
                            <w:right w:val="none" w:sz="0" w:space="0" w:color="auto"/>
                          </w:divBdr>
                        </w:div>
                        <w:div w:id="1938322657">
                          <w:marLeft w:val="0"/>
                          <w:marRight w:val="0"/>
                          <w:marTop w:val="0"/>
                          <w:marBottom w:val="0"/>
                          <w:divBdr>
                            <w:top w:val="none" w:sz="0" w:space="0" w:color="auto"/>
                            <w:left w:val="none" w:sz="0" w:space="0" w:color="auto"/>
                            <w:bottom w:val="none" w:sz="0" w:space="0" w:color="auto"/>
                            <w:right w:val="none" w:sz="0" w:space="0" w:color="auto"/>
                          </w:divBdr>
                        </w:div>
                        <w:div w:id="59865843">
                          <w:marLeft w:val="0"/>
                          <w:marRight w:val="0"/>
                          <w:marTop w:val="0"/>
                          <w:marBottom w:val="0"/>
                          <w:divBdr>
                            <w:top w:val="none" w:sz="0" w:space="0" w:color="auto"/>
                            <w:left w:val="none" w:sz="0" w:space="0" w:color="auto"/>
                            <w:bottom w:val="none" w:sz="0" w:space="0" w:color="auto"/>
                            <w:right w:val="none" w:sz="0" w:space="0" w:color="auto"/>
                          </w:divBdr>
                        </w:div>
                        <w:div w:id="1942949105">
                          <w:marLeft w:val="0"/>
                          <w:marRight w:val="0"/>
                          <w:marTop w:val="0"/>
                          <w:marBottom w:val="0"/>
                          <w:divBdr>
                            <w:top w:val="none" w:sz="0" w:space="0" w:color="auto"/>
                            <w:left w:val="none" w:sz="0" w:space="0" w:color="auto"/>
                            <w:bottom w:val="none" w:sz="0" w:space="0" w:color="auto"/>
                            <w:right w:val="none" w:sz="0" w:space="0" w:color="auto"/>
                          </w:divBdr>
                        </w:div>
                        <w:div w:id="2049598805">
                          <w:marLeft w:val="0"/>
                          <w:marRight w:val="0"/>
                          <w:marTop w:val="0"/>
                          <w:marBottom w:val="0"/>
                          <w:divBdr>
                            <w:top w:val="none" w:sz="0" w:space="0" w:color="auto"/>
                            <w:left w:val="none" w:sz="0" w:space="0" w:color="auto"/>
                            <w:bottom w:val="none" w:sz="0" w:space="0" w:color="auto"/>
                            <w:right w:val="none" w:sz="0" w:space="0" w:color="auto"/>
                          </w:divBdr>
                        </w:div>
                        <w:div w:id="229342200">
                          <w:marLeft w:val="0"/>
                          <w:marRight w:val="0"/>
                          <w:marTop w:val="0"/>
                          <w:marBottom w:val="0"/>
                          <w:divBdr>
                            <w:top w:val="none" w:sz="0" w:space="0" w:color="auto"/>
                            <w:left w:val="none" w:sz="0" w:space="0" w:color="auto"/>
                            <w:bottom w:val="none" w:sz="0" w:space="0" w:color="auto"/>
                            <w:right w:val="none" w:sz="0" w:space="0" w:color="auto"/>
                          </w:divBdr>
                        </w:div>
                        <w:div w:id="2032027060">
                          <w:marLeft w:val="0"/>
                          <w:marRight w:val="0"/>
                          <w:marTop w:val="0"/>
                          <w:marBottom w:val="0"/>
                          <w:divBdr>
                            <w:top w:val="none" w:sz="0" w:space="0" w:color="auto"/>
                            <w:left w:val="none" w:sz="0" w:space="0" w:color="auto"/>
                            <w:bottom w:val="none" w:sz="0" w:space="0" w:color="auto"/>
                            <w:right w:val="none" w:sz="0" w:space="0" w:color="auto"/>
                          </w:divBdr>
                        </w:div>
                        <w:div w:id="761800135">
                          <w:marLeft w:val="0"/>
                          <w:marRight w:val="0"/>
                          <w:marTop w:val="0"/>
                          <w:marBottom w:val="0"/>
                          <w:divBdr>
                            <w:top w:val="none" w:sz="0" w:space="0" w:color="auto"/>
                            <w:left w:val="none" w:sz="0" w:space="0" w:color="auto"/>
                            <w:bottom w:val="none" w:sz="0" w:space="0" w:color="auto"/>
                            <w:right w:val="none" w:sz="0" w:space="0" w:color="auto"/>
                          </w:divBdr>
                        </w:div>
                        <w:div w:id="1133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65596">
      <w:bodyDiv w:val="1"/>
      <w:marLeft w:val="0"/>
      <w:marRight w:val="0"/>
      <w:marTop w:val="0"/>
      <w:marBottom w:val="0"/>
      <w:divBdr>
        <w:top w:val="none" w:sz="0" w:space="0" w:color="auto"/>
        <w:left w:val="none" w:sz="0" w:space="0" w:color="auto"/>
        <w:bottom w:val="none" w:sz="0" w:space="0" w:color="auto"/>
        <w:right w:val="none" w:sz="0" w:space="0" w:color="auto"/>
      </w:divBdr>
      <w:divsChild>
        <w:div w:id="1005016726">
          <w:marLeft w:val="0"/>
          <w:marRight w:val="0"/>
          <w:marTop w:val="0"/>
          <w:marBottom w:val="0"/>
          <w:divBdr>
            <w:top w:val="none" w:sz="0" w:space="0" w:color="auto"/>
            <w:left w:val="none" w:sz="0" w:space="0" w:color="auto"/>
            <w:bottom w:val="none" w:sz="0" w:space="0" w:color="auto"/>
            <w:right w:val="none" w:sz="0" w:space="0" w:color="auto"/>
          </w:divBdr>
          <w:divsChild>
            <w:div w:id="1781144880">
              <w:marLeft w:val="0"/>
              <w:marRight w:val="0"/>
              <w:marTop w:val="0"/>
              <w:marBottom w:val="0"/>
              <w:divBdr>
                <w:top w:val="none" w:sz="0" w:space="0" w:color="auto"/>
                <w:left w:val="none" w:sz="0" w:space="0" w:color="auto"/>
                <w:bottom w:val="none" w:sz="0" w:space="0" w:color="auto"/>
                <w:right w:val="none" w:sz="0" w:space="0" w:color="auto"/>
              </w:divBdr>
              <w:divsChild>
                <w:div w:id="1215583708">
                  <w:marLeft w:val="0"/>
                  <w:marRight w:val="0"/>
                  <w:marTop w:val="0"/>
                  <w:marBottom w:val="0"/>
                  <w:divBdr>
                    <w:top w:val="none" w:sz="0" w:space="0" w:color="auto"/>
                    <w:left w:val="none" w:sz="0" w:space="0" w:color="auto"/>
                    <w:bottom w:val="none" w:sz="0" w:space="0" w:color="auto"/>
                    <w:right w:val="none" w:sz="0" w:space="0" w:color="auto"/>
                  </w:divBdr>
                  <w:divsChild>
                    <w:div w:id="1124692862">
                      <w:marLeft w:val="0"/>
                      <w:marRight w:val="0"/>
                      <w:marTop w:val="0"/>
                      <w:marBottom w:val="0"/>
                      <w:divBdr>
                        <w:top w:val="none" w:sz="0" w:space="0" w:color="auto"/>
                        <w:left w:val="none" w:sz="0" w:space="0" w:color="auto"/>
                        <w:bottom w:val="none" w:sz="0" w:space="0" w:color="auto"/>
                        <w:right w:val="none" w:sz="0" w:space="0" w:color="auto"/>
                      </w:divBdr>
                      <w:divsChild>
                        <w:div w:id="1671983417">
                          <w:marLeft w:val="0"/>
                          <w:marRight w:val="0"/>
                          <w:marTop w:val="0"/>
                          <w:marBottom w:val="0"/>
                          <w:divBdr>
                            <w:top w:val="none" w:sz="0" w:space="0" w:color="auto"/>
                            <w:left w:val="none" w:sz="0" w:space="0" w:color="auto"/>
                            <w:bottom w:val="none" w:sz="0" w:space="0" w:color="auto"/>
                            <w:right w:val="none" w:sz="0" w:space="0" w:color="auto"/>
                          </w:divBdr>
                        </w:div>
                        <w:div w:id="857694964">
                          <w:marLeft w:val="0"/>
                          <w:marRight w:val="0"/>
                          <w:marTop w:val="0"/>
                          <w:marBottom w:val="0"/>
                          <w:divBdr>
                            <w:top w:val="none" w:sz="0" w:space="0" w:color="auto"/>
                            <w:left w:val="none" w:sz="0" w:space="0" w:color="auto"/>
                            <w:bottom w:val="none" w:sz="0" w:space="0" w:color="auto"/>
                            <w:right w:val="none" w:sz="0" w:space="0" w:color="auto"/>
                          </w:divBdr>
                        </w:div>
                        <w:div w:id="1476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761359">
      <w:bodyDiv w:val="1"/>
      <w:marLeft w:val="0"/>
      <w:marRight w:val="0"/>
      <w:marTop w:val="0"/>
      <w:marBottom w:val="0"/>
      <w:divBdr>
        <w:top w:val="none" w:sz="0" w:space="0" w:color="auto"/>
        <w:left w:val="none" w:sz="0" w:space="0" w:color="auto"/>
        <w:bottom w:val="none" w:sz="0" w:space="0" w:color="auto"/>
        <w:right w:val="none" w:sz="0" w:space="0" w:color="auto"/>
      </w:divBdr>
      <w:divsChild>
        <w:div w:id="1580600004">
          <w:marLeft w:val="0"/>
          <w:marRight w:val="0"/>
          <w:marTop w:val="0"/>
          <w:marBottom w:val="0"/>
          <w:divBdr>
            <w:top w:val="none" w:sz="0" w:space="0" w:color="auto"/>
            <w:left w:val="none" w:sz="0" w:space="0" w:color="auto"/>
            <w:bottom w:val="none" w:sz="0" w:space="0" w:color="auto"/>
            <w:right w:val="none" w:sz="0" w:space="0" w:color="auto"/>
          </w:divBdr>
          <w:divsChild>
            <w:div w:id="700016416">
              <w:marLeft w:val="0"/>
              <w:marRight w:val="0"/>
              <w:marTop w:val="0"/>
              <w:marBottom w:val="0"/>
              <w:divBdr>
                <w:top w:val="none" w:sz="0" w:space="0" w:color="auto"/>
                <w:left w:val="none" w:sz="0" w:space="0" w:color="auto"/>
                <w:bottom w:val="none" w:sz="0" w:space="0" w:color="auto"/>
                <w:right w:val="none" w:sz="0" w:space="0" w:color="auto"/>
              </w:divBdr>
            </w:div>
            <w:div w:id="1341278404">
              <w:marLeft w:val="0"/>
              <w:marRight w:val="0"/>
              <w:marTop w:val="0"/>
              <w:marBottom w:val="0"/>
              <w:divBdr>
                <w:top w:val="none" w:sz="0" w:space="0" w:color="auto"/>
                <w:left w:val="none" w:sz="0" w:space="0" w:color="auto"/>
                <w:bottom w:val="none" w:sz="0" w:space="0" w:color="auto"/>
                <w:right w:val="none" w:sz="0" w:space="0" w:color="auto"/>
              </w:divBdr>
            </w:div>
            <w:div w:id="744038163">
              <w:marLeft w:val="0"/>
              <w:marRight w:val="0"/>
              <w:marTop w:val="0"/>
              <w:marBottom w:val="0"/>
              <w:divBdr>
                <w:top w:val="none" w:sz="0" w:space="0" w:color="auto"/>
                <w:left w:val="none" w:sz="0" w:space="0" w:color="auto"/>
                <w:bottom w:val="none" w:sz="0" w:space="0" w:color="auto"/>
                <w:right w:val="none" w:sz="0" w:space="0" w:color="auto"/>
              </w:divBdr>
            </w:div>
            <w:div w:id="700129458">
              <w:marLeft w:val="0"/>
              <w:marRight w:val="0"/>
              <w:marTop w:val="0"/>
              <w:marBottom w:val="0"/>
              <w:divBdr>
                <w:top w:val="none" w:sz="0" w:space="0" w:color="auto"/>
                <w:left w:val="none" w:sz="0" w:space="0" w:color="auto"/>
                <w:bottom w:val="none" w:sz="0" w:space="0" w:color="auto"/>
                <w:right w:val="none" w:sz="0" w:space="0" w:color="auto"/>
              </w:divBdr>
            </w:div>
            <w:div w:id="1679038060">
              <w:marLeft w:val="0"/>
              <w:marRight w:val="0"/>
              <w:marTop w:val="0"/>
              <w:marBottom w:val="0"/>
              <w:divBdr>
                <w:top w:val="none" w:sz="0" w:space="0" w:color="auto"/>
                <w:left w:val="none" w:sz="0" w:space="0" w:color="auto"/>
                <w:bottom w:val="none" w:sz="0" w:space="0" w:color="auto"/>
                <w:right w:val="none" w:sz="0" w:space="0" w:color="auto"/>
              </w:divBdr>
            </w:div>
            <w:div w:id="865293474">
              <w:marLeft w:val="0"/>
              <w:marRight w:val="0"/>
              <w:marTop w:val="0"/>
              <w:marBottom w:val="0"/>
              <w:divBdr>
                <w:top w:val="none" w:sz="0" w:space="0" w:color="auto"/>
                <w:left w:val="none" w:sz="0" w:space="0" w:color="auto"/>
                <w:bottom w:val="none" w:sz="0" w:space="0" w:color="auto"/>
                <w:right w:val="none" w:sz="0" w:space="0" w:color="auto"/>
              </w:divBdr>
            </w:div>
            <w:div w:id="1965237159">
              <w:marLeft w:val="0"/>
              <w:marRight w:val="0"/>
              <w:marTop w:val="0"/>
              <w:marBottom w:val="0"/>
              <w:divBdr>
                <w:top w:val="none" w:sz="0" w:space="0" w:color="auto"/>
                <w:left w:val="none" w:sz="0" w:space="0" w:color="auto"/>
                <w:bottom w:val="none" w:sz="0" w:space="0" w:color="auto"/>
                <w:right w:val="none" w:sz="0" w:space="0" w:color="auto"/>
              </w:divBdr>
            </w:div>
            <w:div w:id="1618364501">
              <w:marLeft w:val="0"/>
              <w:marRight w:val="0"/>
              <w:marTop w:val="0"/>
              <w:marBottom w:val="0"/>
              <w:divBdr>
                <w:top w:val="none" w:sz="0" w:space="0" w:color="auto"/>
                <w:left w:val="none" w:sz="0" w:space="0" w:color="auto"/>
                <w:bottom w:val="none" w:sz="0" w:space="0" w:color="auto"/>
                <w:right w:val="none" w:sz="0" w:space="0" w:color="auto"/>
              </w:divBdr>
            </w:div>
            <w:div w:id="205879210">
              <w:marLeft w:val="0"/>
              <w:marRight w:val="0"/>
              <w:marTop w:val="0"/>
              <w:marBottom w:val="0"/>
              <w:divBdr>
                <w:top w:val="none" w:sz="0" w:space="0" w:color="auto"/>
                <w:left w:val="none" w:sz="0" w:space="0" w:color="auto"/>
                <w:bottom w:val="none" w:sz="0" w:space="0" w:color="auto"/>
                <w:right w:val="none" w:sz="0" w:space="0" w:color="auto"/>
              </w:divBdr>
            </w:div>
            <w:div w:id="1386833268">
              <w:marLeft w:val="0"/>
              <w:marRight w:val="0"/>
              <w:marTop w:val="0"/>
              <w:marBottom w:val="0"/>
              <w:divBdr>
                <w:top w:val="none" w:sz="0" w:space="0" w:color="auto"/>
                <w:left w:val="none" w:sz="0" w:space="0" w:color="auto"/>
                <w:bottom w:val="none" w:sz="0" w:space="0" w:color="auto"/>
                <w:right w:val="none" w:sz="0" w:space="0" w:color="auto"/>
              </w:divBdr>
            </w:div>
            <w:div w:id="8468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43DB-EEE1-4790-A80A-F1517F9E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6298</Words>
  <Characters>3590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2021-04-08T12:44:00Z</dcterms:created>
  <dc:creator>Paulė Svorobovičienė</dc:creator>
  <cp:lastModifiedBy>Asta Nareckaite</cp:lastModifiedBy>
  <cp:lastPrinted>2019-06-20T10:22:00Z</cp:lastPrinted>
  <dcterms:modified xsi:type="dcterms:W3CDTF">2021-05-24T13:11:00Z</dcterms:modified>
  <cp:revision>32</cp:revision>
</cp:coreProperties>
</file>