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7F" w:rsidRPr="0063764E" w:rsidRDefault="004B217F">
      <w:pPr>
        <w:pStyle w:val="BodyA"/>
        <w:keepNext/>
        <w:jc w:val="center"/>
        <w:outlineLvl w:val="3"/>
        <w:rPr>
          <w:rFonts w:hAnsi="Times New Roman" w:cs="Times New Roman"/>
          <w:caps/>
          <w:lang w:val="lt-LT"/>
        </w:rPr>
      </w:pPr>
    </w:p>
    <w:p w:rsidR="00442FF4" w:rsidRPr="0063764E" w:rsidRDefault="00EE1216">
      <w:pPr>
        <w:pStyle w:val="BodyA"/>
        <w:jc w:val="center"/>
        <w:rPr>
          <w:rFonts w:hAnsi="Times New Roman" w:cs="Times New Roman"/>
          <w:lang w:val="lt-LT"/>
        </w:rPr>
      </w:pPr>
      <w:r w:rsidRPr="0063764E">
        <w:rPr>
          <w:rFonts w:hAnsi="Times New Roman" w:cs="Times New Roman"/>
          <w:lang w:val="lt-LT"/>
        </w:rPr>
        <w:t>VYRIAUSYBĖS EUROPOS SĄJUNGO</w:t>
      </w:r>
      <w:r w:rsidR="00442FF4" w:rsidRPr="0063764E">
        <w:rPr>
          <w:rFonts w:hAnsi="Times New Roman" w:cs="Times New Roman"/>
          <w:lang w:val="lt-LT"/>
        </w:rPr>
        <w:t>S KOMISIJOJE SVARSTOMO KLAUSIMO</w:t>
      </w:r>
    </w:p>
    <w:p w:rsidR="004B217F" w:rsidRPr="0063764E" w:rsidRDefault="00EE1216">
      <w:pPr>
        <w:pStyle w:val="BodyA"/>
        <w:jc w:val="center"/>
        <w:rPr>
          <w:rFonts w:eastAsia="Times New Roman Bold" w:hAnsi="Times New Roman" w:cs="Times New Roman"/>
          <w:lang w:val="lt-LT"/>
        </w:rPr>
      </w:pPr>
      <w:r w:rsidRPr="0063764E">
        <w:rPr>
          <w:rFonts w:hAnsi="Times New Roman" w:cs="Times New Roman"/>
          <w:lang w:val="lt-LT"/>
        </w:rPr>
        <w:t>PAŽYMOS TIPINĖ STRUKTŪRA</w:t>
      </w:r>
    </w:p>
    <w:p w:rsidR="004B217F" w:rsidRPr="0063764E" w:rsidRDefault="004B217F">
      <w:pPr>
        <w:pStyle w:val="BodyA"/>
        <w:rPr>
          <w:rFonts w:eastAsia="Times New Roman Bold" w:hAnsi="Times New Roman" w:cs="Times New Roman"/>
          <w:lang w:val="lt-LT"/>
        </w:rPr>
      </w:pPr>
    </w:p>
    <w:p w:rsidR="003C4B90" w:rsidRPr="0063764E" w:rsidRDefault="00EE1216">
      <w:pPr>
        <w:pStyle w:val="BodyA"/>
        <w:jc w:val="center"/>
        <w:rPr>
          <w:rFonts w:hAnsi="Times New Roman" w:cs="Times New Roman"/>
          <w:b/>
          <w:lang w:val="lt-LT"/>
        </w:rPr>
      </w:pPr>
      <w:r w:rsidRPr="0063764E">
        <w:rPr>
          <w:rFonts w:hAnsi="Times New Roman" w:cs="Times New Roman"/>
          <w:b/>
          <w:lang w:val="lt-LT"/>
        </w:rPr>
        <w:t xml:space="preserve">ES </w:t>
      </w:r>
      <w:r w:rsidR="002C7E0C" w:rsidRPr="0063764E">
        <w:rPr>
          <w:rFonts w:hAnsi="Times New Roman" w:cs="Times New Roman"/>
          <w:b/>
          <w:lang w:val="lt-LT"/>
        </w:rPr>
        <w:t>TEISINGUMO IR VIDAUS REIKALŲ TARYBA</w:t>
      </w:r>
    </w:p>
    <w:p w:rsidR="004B217F" w:rsidRPr="0063764E" w:rsidRDefault="003C4B90">
      <w:pPr>
        <w:pStyle w:val="BodyA"/>
        <w:jc w:val="center"/>
        <w:rPr>
          <w:rFonts w:eastAsia="Times New Roman Bold" w:hAnsi="Times New Roman" w:cs="Times New Roman"/>
          <w:b/>
          <w:lang w:val="lt-LT"/>
        </w:rPr>
      </w:pPr>
      <w:r w:rsidRPr="0063764E">
        <w:rPr>
          <w:rFonts w:hAnsi="Times New Roman" w:cs="Times New Roman"/>
          <w:b/>
          <w:lang w:val="lt-LT"/>
        </w:rPr>
        <w:t>2020 M. LAPKRIČIO 13 D., BRIUSELIS</w:t>
      </w:r>
    </w:p>
    <w:p w:rsidR="004B217F" w:rsidRPr="0063764E" w:rsidRDefault="004B217F">
      <w:pPr>
        <w:pStyle w:val="BodyA"/>
        <w:rPr>
          <w:rFonts w:eastAsia="Times New Roman Bold" w:hAnsi="Times New Roman" w:cs="Times New Roman"/>
          <w:lang w:val="lt-LT"/>
        </w:rPr>
      </w:pPr>
    </w:p>
    <w:tbl>
      <w:tblPr>
        <w:tblW w:w="9083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3"/>
      </w:tblGrid>
      <w:tr w:rsidR="004B217F" w:rsidRPr="0063764E" w:rsidTr="002C7E0C">
        <w:trPr>
          <w:trHeight w:val="920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17F" w:rsidRPr="0063764E" w:rsidRDefault="00EE1216">
            <w:pPr>
              <w:pStyle w:val="BodyA"/>
              <w:rPr>
                <w:rFonts w:hAnsi="Times New Roman" w:cs="Times New Roman"/>
                <w:b/>
                <w:u w:val="single"/>
                <w:lang w:val="lt-LT"/>
              </w:rPr>
            </w:pPr>
            <w:r w:rsidRPr="0063764E">
              <w:rPr>
                <w:rFonts w:hAnsi="Times New Roman" w:cs="Times New Roman"/>
                <w:b/>
                <w:u w:val="single"/>
                <w:lang w:val="lt-LT"/>
              </w:rPr>
              <w:t xml:space="preserve">1. ES Tarybos posėdyje svarstomas klausimas arba svarstomo pasiūlymo priimti ES teisės aktą pavadinimas ir numeris </w:t>
            </w:r>
          </w:p>
          <w:p w:rsidR="003264C9" w:rsidRPr="0063764E" w:rsidRDefault="003264C9">
            <w:pPr>
              <w:pStyle w:val="BodyA"/>
              <w:rPr>
                <w:rFonts w:hAnsi="Times New Roman" w:cs="Times New Roman"/>
                <w:lang w:val="lt-LT"/>
              </w:rPr>
            </w:pPr>
          </w:p>
          <w:p w:rsidR="003264C9" w:rsidRPr="0063764E" w:rsidRDefault="003264C9" w:rsidP="003264C9">
            <w:pPr>
              <w:rPr>
                <w:lang w:val="lt-LT"/>
              </w:rPr>
            </w:pPr>
            <w:r w:rsidRPr="0063764E">
              <w:rPr>
                <w:b/>
                <w:bCs/>
                <w:lang w:val="lt-LT"/>
              </w:rPr>
              <w:t>Naujas</w:t>
            </w:r>
            <w:r w:rsidR="003E0211" w:rsidRPr="0063764E">
              <w:rPr>
                <w:b/>
                <w:bCs/>
                <w:lang w:val="lt-LT"/>
              </w:rPr>
              <w:t>is</w:t>
            </w:r>
            <w:r w:rsidRPr="0063764E">
              <w:rPr>
                <w:b/>
                <w:bCs/>
                <w:lang w:val="lt-LT"/>
              </w:rPr>
              <w:t xml:space="preserve"> migracijos ir prieglobsčio paktas</w:t>
            </w:r>
          </w:p>
          <w:p w:rsidR="003264C9" w:rsidRPr="0063764E" w:rsidRDefault="003E0211" w:rsidP="003E0211">
            <w:pPr>
              <w:pStyle w:val="Sraopastraipa"/>
              <w:numPr>
                <w:ilvl w:val="0"/>
                <w:numId w:val="38"/>
              </w:numPr>
              <w:rPr>
                <w:rFonts w:hAnsi="Times New Roman" w:cs="Times New Roman"/>
                <w:lang w:val="lt-LT"/>
              </w:rPr>
            </w:pPr>
            <w:r w:rsidRPr="0063764E">
              <w:rPr>
                <w:rFonts w:hAnsi="Times New Roman" w:cs="Times New Roman"/>
                <w:i/>
                <w:lang w:val="lt-LT"/>
              </w:rPr>
              <w:t>Politinė diskusija</w:t>
            </w:r>
          </w:p>
        </w:tc>
      </w:tr>
    </w:tbl>
    <w:p w:rsidR="004B217F" w:rsidRPr="0063764E" w:rsidRDefault="004B217F">
      <w:pPr>
        <w:pStyle w:val="BodyA"/>
        <w:rPr>
          <w:rFonts w:eastAsia="Times New Roman Bold" w:hAnsi="Times New Roman" w:cs="Times New Roman"/>
          <w:lang w:val="lt-LT"/>
        </w:rPr>
      </w:pPr>
    </w:p>
    <w:tbl>
      <w:tblPr>
        <w:tblW w:w="9072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B217F" w:rsidRPr="0063764E" w:rsidTr="00B725DF">
        <w:trPr>
          <w:trHeight w:val="6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4B217F" w:rsidRPr="0063764E" w:rsidRDefault="00EE1216" w:rsidP="004360A1">
            <w:pPr>
              <w:pStyle w:val="BodyA"/>
              <w:tabs>
                <w:tab w:val="left" w:pos="-222"/>
              </w:tabs>
              <w:ind w:hanging="222"/>
              <w:rPr>
                <w:rFonts w:hAnsi="Times New Roman" w:cs="Times New Roman"/>
                <w:b/>
                <w:u w:val="single"/>
                <w:lang w:val="lt-LT"/>
              </w:rPr>
            </w:pPr>
            <w:r w:rsidRPr="0063764E">
              <w:rPr>
                <w:rFonts w:hAnsi="Times New Roman" w:cs="Times New Roman"/>
                <w:b/>
                <w:u w:val="single"/>
                <w:lang w:val="lt-LT"/>
              </w:rPr>
              <w:t>2.</w:t>
            </w:r>
            <w:r w:rsidRPr="0063764E">
              <w:rPr>
                <w:rFonts w:hAnsi="Times New Roman" w:cs="Times New Roman"/>
                <w:b/>
                <w:u w:val="single"/>
                <w:lang w:val="lt-LT"/>
              </w:rPr>
              <w:tab/>
              <w:t>Klausimo esmė</w:t>
            </w:r>
          </w:p>
          <w:p w:rsidR="002C7E0C" w:rsidRPr="0063764E" w:rsidRDefault="002C7E0C" w:rsidP="002C7E0C">
            <w:pPr>
              <w:pStyle w:val="BodyA"/>
              <w:tabs>
                <w:tab w:val="left" w:pos="-222"/>
              </w:tabs>
              <w:ind w:left="-222"/>
              <w:jc w:val="both"/>
              <w:rPr>
                <w:rFonts w:hAnsi="Times New Roman" w:cs="Times New Roman"/>
                <w:lang w:val="lt-LT"/>
              </w:rPr>
            </w:pPr>
          </w:p>
          <w:p w:rsidR="00E547E9" w:rsidRPr="0063764E" w:rsidRDefault="002C7E0C" w:rsidP="00E547E9">
            <w:pPr>
              <w:pStyle w:val="BodyA"/>
              <w:tabs>
                <w:tab w:val="left" w:pos="-222"/>
              </w:tabs>
              <w:ind w:left="-221"/>
              <w:jc w:val="both"/>
              <w:rPr>
                <w:rStyle w:val="tlid-translation"/>
                <w:rFonts w:hAnsi="Times New Roman" w:cs="Times New Roman"/>
                <w:lang w:val="lt-LT"/>
              </w:rPr>
            </w:pPr>
            <w:r w:rsidRPr="0063764E">
              <w:rPr>
                <w:rStyle w:val="tlid-translation"/>
                <w:rFonts w:hAnsi="Times New Roman" w:cs="Times New Roman"/>
                <w:lang w:val="lt-LT"/>
              </w:rPr>
              <w:t>Š. m. rugsėjo 23 d. Europos Komisija pristatė naująjį Migracijos ir prieglobsčio paktą (toliau – Paktas). Paktas apima įvairius elementus, reikalingus visapusiškam Europos požiūr</w:t>
            </w:r>
            <w:r w:rsidR="003E0211" w:rsidRPr="0063764E">
              <w:rPr>
                <w:rStyle w:val="tlid-translation"/>
                <w:rFonts w:hAnsi="Times New Roman" w:cs="Times New Roman"/>
                <w:lang w:val="lt-LT"/>
              </w:rPr>
              <w:t>iui į migracijos valdymą. Pakte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 </w:t>
            </w:r>
            <w:r w:rsidR="003E0211" w:rsidRPr="0063764E">
              <w:rPr>
                <w:rStyle w:val="tlid-translation"/>
                <w:rFonts w:hAnsi="Times New Roman" w:cs="Times New Roman"/>
                <w:lang w:val="lt-LT"/>
              </w:rPr>
              <w:t>išdėstytas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 nauj</w:t>
            </w:r>
            <w:r w:rsidR="003E0211" w:rsidRPr="0063764E">
              <w:rPr>
                <w:rStyle w:val="tlid-translation"/>
                <w:rFonts w:hAnsi="Times New Roman" w:cs="Times New Roman"/>
                <w:lang w:val="lt-LT"/>
              </w:rPr>
              <w:t>as Komisijos požiūris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 į migraciją, integruojant</w:t>
            </w:r>
            <w:r w:rsidR="003E0211" w:rsidRPr="0063764E">
              <w:rPr>
                <w:rStyle w:val="tlid-translation"/>
                <w:rFonts w:hAnsi="Times New Roman" w:cs="Times New Roman"/>
                <w:lang w:val="lt-LT"/>
              </w:rPr>
              <w:t>is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 migracijos polit</w:t>
            </w:r>
            <w:r w:rsidR="003E0211" w:rsidRPr="0063764E">
              <w:rPr>
                <w:rStyle w:val="tlid-translation"/>
                <w:rFonts w:hAnsi="Times New Roman" w:cs="Times New Roman"/>
                <w:lang w:val="lt-LT"/>
              </w:rPr>
              <w:t>ikos vidaus ir išorės aspektus, apimantis skirtingas teisines ir neteisine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s priemon</w:t>
            </w:r>
            <w:r w:rsidR="003E0211" w:rsidRPr="0063764E">
              <w:rPr>
                <w:rStyle w:val="tlid-translation"/>
                <w:rFonts w:hAnsi="Times New Roman" w:cs="Times New Roman"/>
                <w:lang w:val="lt-LT"/>
              </w:rPr>
              <w:t>e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s, ir apibrėžiama, kokių priemonių Komisija imasi dar šiandien bei kokių numačiusi imtis vėliau.</w:t>
            </w:r>
          </w:p>
          <w:p w:rsidR="003E0211" w:rsidRPr="0063764E" w:rsidRDefault="003E0211" w:rsidP="00E547E9">
            <w:pPr>
              <w:pStyle w:val="BodyA"/>
              <w:tabs>
                <w:tab w:val="left" w:pos="-222"/>
              </w:tabs>
              <w:ind w:left="-221"/>
              <w:jc w:val="both"/>
              <w:rPr>
                <w:rFonts w:hAnsi="Times New Roman" w:cs="Times New Roman"/>
                <w:lang w:val="lt-LT"/>
              </w:rPr>
            </w:pPr>
            <w:r w:rsidRPr="0063764E">
              <w:rPr>
                <w:rFonts w:hAnsi="Times New Roman" w:cs="Times New Roman"/>
                <w:b/>
                <w:lang w:val="lt-LT"/>
              </w:rPr>
              <w:t>D</w:t>
            </w:r>
            <w:r w:rsidR="000E1695" w:rsidRPr="0063764E">
              <w:rPr>
                <w:rFonts w:hAnsi="Times New Roman" w:cs="Times New Roman"/>
                <w:b/>
                <w:lang w:val="lt-LT"/>
              </w:rPr>
              <w:t>okumentas</w:t>
            </w:r>
            <w:r w:rsidRPr="0063764E">
              <w:rPr>
                <w:rFonts w:hAnsi="Times New Roman" w:cs="Times New Roman"/>
                <w:b/>
                <w:lang w:val="lt-LT"/>
              </w:rPr>
              <w:t xml:space="preserve"> ministrų diskusijai</w:t>
            </w:r>
            <w:r w:rsidR="000E1695" w:rsidRPr="0063764E">
              <w:rPr>
                <w:rFonts w:hAnsi="Times New Roman" w:cs="Times New Roman"/>
                <w:b/>
                <w:lang w:val="lt-LT"/>
              </w:rPr>
              <w:t xml:space="preserve"> </w:t>
            </w:r>
            <w:r w:rsidRPr="0063764E">
              <w:rPr>
                <w:rFonts w:hAnsi="Times New Roman" w:cs="Times New Roman"/>
                <w:lang w:val="lt-LT"/>
              </w:rPr>
              <w:t>savo esme atitinka Tarybos išvadų formą</w:t>
            </w:r>
            <w:r w:rsidR="00E547E9" w:rsidRPr="0063764E">
              <w:rPr>
                <w:rFonts w:hAnsi="Times New Roman" w:cs="Times New Roman"/>
                <w:lang w:val="lt-LT"/>
              </w:rPr>
              <w:t xml:space="preserve"> ir yra pavadintas „politiniu supratimu“ (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Political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understanding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on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key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elements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of a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European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migration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and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asylum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policy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and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the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way</w:t>
            </w:r>
            <w:proofErr w:type="spellEnd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 xml:space="preserve"> </w:t>
            </w:r>
            <w:proofErr w:type="spellStart"/>
            <w:r w:rsidR="00E547E9" w:rsidRPr="0063764E">
              <w:rPr>
                <w:rFonts w:hAnsi="Times New Roman" w:cs="Times New Roman"/>
                <w:bCs/>
                <w:i/>
                <w:lang w:val="lt-LT"/>
              </w:rPr>
              <w:t>forward</w:t>
            </w:r>
            <w:proofErr w:type="spellEnd"/>
            <w:r w:rsidR="00E547E9" w:rsidRPr="0063764E">
              <w:rPr>
                <w:rFonts w:hAnsi="Times New Roman" w:cs="Times New Roman"/>
                <w:b/>
                <w:bCs/>
                <w:lang w:val="lt-LT"/>
              </w:rPr>
              <w:t>)</w:t>
            </w:r>
            <w:r w:rsidRPr="0063764E">
              <w:rPr>
                <w:rFonts w:hAnsi="Times New Roman" w:cs="Times New Roman"/>
                <w:lang w:val="lt-LT"/>
              </w:rPr>
              <w:t xml:space="preserve">. Jame išdėstyti esminiai </w:t>
            </w:r>
            <w:r w:rsidR="00E547E9" w:rsidRPr="0063764E">
              <w:rPr>
                <w:rFonts w:hAnsi="Times New Roman" w:cs="Times New Roman"/>
                <w:lang w:val="lt-LT"/>
              </w:rPr>
              <w:t>migracijos ir prieglobsčio politikos elementai</w:t>
            </w:r>
            <w:r w:rsidRPr="0063764E">
              <w:rPr>
                <w:rFonts w:hAnsi="Times New Roman" w:cs="Times New Roman"/>
                <w:lang w:val="lt-LT"/>
              </w:rPr>
              <w:t xml:space="preserve">, dėl kurių valstybės narės (VN) sutaria ir dėl kurių dar reikia papildomai diskutuoti. Atsižvelgiant į ministrų diskusijos rezultatus, bus rengiamas „politinio susitarimo“ tekstas gruodžio 4 d. TVR tarybai. </w:t>
            </w:r>
          </w:p>
          <w:p w:rsidR="00056429" w:rsidRPr="0063764E" w:rsidRDefault="0011594A" w:rsidP="00E547E9">
            <w:pPr>
              <w:pStyle w:val="BodyA"/>
              <w:tabs>
                <w:tab w:val="left" w:pos="-222"/>
              </w:tabs>
              <w:ind w:left="-221"/>
              <w:jc w:val="both"/>
              <w:rPr>
                <w:rFonts w:hAnsi="Times New Roman" w:cs="Times New Roman"/>
                <w:lang w:val="lt-LT"/>
              </w:rPr>
            </w:pPr>
            <w:r w:rsidRPr="0063764E">
              <w:rPr>
                <w:rFonts w:hAnsi="Times New Roman" w:cs="Times New Roman"/>
                <w:lang w:val="lt-LT"/>
              </w:rPr>
              <w:t xml:space="preserve">Pirmas diskusinio dokumento projektas </w:t>
            </w:r>
            <w:r w:rsidR="00444377" w:rsidRPr="0063764E">
              <w:rPr>
                <w:rFonts w:hAnsi="Times New Roman" w:cs="Times New Roman"/>
                <w:lang w:val="lt-LT"/>
              </w:rPr>
              <w:t xml:space="preserve">2020 m. spalio 30 d. </w:t>
            </w:r>
            <w:r w:rsidRPr="0063764E">
              <w:rPr>
                <w:rFonts w:hAnsi="Times New Roman" w:cs="Times New Roman"/>
                <w:lang w:val="lt-LT"/>
              </w:rPr>
              <w:t xml:space="preserve">buvo svarstomas </w:t>
            </w:r>
            <w:r w:rsidR="004E3E97" w:rsidRPr="0063764E">
              <w:rPr>
                <w:rFonts w:hAnsi="Times New Roman" w:cs="Times New Roman"/>
                <w:lang w:val="lt-LT"/>
              </w:rPr>
              <w:t xml:space="preserve">ES </w:t>
            </w:r>
            <w:r w:rsidR="00444377" w:rsidRPr="0063764E">
              <w:rPr>
                <w:rFonts w:hAnsi="Times New Roman" w:cs="Times New Roman"/>
                <w:lang w:val="lt-LT"/>
              </w:rPr>
              <w:t>Tarybos Migracijos, sienų ir prieglobsčio strateginio komiteto (SCIFA) posėd</w:t>
            </w:r>
            <w:r w:rsidRPr="0063764E">
              <w:rPr>
                <w:rFonts w:hAnsi="Times New Roman" w:cs="Times New Roman"/>
                <w:lang w:val="lt-LT"/>
              </w:rPr>
              <w:t xml:space="preserve">yje. </w:t>
            </w:r>
            <w:r w:rsidR="00056429" w:rsidRPr="0063764E">
              <w:rPr>
                <w:rFonts w:hAnsi="Times New Roman" w:cs="Times New Roman"/>
                <w:lang w:val="lt-LT"/>
              </w:rPr>
              <w:t xml:space="preserve">VN </w:t>
            </w:r>
            <w:r w:rsidRPr="0063764E">
              <w:rPr>
                <w:rFonts w:hAnsi="Times New Roman" w:cs="Times New Roman"/>
                <w:lang w:val="lt-LT"/>
              </w:rPr>
              <w:t xml:space="preserve">buvo </w:t>
            </w:r>
            <w:r w:rsidR="00056429" w:rsidRPr="0063764E">
              <w:rPr>
                <w:rFonts w:hAnsi="Times New Roman" w:cs="Times New Roman"/>
                <w:lang w:val="lt-LT"/>
              </w:rPr>
              <w:t>kviečiamos pasisakyti pagal Pirmininkaujančios šalies išskirtu</w:t>
            </w:r>
            <w:r w:rsidRPr="0063764E">
              <w:rPr>
                <w:rFonts w:hAnsi="Times New Roman" w:cs="Times New Roman"/>
                <w:lang w:val="lt-LT"/>
              </w:rPr>
              <w:t xml:space="preserve">s esminius diskusinius aspektus – solidarumo mechanizmas (perkėlimai, grąžinimo </w:t>
            </w:r>
            <w:proofErr w:type="spellStart"/>
            <w:r w:rsidRPr="0063764E">
              <w:rPr>
                <w:rFonts w:hAnsi="Times New Roman" w:cs="Times New Roman"/>
                <w:lang w:val="lt-LT"/>
              </w:rPr>
              <w:t>sponsorystė</w:t>
            </w:r>
            <w:proofErr w:type="spellEnd"/>
            <w:r w:rsidRPr="0063764E">
              <w:rPr>
                <w:rFonts w:hAnsi="Times New Roman" w:cs="Times New Roman"/>
                <w:lang w:val="lt-LT"/>
              </w:rPr>
              <w:t>, privalomumas, sprendimų priėmimas), taip pat sienos procedūros bei grąžinimo politikos efektyvumas.</w:t>
            </w:r>
            <w:r w:rsidR="00B62F0B" w:rsidRPr="0063764E">
              <w:rPr>
                <w:rFonts w:hAnsi="Times New Roman" w:cs="Times New Roman"/>
                <w:lang w:val="lt-LT"/>
              </w:rPr>
              <w:t xml:space="preserve"> Po SCIFA dokumentas buvo pakoreguotas pagal kai kuriuos valstybių narių siūlymus ir toliau dar bus svarstomas lapkričio 6 dienos COREPER II.</w:t>
            </w:r>
          </w:p>
          <w:p w:rsidR="000E1695" w:rsidRPr="0063764E" w:rsidRDefault="000E1695" w:rsidP="00E547E9">
            <w:pPr>
              <w:pStyle w:val="BodyA"/>
              <w:tabs>
                <w:tab w:val="left" w:pos="-222"/>
              </w:tabs>
              <w:ind w:left="-222"/>
              <w:jc w:val="both"/>
              <w:rPr>
                <w:rFonts w:hAnsi="Times New Roman" w:cs="Times New Roman"/>
                <w:lang w:val="lt-LT"/>
              </w:rPr>
            </w:pPr>
          </w:p>
        </w:tc>
      </w:tr>
    </w:tbl>
    <w:p w:rsidR="004B217F" w:rsidRPr="0063764E" w:rsidRDefault="004B217F">
      <w:pPr>
        <w:pStyle w:val="BodyA"/>
        <w:rPr>
          <w:rFonts w:hAnsi="Times New Roman" w:cs="Times New Roman"/>
          <w:lang w:val="lt-LT"/>
        </w:rPr>
      </w:pPr>
    </w:p>
    <w:tbl>
      <w:tblPr>
        <w:tblW w:w="9072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B217F" w:rsidRPr="0063764E" w:rsidTr="00B725DF">
        <w:trPr>
          <w:trHeight w:val="6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4B217F" w:rsidRPr="0063764E" w:rsidRDefault="00EE1216" w:rsidP="004360A1">
            <w:pPr>
              <w:pStyle w:val="BodyA"/>
              <w:tabs>
                <w:tab w:val="left" w:pos="284"/>
              </w:tabs>
              <w:ind w:left="284" w:hanging="506"/>
              <w:rPr>
                <w:rFonts w:hAnsi="Times New Roman" w:cs="Times New Roman"/>
                <w:b/>
                <w:u w:val="single"/>
                <w:lang w:val="lt-LT"/>
              </w:rPr>
            </w:pPr>
            <w:r w:rsidRPr="0063764E">
              <w:rPr>
                <w:rFonts w:hAnsi="Times New Roman" w:cs="Times New Roman"/>
                <w:b/>
                <w:u w:val="single"/>
                <w:lang w:val="lt-LT"/>
              </w:rPr>
              <w:t>3. Lietuvos pozicija</w:t>
            </w:r>
            <w:r w:rsidR="009D0CCE" w:rsidRPr="0063764E">
              <w:rPr>
                <w:rFonts w:hAnsi="Times New Roman" w:cs="Times New Roman"/>
                <w:b/>
                <w:u w:val="single"/>
                <w:lang w:val="lt-LT"/>
              </w:rPr>
              <w:t xml:space="preserve"> (</w:t>
            </w:r>
            <w:r w:rsidR="007B2A12" w:rsidRPr="0063764E">
              <w:rPr>
                <w:rFonts w:hAnsi="Times New Roman" w:cs="Times New Roman"/>
                <w:b/>
                <w:u w:val="single"/>
                <w:lang w:val="lt-LT"/>
              </w:rPr>
              <w:t xml:space="preserve">2020-11-06 COREPER II </w:t>
            </w:r>
            <w:r w:rsidR="009D0CCE" w:rsidRPr="0063764E">
              <w:rPr>
                <w:rFonts w:hAnsi="Times New Roman" w:cs="Times New Roman"/>
                <w:b/>
                <w:u w:val="single"/>
                <w:lang w:val="lt-LT"/>
              </w:rPr>
              <w:t>diskusinio dokumento pagrindu)</w:t>
            </w:r>
          </w:p>
          <w:p w:rsidR="000A31E7" w:rsidRPr="0063764E" w:rsidRDefault="000A31E7" w:rsidP="000A31E7">
            <w:pPr>
              <w:pStyle w:val="BodyA"/>
              <w:tabs>
                <w:tab w:val="left" w:pos="-222"/>
              </w:tabs>
              <w:jc w:val="both"/>
              <w:rPr>
                <w:rFonts w:hAnsi="Times New Roman" w:cs="Times New Roman"/>
                <w:lang w:val="lt-LT"/>
              </w:rPr>
            </w:pPr>
          </w:p>
          <w:p w:rsidR="0063764E" w:rsidRPr="0063764E" w:rsidRDefault="004E38B4" w:rsidP="00BC62D4">
            <w:pPr>
              <w:pStyle w:val="BodyA"/>
              <w:numPr>
                <w:ilvl w:val="0"/>
                <w:numId w:val="37"/>
              </w:numPr>
              <w:tabs>
                <w:tab w:val="left" w:pos="-222"/>
              </w:tabs>
              <w:ind w:left="-222" w:firstLine="0"/>
              <w:jc w:val="both"/>
              <w:rPr>
                <w:rStyle w:val="tlid-translation"/>
                <w:rFonts w:hAnsi="Times New Roman" w:cs="Times New Roman"/>
                <w:lang w:val="lt-LT"/>
              </w:rPr>
            </w:pP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Sutinkame, kad dokumentas apima pagrindinius prieglobsčio ir migracijos reformos elementus. 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>Manome, kad jame gerai atspindėtas visaapimantis požiūris į migracijos valdymą. Ypač palaikome tas nuostatas, kurios akcentuoja neteisėtos migracijos prevenciją, t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>ikslą nekurti traukos faktoriaus.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T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uo pačiu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norėtume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pabrėžti išorės dimensijos ir santykių trečiosiomis šalimis svarbą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, 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šiuo aspektu manome, kad 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prioritetas turėtų būti teikiamas 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ne tik Pietų, bet 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>ir Rytų kaimyninėms šalims, ypač turint omenyje politinį nestabilumą ir susijusius iššūkius regione.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</w:t>
            </w:r>
          </w:p>
          <w:p w:rsidR="00BC62D4" w:rsidRPr="0063764E" w:rsidRDefault="009D0CCE" w:rsidP="00BC62D4">
            <w:pPr>
              <w:pStyle w:val="BodyA"/>
              <w:numPr>
                <w:ilvl w:val="0"/>
                <w:numId w:val="37"/>
              </w:numPr>
              <w:tabs>
                <w:tab w:val="left" w:pos="-222"/>
              </w:tabs>
              <w:ind w:left="-222" w:firstLine="0"/>
              <w:jc w:val="both"/>
              <w:rPr>
                <w:rStyle w:val="tlid-translation"/>
                <w:rFonts w:hAnsi="Times New Roman" w:cs="Times New Roman"/>
                <w:lang w:val="lt-LT"/>
              </w:rPr>
            </w:pPr>
            <w:r w:rsidRPr="0063764E">
              <w:rPr>
                <w:rStyle w:val="tlid-translation"/>
                <w:rFonts w:hAnsi="Times New Roman" w:cs="Times New Roman"/>
                <w:lang w:val="lt-LT"/>
              </w:rPr>
              <w:t>Manome, kad</w:t>
            </w:r>
            <w:r w:rsidR="00DE2D88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įleidimo (</w:t>
            </w:r>
            <w:proofErr w:type="spellStart"/>
            <w:r w:rsidR="00DE2D88" w:rsidRPr="0063764E">
              <w:rPr>
                <w:rStyle w:val="tlid-translation"/>
                <w:rFonts w:hAnsi="Times New Roman" w:cs="Times New Roman"/>
                <w:i/>
                <w:lang w:val="lt-LT"/>
              </w:rPr>
              <w:t>pre-entry</w:t>
            </w:r>
            <w:proofErr w:type="spellEnd"/>
            <w:r w:rsidR="00DE2D88" w:rsidRPr="0063764E">
              <w:rPr>
                <w:rStyle w:val="tlid-translation"/>
                <w:rFonts w:hAnsi="Times New Roman" w:cs="Times New Roman"/>
                <w:lang w:val="lt-LT"/>
              </w:rPr>
              <w:t xml:space="preserve">)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procedūra </w:t>
            </w:r>
            <w:r w:rsidR="000A31E7" w:rsidRPr="0063764E">
              <w:rPr>
                <w:rFonts w:hAnsi="Times New Roman"/>
                <w:lang w:val="lt-LT"/>
              </w:rPr>
              <w:t xml:space="preserve">galėtų  būti išnaudojama efektyviau, taikant atskirus jos elementus platesniam ratui </w:t>
            </w:r>
            <w:r w:rsidR="0063764E" w:rsidRPr="0063764E">
              <w:rPr>
                <w:rFonts w:hAnsi="Times New Roman"/>
                <w:lang w:val="lt-LT"/>
              </w:rPr>
              <w:t>asmenų, pvz. sienos procedūrą taikyti</w:t>
            </w:r>
            <w:r w:rsidR="000A31E7" w:rsidRPr="0063764E">
              <w:rPr>
                <w:rFonts w:hAnsi="Times New Roman"/>
                <w:lang w:val="lt-LT"/>
              </w:rPr>
              <w:t xml:space="preserve"> </w:t>
            </w:r>
            <w:r w:rsidR="0063764E" w:rsidRPr="0063764E">
              <w:rPr>
                <w:rFonts w:hAnsi="Times New Roman"/>
                <w:lang w:val="lt-LT"/>
              </w:rPr>
              <w:t>neapsiribojant</w:t>
            </w:r>
            <w:r w:rsidR="000A31E7" w:rsidRPr="0063764E">
              <w:rPr>
                <w:rFonts w:hAnsi="Times New Roman"/>
                <w:lang w:val="lt-LT"/>
              </w:rPr>
              <w:t xml:space="preserve"> </w:t>
            </w:r>
            <w:r w:rsidR="000A31E7" w:rsidRPr="0063764E">
              <w:rPr>
                <w:rFonts w:hAnsi="Times New Roman"/>
                <w:lang w:val="lt-LT"/>
              </w:rPr>
              <w:lastRenderedPageBreak/>
              <w:t xml:space="preserve">20 proc. pripažinimo lygiu, </w:t>
            </w:r>
            <w:r w:rsidR="000A31E7" w:rsidRPr="0063764E">
              <w:rPr>
                <w:rFonts w:hAnsi="Times New Roman"/>
                <w:lang w:val="lt-LT"/>
              </w:rPr>
              <w:t xml:space="preserve">numatyti galimybę taikyti </w:t>
            </w:r>
            <w:r w:rsidR="0063764E" w:rsidRPr="0063764E">
              <w:rPr>
                <w:rFonts w:hAnsi="Times New Roman"/>
                <w:lang w:val="lt-LT"/>
              </w:rPr>
              <w:t xml:space="preserve">šią procedūrą </w:t>
            </w:r>
            <w:r w:rsidR="000A31E7" w:rsidRPr="0063764E">
              <w:rPr>
                <w:rFonts w:hAnsi="Times New Roman"/>
                <w:lang w:val="lt-LT"/>
              </w:rPr>
              <w:t xml:space="preserve">nepagristiems prašymams, taip pat </w:t>
            </w:r>
            <w:r w:rsidR="0063764E" w:rsidRPr="0063764E">
              <w:rPr>
                <w:rFonts w:hAnsi="Times New Roman"/>
                <w:lang w:val="lt-LT"/>
              </w:rPr>
              <w:t>mažinti</w:t>
            </w:r>
            <w:r w:rsidR="000A31E7" w:rsidRPr="0063764E">
              <w:rPr>
                <w:rFonts w:hAnsi="Times New Roman"/>
                <w:lang w:val="lt-LT"/>
              </w:rPr>
              <w:t xml:space="preserve"> išimčių ratą</w:t>
            </w:r>
            <w:r w:rsidR="0063764E" w:rsidRPr="0063764E">
              <w:rPr>
                <w:rFonts w:hAnsi="Times New Roman"/>
                <w:lang w:val="lt-LT"/>
              </w:rPr>
              <w:t xml:space="preserve"> (pvz. netaikyti išimties šeimoms su vaikais</w:t>
            </w:r>
            <w:r w:rsidR="000A31E7" w:rsidRPr="0063764E">
              <w:rPr>
                <w:rFonts w:hAnsi="Times New Roman"/>
                <w:lang w:val="lt-LT"/>
              </w:rPr>
              <w:t>)</w:t>
            </w:r>
            <w:r w:rsidR="000A31E7" w:rsidRPr="0063764E">
              <w:rPr>
                <w:rFonts w:hAnsi="Times New Roman"/>
                <w:lang w:val="lt-LT"/>
              </w:rPr>
              <w:t xml:space="preserve"> </w:t>
            </w:r>
            <w:r w:rsidR="0063764E" w:rsidRPr="0063764E">
              <w:rPr>
                <w:rStyle w:val="tlid-translation"/>
                <w:rFonts w:hAnsi="Times New Roman" w:cs="Times New Roman"/>
                <w:lang w:val="lt-LT"/>
              </w:rPr>
              <w:t>–</w:t>
            </w:r>
            <w:r w:rsidR="00DE2D88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tai padėtų padidinti grąžinimų skaičių, kovoti su piktnaudžiavimu ir užkirsti kelią antriniam judėjim</w:t>
            </w:r>
            <w:r w:rsidR="0063764E" w:rsidRPr="0063764E">
              <w:rPr>
                <w:rStyle w:val="tlid-translation"/>
                <w:rFonts w:hAnsi="Times New Roman" w:cs="Times New Roman"/>
                <w:lang w:val="lt-LT"/>
              </w:rPr>
              <w:t>ui</w:t>
            </w:r>
            <w:r w:rsidR="00DE2D88" w:rsidRPr="0063764E">
              <w:rPr>
                <w:rStyle w:val="tlid-translation"/>
                <w:rFonts w:hAnsi="Times New Roman" w:cs="Times New Roman"/>
                <w:lang w:val="lt-LT"/>
              </w:rPr>
              <w:t xml:space="preserve">. </w:t>
            </w:r>
          </w:p>
          <w:p w:rsidR="004E38B4" w:rsidRPr="0063764E" w:rsidRDefault="009D0CCE" w:rsidP="0063764E">
            <w:pPr>
              <w:pStyle w:val="BodyA"/>
              <w:numPr>
                <w:ilvl w:val="0"/>
                <w:numId w:val="37"/>
              </w:numPr>
              <w:tabs>
                <w:tab w:val="left" w:pos="-222"/>
              </w:tabs>
              <w:ind w:left="-222" w:firstLine="0"/>
              <w:jc w:val="both"/>
              <w:rPr>
                <w:rFonts w:hAnsi="Times New Roman" w:cs="Times New Roman"/>
                <w:lang w:val="lt-LT"/>
              </w:rPr>
            </w:pPr>
            <w:r w:rsidRPr="0063764E">
              <w:rPr>
                <w:rStyle w:val="tlid-translation"/>
                <w:rFonts w:hAnsi="Times New Roman" w:cs="Times New Roman"/>
                <w:lang w:val="lt-LT"/>
              </w:rPr>
              <w:t>Laikomės nuoseklios pozicijos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, kad solidarumas turėtų būti privalomas, o būdai, kuriais valstybės narės prisideda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mažindamos kitų VN patiriamą naštą – lankstū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s. 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>P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>rivalomas solidarumas neturėtų reikšti privalomo perkėlimo ir kvotų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;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tuo tarpu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perkėlimai savanoriškumo pagrindu turėtų būti papildomai skatinami.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Be to, manome, kad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solidarumo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mechanizmo veikimui svarbu, kad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VN būtų tiesiogiai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įtrauktos į sprendimų priėmimą. Mes palaikome koordinuojantį Komisijos vaidmenį, tačiau manome,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 xml:space="preserve"> kad sprendimus dėl mechanizmo aktyvavimo ir būtinų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solidarumo </w:t>
            </w:r>
            <w:r w:rsidRPr="0063764E">
              <w:rPr>
                <w:rStyle w:val="tlid-translation"/>
                <w:rFonts w:hAnsi="Times New Roman" w:cs="Times New Roman"/>
                <w:lang w:val="lt-LT"/>
              </w:rPr>
              <w:t>priemonių</w:t>
            </w:r>
            <w:r w:rsidR="00BC62D4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turėtų priimti Taryba, remdamasi Komisijos pasiūlymais.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Manome, kad </w:t>
            </w:r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dėl solidarumo mechanizmo </w:t>
            </w:r>
            <w:proofErr w:type="spellStart"/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>modalumų</w:t>
            </w:r>
            <w:proofErr w:type="spellEnd"/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(sprendimų priėmimas, VN paramos formos, lankstumas) dar reikia tolesnių diskusijų. Daug abejonių kelia grąžinimų </w:t>
            </w:r>
            <w:proofErr w:type="spellStart"/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>sponsorystė</w:t>
            </w:r>
            <w:proofErr w:type="spellEnd"/>
            <w:r w:rsidR="000A31E7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– tai turi būti išsamiai aptarta, ypač grąžinamų asmenų perkėlimo, jų statuso kitoje VN ir antrinio judėjimo rizikos aspektai.</w:t>
            </w:r>
            <w:r w:rsidR="0063764E" w:rsidRPr="0063764E">
              <w:rPr>
                <w:rStyle w:val="tlid-translation"/>
                <w:rFonts w:hAnsi="Times New Roman" w:cs="Times New Roman"/>
                <w:lang w:val="lt-LT"/>
              </w:rPr>
              <w:t xml:space="preserve"> </w:t>
            </w:r>
          </w:p>
          <w:p w:rsidR="00B02F33" w:rsidRPr="0063764E" w:rsidRDefault="00B02F33" w:rsidP="00B02F33">
            <w:pPr>
              <w:pStyle w:val="BodyA"/>
              <w:tabs>
                <w:tab w:val="left" w:pos="284"/>
              </w:tabs>
              <w:ind w:left="-222"/>
              <w:jc w:val="both"/>
              <w:rPr>
                <w:rFonts w:hAnsi="Times New Roman" w:cs="Times New Roman"/>
                <w:lang w:val="lt-LT"/>
              </w:rPr>
            </w:pPr>
          </w:p>
        </w:tc>
      </w:tr>
    </w:tbl>
    <w:p w:rsidR="004B217F" w:rsidRPr="002D27D4" w:rsidRDefault="004B217F" w:rsidP="00C02130">
      <w:pPr>
        <w:pStyle w:val="BodyA"/>
        <w:rPr>
          <w:rFonts w:hAnsi="Times New Roman" w:cs="Times New Roman"/>
          <w:b/>
          <w:lang w:val="lt-LT"/>
        </w:rPr>
      </w:pPr>
    </w:p>
    <w:p w:rsidR="00A953A5" w:rsidRDefault="00A953A5" w:rsidP="00C02130">
      <w:pPr>
        <w:pStyle w:val="BodyA"/>
        <w:rPr>
          <w:rFonts w:hAnsi="Times New Roman" w:cs="Times New Roman"/>
          <w:b/>
          <w:lang w:val="lt-LT"/>
        </w:rPr>
      </w:pPr>
      <w:r w:rsidRPr="002D27D4">
        <w:rPr>
          <w:rFonts w:hAnsi="Times New Roman" w:cs="Times New Roman"/>
          <w:b/>
          <w:lang w:val="lt-LT"/>
        </w:rPr>
        <w:t>Žiniai:</w:t>
      </w:r>
    </w:p>
    <w:p w:rsidR="002D27D4" w:rsidRPr="002D27D4" w:rsidRDefault="002D27D4" w:rsidP="00C02130">
      <w:pPr>
        <w:pStyle w:val="BodyA"/>
        <w:rPr>
          <w:rFonts w:hAnsi="Times New Roman" w:cs="Times New Roman"/>
          <w:b/>
          <w:lang w:val="lt-LT"/>
        </w:rPr>
      </w:pPr>
      <w:bookmarkStart w:id="0" w:name="_GoBack"/>
      <w:bookmarkEnd w:id="0"/>
    </w:p>
    <w:tbl>
      <w:tblPr>
        <w:tblStyle w:val="LentelPaprasta1"/>
        <w:tblW w:w="5000" w:type="pct"/>
        <w:tblLook w:val="04A0" w:firstRow="1" w:lastRow="0" w:firstColumn="1" w:lastColumn="0" w:noHBand="0" w:noVBand="1"/>
      </w:tblPr>
      <w:tblGrid>
        <w:gridCol w:w="9055"/>
      </w:tblGrid>
      <w:tr w:rsidR="00A953A5" w:rsidTr="006D5AB6">
        <w:tc>
          <w:tcPr>
            <w:tcW w:w="5000" w:type="pct"/>
            <w:shd w:val="clear" w:color="auto" w:fill="FFFFFF"/>
          </w:tcPr>
          <w:p w:rsidR="00A953A5" w:rsidRDefault="00A953A5" w:rsidP="006D5A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Kitų ES valstybių narių pozicijos</w:t>
            </w:r>
          </w:p>
        </w:tc>
      </w:tr>
      <w:tr w:rsidR="00A953A5" w:rsidTr="006D5AB6">
        <w:tc>
          <w:tcPr>
            <w:tcW w:w="5000" w:type="pct"/>
            <w:shd w:val="clear" w:color="auto" w:fill="FFFFFF"/>
          </w:tcPr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Dėl </w:t>
            </w:r>
            <w:proofErr w:type="spellStart"/>
            <w:r>
              <w:rPr>
                <w:rFonts w:ascii="Times New Roman" w:hAnsi="Times New Roman"/>
                <w:b/>
              </w:rPr>
              <w:t>pre-entry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screening‘o</w:t>
            </w:r>
            <w:proofErr w:type="spellEnd"/>
            <w:r>
              <w:rPr>
                <w:rFonts w:ascii="Times New Roman" w:hAnsi="Times New Roman"/>
                <w:b/>
              </w:rPr>
              <w:t xml:space="preserve"> ir sienų procedūros):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 – LU, DK, FI, FR, LT, CZ, BE, EE, SE, CH, NO, HU, LV, AT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prieš / abejoja – IT, HR, BG, EL, ESP, MT, PT, RO, CY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Dėl privalomų perkėlimų EU viduje (REL):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 – IT, LU, FR, EL, ESP, MT, PT, BE, SE, CY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prieš / abejoja – SI, HR, DK, FI, LT, CZ, PL, EE, HU, LV, AT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Dėl grąžinimų </w:t>
            </w:r>
            <w:proofErr w:type="spellStart"/>
            <w:r>
              <w:rPr>
                <w:rFonts w:ascii="Times New Roman" w:hAnsi="Times New Roman"/>
                <w:b/>
              </w:rPr>
              <w:t>sponsorystės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 – LU, FI, FR, EL, ESP, BE, NO, CY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prieš / abejoja – HR, SI, BG, LT, CZ, PL, EE, HU, LV, AT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953A5" w:rsidRDefault="00A953A5" w:rsidP="00A95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Politiniam sutarimui ne visų MAP elementų atžvilgiu („</w:t>
            </w:r>
            <w:proofErr w:type="spellStart"/>
            <w:r>
              <w:rPr>
                <w:rFonts w:ascii="Times New Roman" w:hAnsi="Times New Roman"/>
                <w:b/>
              </w:rPr>
              <w:t>išpaketavimo</w:t>
            </w:r>
            <w:proofErr w:type="spellEnd"/>
            <w:r>
              <w:rPr>
                <w:rFonts w:ascii="Times New Roman" w:hAnsi="Times New Roman"/>
                <w:b/>
              </w:rPr>
              <w:t>“ grėsmė) prieštaravo</w:t>
            </w:r>
            <w:r>
              <w:rPr>
                <w:rFonts w:ascii="Times New Roman" w:hAnsi="Times New Roman"/>
              </w:rPr>
              <w:t> – IT, BG, EL, ESP, MT, CZ, PL, HU</w:t>
            </w:r>
          </w:p>
          <w:p w:rsidR="00A953A5" w:rsidRDefault="00A953A5" w:rsidP="006D5AB6">
            <w:pPr>
              <w:rPr>
                <w:rFonts w:ascii="Times New Roman" w:hAnsi="Times New Roman"/>
              </w:rPr>
            </w:pPr>
          </w:p>
        </w:tc>
      </w:tr>
    </w:tbl>
    <w:p w:rsidR="00A953A5" w:rsidRPr="0063764E" w:rsidRDefault="00A953A5" w:rsidP="00C02130">
      <w:pPr>
        <w:pStyle w:val="BodyA"/>
        <w:rPr>
          <w:rFonts w:hAnsi="Times New Roman" w:cs="Times New Roman"/>
          <w:lang w:val="lt-LT"/>
        </w:rPr>
      </w:pPr>
    </w:p>
    <w:sectPr w:rsidR="00A953A5" w:rsidRPr="0063764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41" w:rsidRDefault="007E1241">
      <w:r>
        <w:separator/>
      </w:r>
    </w:p>
  </w:endnote>
  <w:endnote w:type="continuationSeparator" w:id="0">
    <w:p w:rsidR="007E1241" w:rsidRDefault="007E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17F" w:rsidRPr="00F526F9" w:rsidRDefault="004B217F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94" w:rsidRDefault="00B70894" w:rsidP="00B70894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  <w:p w:rsidR="00B70894" w:rsidRDefault="00B7089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41" w:rsidRDefault="007E1241">
      <w:r>
        <w:separator/>
      </w:r>
    </w:p>
  </w:footnote>
  <w:footnote w:type="continuationSeparator" w:id="0">
    <w:p w:rsidR="007E1241" w:rsidRDefault="007E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F9" w:rsidRDefault="00EE1216" w:rsidP="00F526F9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r>
      <w:t xml:space="preserve">                                         </w:t>
    </w:r>
    <w:proofErr w:type="spellStart"/>
    <w:r w:rsidR="00F526F9" w:rsidRPr="002C7E0C">
      <w:rPr>
        <w:rFonts w:hAnsi="Times New Roman" w:cs="Times New Roman"/>
        <w:i/>
        <w:iCs/>
      </w:rPr>
      <w:t>Parengė</w:t>
    </w:r>
    <w:proofErr w:type="spellEnd"/>
    <w:r w:rsidR="00F526F9" w:rsidRPr="002C7E0C">
      <w:rPr>
        <w:rFonts w:hAnsi="Times New Roman" w:cs="Times New Roman"/>
        <w:i/>
        <w:iCs/>
      </w:rPr>
      <w:t xml:space="preserve">: </w:t>
    </w:r>
    <w:proofErr w:type="spellStart"/>
    <w:r w:rsidR="00F526F9" w:rsidRPr="002C7E0C">
      <w:rPr>
        <w:rFonts w:hAnsi="Times New Roman" w:cs="Times New Roman"/>
        <w:i/>
        <w:iCs/>
      </w:rPr>
      <w:t>Lietuvos</w:t>
    </w:r>
    <w:proofErr w:type="spellEnd"/>
    <w:r w:rsidR="00F526F9" w:rsidRPr="002C7E0C">
      <w:rPr>
        <w:rFonts w:hAnsi="Times New Roman" w:cs="Times New Roman"/>
        <w:i/>
        <w:iCs/>
      </w:rPr>
      <w:t xml:space="preserve"> </w:t>
    </w:r>
    <w:proofErr w:type="spellStart"/>
    <w:r w:rsidR="00F526F9" w:rsidRPr="002C7E0C">
      <w:rPr>
        <w:rFonts w:hAnsi="Times New Roman" w:cs="Times New Roman"/>
        <w:i/>
        <w:iCs/>
      </w:rPr>
      <w:t>Respubl</w:t>
    </w:r>
    <w:r w:rsidR="00F526F9">
      <w:rPr>
        <w:rFonts w:hAnsi="Times New Roman" w:cs="Times New Roman"/>
        <w:i/>
        <w:iCs/>
      </w:rPr>
      <w:t>ikos</w:t>
    </w:r>
    <w:proofErr w:type="spellEnd"/>
    <w:r w:rsidR="00F526F9">
      <w:rPr>
        <w:rFonts w:hAnsi="Times New Roman" w:cs="Times New Roman"/>
        <w:i/>
        <w:iCs/>
      </w:rPr>
      <w:t xml:space="preserve"> </w:t>
    </w:r>
    <w:proofErr w:type="spellStart"/>
    <w:r w:rsidR="00F526F9">
      <w:rPr>
        <w:rFonts w:hAnsi="Times New Roman" w:cs="Times New Roman"/>
        <w:i/>
        <w:iCs/>
      </w:rPr>
      <w:t>vidaus</w:t>
    </w:r>
    <w:proofErr w:type="spellEnd"/>
    <w:r w:rsidR="00F526F9">
      <w:rPr>
        <w:rFonts w:hAnsi="Times New Roman" w:cs="Times New Roman"/>
        <w:i/>
        <w:iCs/>
      </w:rPr>
      <w:t xml:space="preserve"> </w:t>
    </w:r>
    <w:proofErr w:type="spellStart"/>
    <w:r w:rsidR="00F526F9">
      <w:rPr>
        <w:rFonts w:hAnsi="Times New Roman" w:cs="Times New Roman"/>
        <w:i/>
        <w:iCs/>
      </w:rPr>
      <w:t>reikalų</w:t>
    </w:r>
    <w:proofErr w:type="spellEnd"/>
    <w:r w:rsidR="00F526F9">
      <w:rPr>
        <w:rFonts w:hAnsi="Times New Roman" w:cs="Times New Roman"/>
        <w:i/>
        <w:iCs/>
      </w:rPr>
      <w:t xml:space="preserve"> </w:t>
    </w:r>
    <w:proofErr w:type="spellStart"/>
    <w:r w:rsidR="00F526F9">
      <w:rPr>
        <w:rFonts w:hAnsi="Times New Roman" w:cs="Times New Roman"/>
        <w:i/>
        <w:iCs/>
      </w:rPr>
      <w:t>ministerija</w:t>
    </w:r>
    <w:proofErr w:type="spellEnd"/>
  </w:p>
  <w:p w:rsidR="00F526F9" w:rsidRPr="002C7E0C" w:rsidRDefault="00F526F9" w:rsidP="00F526F9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r w:rsidRPr="002C7E0C">
      <w:rPr>
        <w:rFonts w:hAnsi="Times New Roman" w:cs="Times New Roman"/>
        <w:i/>
        <w:iCs/>
      </w:rPr>
      <w:t>(Tarptautinio bendradarbiavimo grupė)</w:t>
    </w:r>
  </w:p>
  <w:p w:rsidR="00F526F9" w:rsidRPr="002C7E0C" w:rsidRDefault="00F526F9" w:rsidP="00F526F9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</w:rPr>
    </w:pPr>
    <w:r w:rsidRPr="002C7E0C">
      <w:rPr>
        <w:rFonts w:hAnsi="Times New Roman" w:cs="Times New Roman"/>
        <w:i/>
        <w:iCs/>
      </w:rPr>
      <w:t xml:space="preserve">2020 m. </w:t>
    </w:r>
    <w:proofErr w:type="spellStart"/>
    <w:r w:rsidR="00E01F1F">
      <w:rPr>
        <w:rFonts w:hAnsi="Times New Roman" w:cs="Times New Roman"/>
        <w:i/>
        <w:iCs/>
      </w:rPr>
      <w:t>lapkričio</w:t>
    </w:r>
    <w:proofErr w:type="spellEnd"/>
    <w:r w:rsidR="00E01F1F">
      <w:rPr>
        <w:rFonts w:hAnsi="Times New Roman" w:cs="Times New Roman"/>
        <w:i/>
        <w:iCs/>
      </w:rPr>
      <w:t xml:space="preserve"> 3</w:t>
    </w:r>
    <w:r w:rsidRPr="002C7E0C">
      <w:rPr>
        <w:rFonts w:hAnsi="Times New Roman" w:cs="Times New Roman"/>
        <w:i/>
        <w:iCs/>
      </w:rPr>
      <w:t xml:space="preserve"> d.</w:t>
    </w:r>
  </w:p>
  <w:p w:rsidR="004B217F" w:rsidRDefault="004B217F" w:rsidP="00F526F9">
    <w:pPr>
      <w:pStyle w:val="BodyA"/>
      <w:tabs>
        <w:tab w:val="center" w:pos="4153"/>
        <w:tab w:val="right" w:pos="830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0C" w:rsidRDefault="00EF0DF3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proofErr w:type="spellStart"/>
    <w:r w:rsidRPr="002C7E0C">
      <w:rPr>
        <w:rFonts w:hAnsi="Times New Roman" w:cs="Times New Roman"/>
        <w:i/>
        <w:iCs/>
      </w:rPr>
      <w:t>Parengė</w:t>
    </w:r>
    <w:proofErr w:type="spellEnd"/>
    <w:r w:rsidRPr="002C7E0C">
      <w:rPr>
        <w:rFonts w:hAnsi="Times New Roman" w:cs="Times New Roman"/>
        <w:i/>
        <w:iCs/>
      </w:rPr>
      <w:t>:</w:t>
    </w:r>
    <w:r w:rsidR="002C7E0C" w:rsidRPr="002C7E0C">
      <w:rPr>
        <w:rFonts w:hAnsi="Times New Roman" w:cs="Times New Roman"/>
        <w:i/>
        <w:iCs/>
      </w:rPr>
      <w:t xml:space="preserve"> </w:t>
    </w:r>
    <w:proofErr w:type="spellStart"/>
    <w:r w:rsidR="002C7E0C" w:rsidRPr="002C7E0C">
      <w:rPr>
        <w:rFonts w:hAnsi="Times New Roman" w:cs="Times New Roman"/>
        <w:i/>
        <w:iCs/>
      </w:rPr>
      <w:t>Lietuvos</w:t>
    </w:r>
    <w:proofErr w:type="spellEnd"/>
    <w:r w:rsidR="002C7E0C" w:rsidRPr="002C7E0C">
      <w:rPr>
        <w:rFonts w:hAnsi="Times New Roman" w:cs="Times New Roman"/>
        <w:i/>
        <w:iCs/>
      </w:rPr>
      <w:t xml:space="preserve"> </w:t>
    </w:r>
    <w:proofErr w:type="spellStart"/>
    <w:r w:rsidR="002C7E0C" w:rsidRPr="002C7E0C">
      <w:rPr>
        <w:rFonts w:hAnsi="Times New Roman" w:cs="Times New Roman"/>
        <w:i/>
        <w:iCs/>
      </w:rPr>
      <w:t>Respubl</w:t>
    </w:r>
    <w:r w:rsidR="002C7E0C">
      <w:rPr>
        <w:rFonts w:hAnsi="Times New Roman" w:cs="Times New Roman"/>
        <w:i/>
        <w:iCs/>
      </w:rPr>
      <w:t>ikos</w:t>
    </w:r>
    <w:proofErr w:type="spellEnd"/>
    <w:r w:rsidR="002C7E0C">
      <w:rPr>
        <w:rFonts w:hAnsi="Times New Roman" w:cs="Times New Roman"/>
        <w:i/>
        <w:iCs/>
      </w:rPr>
      <w:t xml:space="preserve"> </w:t>
    </w:r>
    <w:proofErr w:type="spellStart"/>
    <w:r w:rsidR="002C7E0C">
      <w:rPr>
        <w:rFonts w:hAnsi="Times New Roman" w:cs="Times New Roman"/>
        <w:i/>
        <w:iCs/>
      </w:rPr>
      <w:t>vidaus</w:t>
    </w:r>
    <w:proofErr w:type="spellEnd"/>
    <w:r w:rsidR="002C7E0C">
      <w:rPr>
        <w:rFonts w:hAnsi="Times New Roman" w:cs="Times New Roman"/>
        <w:i/>
        <w:iCs/>
      </w:rPr>
      <w:t xml:space="preserve"> </w:t>
    </w:r>
    <w:proofErr w:type="spellStart"/>
    <w:r w:rsidR="002C7E0C">
      <w:rPr>
        <w:rFonts w:hAnsi="Times New Roman" w:cs="Times New Roman"/>
        <w:i/>
        <w:iCs/>
      </w:rPr>
      <w:t>reikalų</w:t>
    </w:r>
    <w:proofErr w:type="spellEnd"/>
    <w:r w:rsidR="002C7E0C">
      <w:rPr>
        <w:rFonts w:hAnsi="Times New Roman" w:cs="Times New Roman"/>
        <w:i/>
        <w:iCs/>
      </w:rPr>
      <w:t xml:space="preserve"> </w:t>
    </w:r>
    <w:proofErr w:type="spellStart"/>
    <w:r w:rsidR="002C7E0C">
      <w:rPr>
        <w:rFonts w:hAnsi="Times New Roman" w:cs="Times New Roman"/>
        <w:i/>
        <w:iCs/>
      </w:rPr>
      <w:t>ministerija</w:t>
    </w:r>
    <w:proofErr w:type="spellEnd"/>
  </w:p>
  <w:p w:rsidR="00EF0DF3" w:rsidRPr="002C7E0C" w:rsidRDefault="002C7E0C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r w:rsidRPr="002C7E0C">
      <w:rPr>
        <w:rFonts w:hAnsi="Times New Roman" w:cs="Times New Roman"/>
        <w:i/>
        <w:iCs/>
      </w:rPr>
      <w:t>(Tarptautinio bendradarbiavimo grupė)</w:t>
    </w:r>
  </w:p>
  <w:p w:rsidR="00EF0DF3" w:rsidRPr="002C7E0C" w:rsidRDefault="002C7E0C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</w:rPr>
    </w:pPr>
    <w:r w:rsidRPr="002C7E0C">
      <w:rPr>
        <w:rFonts w:hAnsi="Times New Roman" w:cs="Times New Roman"/>
        <w:i/>
        <w:iCs/>
      </w:rPr>
      <w:t xml:space="preserve">2020 m. </w:t>
    </w:r>
    <w:proofErr w:type="spellStart"/>
    <w:r w:rsidR="00E01F1F">
      <w:rPr>
        <w:rFonts w:hAnsi="Times New Roman" w:cs="Times New Roman"/>
        <w:i/>
        <w:iCs/>
      </w:rPr>
      <w:t>lapkričio</w:t>
    </w:r>
    <w:proofErr w:type="spellEnd"/>
    <w:r w:rsidR="00E01F1F">
      <w:rPr>
        <w:rFonts w:hAnsi="Times New Roman" w:cs="Times New Roman"/>
        <w:i/>
        <w:iCs/>
      </w:rPr>
      <w:t xml:space="preserve"> 3</w:t>
    </w:r>
    <w:r w:rsidRPr="002C7E0C">
      <w:rPr>
        <w:rFonts w:hAnsi="Times New Roman" w:cs="Times New Roman"/>
        <w:i/>
        <w:iCs/>
      </w:rPr>
      <w:t xml:space="preserve"> d.</w:t>
    </w:r>
  </w:p>
  <w:p w:rsidR="00EF0DF3" w:rsidRDefault="00EF0DF3" w:rsidP="00EF0DF3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CA3765D"/>
    <w:multiLevelType w:val="multilevel"/>
    <w:tmpl w:val="207A35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693C30"/>
    <w:multiLevelType w:val="multilevel"/>
    <w:tmpl w:val="8224FE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11F75BDB"/>
    <w:multiLevelType w:val="multilevel"/>
    <w:tmpl w:val="407EAD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12672E40"/>
    <w:multiLevelType w:val="multilevel"/>
    <w:tmpl w:val="15D261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" w15:restartNumberingAfterBreak="0">
    <w:nsid w:val="14EA14F9"/>
    <w:multiLevelType w:val="multilevel"/>
    <w:tmpl w:val="79DA2AF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BDD3672"/>
    <w:multiLevelType w:val="hybridMultilevel"/>
    <w:tmpl w:val="946EEF06"/>
    <w:lvl w:ilvl="0" w:tplc="61A4341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10" w15:restartNumberingAfterBreak="0">
    <w:nsid w:val="1E002890"/>
    <w:multiLevelType w:val="hybridMultilevel"/>
    <w:tmpl w:val="D16C91A0"/>
    <w:lvl w:ilvl="0" w:tplc="0427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1" w15:restartNumberingAfterBreak="0">
    <w:nsid w:val="21685452"/>
    <w:multiLevelType w:val="multilevel"/>
    <w:tmpl w:val="2B7219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2" w15:restartNumberingAfterBreak="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3" w15:restartNumberingAfterBreak="0">
    <w:nsid w:val="268330E6"/>
    <w:multiLevelType w:val="multilevel"/>
    <w:tmpl w:val="485417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2A3D242A"/>
    <w:multiLevelType w:val="multilevel"/>
    <w:tmpl w:val="1FE2787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6" w15:restartNumberingAfterBreak="0">
    <w:nsid w:val="2B4B1500"/>
    <w:multiLevelType w:val="multilevel"/>
    <w:tmpl w:val="C7F6C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 w15:restartNumberingAfterBreak="0">
    <w:nsid w:val="2CA5714F"/>
    <w:multiLevelType w:val="multilevel"/>
    <w:tmpl w:val="7CB0F5D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8" w15:restartNumberingAfterBreak="0">
    <w:nsid w:val="31C33270"/>
    <w:multiLevelType w:val="multilevel"/>
    <w:tmpl w:val="4446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9" w15:restartNumberingAfterBreak="0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0" w15:restartNumberingAfterBreak="0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1" w15:restartNumberingAfterBreak="0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22" w15:restartNumberingAfterBreak="0">
    <w:nsid w:val="3D8973AC"/>
    <w:multiLevelType w:val="multilevel"/>
    <w:tmpl w:val="C762A1A2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23" w15:restartNumberingAfterBreak="0">
    <w:nsid w:val="3FF90373"/>
    <w:multiLevelType w:val="multilevel"/>
    <w:tmpl w:val="EE722CF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4" w15:restartNumberingAfterBreak="0">
    <w:nsid w:val="40FC5633"/>
    <w:multiLevelType w:val="multilevel"/>
    <w:tmpl w:val="44FA7E7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42533C3A"/>
    <w:multiLevelType w:val="multilevel"/>
    <w:tmpl w:val="6C102FE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6" w15:restartNumberingAfterBreak="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7" w15:restartNumberingAfterBreak="0">
    <w:nsid w:val="434624EE"/>
    <w:multiLevelType w:val="multilevel"/>
    <w:tmpl w:val="E9FE3E6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8" w15:restartNumberingAfterBreak="0">
    <w:nsid w:val="44A1223B"/>
    <w:multiLevelType w:val="multilevel"/>
    <w:tmpl w:val="B00657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9" w15:restartNumberingAfterBreak="0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0" w15:restartNumberingAfterBreak="0">
    <w:nsid w:val="46D22F3B"/>
    <w:multiLevelType w:val="hybridMultilevel"/>
    <w:tmpl w:val="3E06F662"/>
    <w:lvl w:ilvl="0" w:tplc="7CBCDC7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8" w:hanging="360"/>
      </w:pPr>
    </w:lvl>
    <w:lvl w:ilvl="2" w:tplc="0427001B" w:tentative="1">
      <w:start w:val="1"/>
      <w:numFmt w:val="lowerRoman"/>
      <w:lvlText w:val="%3."/>
      <w:lvlJc w:val="right"/>
      <w:pPr>
        <w:ind w:left="1578" w:hanging="180"/>
      </w:pPr>
    </w:lvl>
    <w:lvl w:ilvl="3" w:tplc="0427000F" w:tentative="1">
      <w:start w:val="1"/>
      <w:numFmt w:val="decimal"/>
      <w:lvlText w:val="%4."/>
      <w:lvlJc w:val="left"/>
      <w:pPr>
        <w:ind w:left="2298" w:hanging="360"/>
      </w:pPr>
    </w:lvl>
    <w:lvl w:ilvl="4" w:tplc="04270019" w:tentative="1">
      <w:start w:val="1"/>
      <w:numFmt w:val="lowerLetter"/>
      <w:lvlText w:val="%5."/>
      <w:lvlJc w:val="left"/>
      <w:pPr>
        <w:ind w:left="3018" w:hanging="360"/>
      </w:pPr>
    </w:lvl>
    <w:lvl w:ilvl="5" w:tplc="0427001B" w:tentative="1">
      <w:start w:val="1"/>
      <w:numFmt w:val="lowerRoman"/>
      <w:lvlText w:val="%6."/>
      <w:lvlJc w:val="right"/>
      <w:pPr>
        <w:ind w:left="3738" w:hanging="180"/>
      </w:pPr>
    </w:lvl>
    <w:lvl w:ilvl="6" w:tplc="0427000F" w:tentative="1">
      <w:start w:val="1"/>
      <w:numFmt w:val="decimal"/>
      <w:lvlText w:val="%7."/>
      <w:lvlJc w:val="left"/>
      <w:pPr>
        <w:ind w:left="4458" w:hanging="360"/>
      </w:pPr>
    </w:lvl>
    <w:lvl w:ilvl="7" w:tplc="04270019" w:tentative="1">
      <w:start w:val="1"/>
      <w:numFmt w:val="lowerLetter"/>
      <w:lvlText w:val="%8."/>
      <w:lvlJc w:val="left"/>
      <w:pPr>
        <w:ind w:left="5178" w:hanging="360"/>
      </w:pPr>
    </w:lvl>
    <w:lvl w:ilvl="8" w:tplc="0427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31" w15:restartNumberingAfterBreak="0">
    <w:nsid w:val="47A251FC"/>
    <w:multiLevelType w:val="multilevel"/>
    <w:tmpl w:val="E05CE3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2" w15:restartNumberingAfterBreak="0">
    <w:nsid w:val="485B1E65"/>
    <w:multiLevelType w:val="multilevel"/>
    <w:tmpl w:val="8F423D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33" w15:restartNumberingAfterBreak="0">
    <w:nsid w:val="488670F4"/>
    <w:multiLevelType w:val="multilevel"/>
    <w:tmpl w:val="46CA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4" w15:restartNumberingAfterBreak="0">
    <w:nsid w:val="4E70734F"/>
    <w:multiLevelType w:val="multilevel"/>
    <w:tmpl w:val="ECA8AED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5" w15:restartNumberingAfterBreak="0">
    <w:nsid w:val="5DFB3867"/>
    <w:multiLevelType w:val="multilevel"/>
    <w:tmpl w:val="FA9E3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6" w15:restartNumberingAfterBreak="0">
    <w:nsid w:val="63B15B1C"/>
    <w:multiLevelType w:val="multilevel"/>
    <w:tmpl w:val="1B50326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7" w15:restartNumberingAfterBreak="0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24"/>
  </w:num>
  <w:num w:numId="5">
    <w:abstractNumId w:val="15"/>
  </w:num>
  <w:num w:numId="6">
    <w:abstractNumId w:val="11"/>
  </w:num>
  <w:num w:numId="7">
    <w:abstractNumId w:val="13"/>
  </w:num>
  <w:num w:numId="8">
    <w:abstractNumId w:val="19"/>
  </w:num>
  <w:num w:numId="9">
    <w:abstractNumId w:val="32"/>
  </w:num>
  <w:num w:numId="10">
    <w:abstractNumId w:val="14"/>
  </w:num>
  <w:num w:numId="11">
    <w:abstractNumId w:val="21"/>
  </w:num>
  <w:num w:numId="12">
    <w:abstractNumId w:val="2"/>
  </w:num>
  <w:num w:numId="13">
    <w:abstractNumId w:val="25"/>
  </w:num>
  <w:num w:numId="14">
    <w:abstractNumId w:val="26"/>
  </w:num>
  <w:num w:numId="15">
    <w:abstractNumId w:val="3"/>
  </w:num>
  <w:num w:numId="16">
    <w:abstractNumId w:val="27"/>
  </w:num>
  <w:num w:numId="17">
    <w:abstractNumId w:val="29"/>
  </w:num>
  <w:num w:numId="18">
    <w:abstractNumId w:val="34"/>
  </w:num>
  <w:num w:numId="19">
    <w:abstractNumId w:val="5"/>
  </w:num>
  <w:num w:numId="20">
    <w:abstractNumId w:val="4"/>
  </w:num>
  <w:num w:numId="21">
    <w:abstractNumId w:val="17"/>
  </w:num>
  <w:num w:numId="22">
    <w:abstractNumId w:val="36"/>
  </w:num>
  <w:num w:numId="23">
    <w:abstractNumId w:val="0"/>
  </w:num>
  <w:num w:numId="24">
    <w:abstractNumId w:val="28"/>
  </w:num>
  <w:num w:numId="25">
    <w:abstractNumId w:val="35"/>
  </w:num>
  <w:num w:numId="26">
    <w:abstractNumId w:val="1"/>
  </w:num>
  <w:num w:numId="27">
    <w:abstractNumId w:val="23"/>
  </w:num>
  <w:num w:numId="28">
    <w:abstractNumId w:val="16"/>
  </w:num>
  <w:num w:numId="29">
    <w:abstractNumId w:val="20"/>
  </w:num>
  <w:num w:numId="30">
    <w:abstractNumId w:val="18"/>
  </w:num>
  <w:num w:numId="31">
    <w:abstractNumId w:val="31"/>
  </w:num>
  <w:num w:numId="32">
    <w:abstractNumId w:val="12"/>
  </w:num>
  <w:num w:numId="33">
    <w:abstractNumId w:val="33"/>
  </w:num>
  <w:num w:numId="34">
    <w:abstractNumId w:val="7"/>
  </w:num>
  <w:num w:numId="35">
    <w:abstractNumId w:val="37"/>
  </w:num>
  <w:num w:numId="36">
    <w:abstractNumId w:val="10"/>
  </w:num>
  <w:num w:numId="37">
    <w:abstractNumId w:val="3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7F"/>
    <w:rsid w:val="0004381B"/>
    <w:rsid w:val="00056429"/>
    <w:rsid w:val="000810A3"/>
    <w:rsid w:val="000A31E7"/>
    <w:rsid w:val="000E1695"/>
    <w:rsid w:val="0011594A"/>
    <w:rsid w:val="001363EE"/>
    <w:rsid w:val="0019164D"/>
    <w:rsid w:val="002C7E0C"/>
    <w:rsid w:val="002D27D4"/>
    <w:rsid w:val="00302D04"/>
    <w:rsid w:val="003264C9"/>
    <w:rsid w:val="00342C7D"/>
    <w:rsid w:val="0037691B"/>
    <w:rsid w:val="003B0824"/>
    <w:rsid w:val="003C4B90"/>
    <w:rsid w:val="003C6810"/>
    <w:rsid w:val="003E0211"/>
    <w:rsid w:val="003E2F37"/>
    <w:rsid w:val="003F58E0"/>
    <w:rsid w:val="00412526"/>
    <w:rsid w:val="004360A1"/>
    <w:rsid w:val="00442FF4"/>
    <w:rsid w:val="00444377"/>
    <w:rsid w:val="00452360"/>
    <w:rsid w:val="0049434A"/>
    <w:rsid w:val="004B217F"/>
    <w:rsid w:val="004E38B4"/>
    <w:rsid w:val="004E3E97"/>
    <w:rsid w:val="00554DC5"/>
    <w:rsid w:val="00557D5B"/>
    <w:rsid w:val="005C779C"/>
    <w:rsid w:val="0063764E"/>
    <w:rsid w:val="00661546"/>
    <w:rsid w:val="006B1A71"/>
    <w:rsid w:val="006C1908"/>
    <w:rsid w:val="0071096D"/>
    <w:rsid w:val="00740A03"/>
    <w:rsid w:val="00792E8D"/>
    <w:rsid w:val="007B2A12"/>
    <w:rsid w:val="007B63FB"/>
    <w:rsid w:val="007C3085"/>
    <w:rsid w:val="007E1241"/>
    <w:rsid w:val="008466F9"/>
    <w:rsid w:val="008820BB"/>
    <w:rsid w:val="009469ED"/>
    <w:rsid w:val="009B6FB3"/>
    <w:rsid w:val="009D0CCE"/>
    <w:rsid w:val="00A33567"/>
    <w:rsid w:val="00A46916"/>
    <w:rsid w:val="00A953A5"/>
    <w:rsid w:val="00AD7E3A"/>
    <w:rsid w:val="00B02F33"/>
    <w:rsid w:val="00B03FB8"/>
    <w:rsid w:val="00B62F0B"/>
    <w:rsid w:val="00B67F14"/>
    <w:rsid w:val="00B70894"/>
    <w:rsid w:val="00B725DF"/>
    <w:rsid w:val="00BA186A"/>
    <w:rsid w:val="00BC62D4"/>
    <w:rsid w:val="00BF401A"/>
    <w:rsid w:val="00C02130"/>
    <w:rsid w:val="00C14D93"/>
    <w:rsid w:val="00C71C4E"/>
    <w:rsid w:val="00C842BA"/>
    <w:rsid w:val="00D34348"/>
    <w:rsid w:val="00D76041"/>
    <w:rsid w:val="00DE0DFB"/>
    <w:rsid w:val="00DE2D88"/>
    <w:rsid w:val="00E01BFC"/>
    <w:rsid w:val="00E01F1F"/>
    <w:rsid w:val="00E34C93"/>
    <w:rsid w:val="00E3532F"/>
    <w:rsid w:val="00E547E9"/>
    <w:rsid w:val="00EA3E49"/>
    <w:rsid w:val="00EA4B13"/>
    <w:rsid w:val="00EE1216"/>
    <w:rsid w:val="00EF0DF3"/>
    <w:rsid w:val="00F12C2F"/>
    <w:rsid w:val="00F526F9"/>
    <w:rsid w:val="00FA625F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F1C6F9-80D9-48A7-9B8C-BB3BD7B2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Sraopastraipa">
    <w:name w:val="List Paragraph"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7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2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5"/>
      </w:numPr>
    </w:pPr>
  </w:style>
  <w:style w:type="numbering" w:customStyle="1" w:styleId="ImportedStyle11">
    <w:name w:val="Imported Style 11"/>
  </w:style>
  <w:style w:type="paragraph" w:styleId="Antrats">
    <w:name w:val="header"/>
    <w:basedOn w:val="prastasis"/>
    <w:link w:val="Antrats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567"/>
    <w:rPr>
      <w:sz w:val="24"/>
      <w:szCs w:val="24"/>
    </w:rPr>
  </w:style>
  <w:style w:type="character" w:customStyle="1" w:styleId="tlid-translation">
    <w:name w:val="tlid-translation"/>
    <w:basedOn w:val="Numatytasispastraiposriftas"/>
    <w:rsid w:val="002C7E0C"/>
  </w:style>
  <w:style w:type="character" w:styleId="Emfaz">
    <w:name w:val="Emphasis"/>
    <w:uiPriority w:val="20"/>
    <w:qFormat/>
    <w:rsid w:val="000E169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4C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4C93"/>
    <w:rPr>
      <w:rFonts w:ascii="Tahoma" w:hAnsi="Tahoma" w:cs="Tahoma"/>
      <w:sz w:val="16"/>
      <w:szCs w:val="16"/>
    </w:rPr>
  </w:style>
  <w:style w:type="table" w:styleId="LentelPaprasta1">
    <w:name w:val="Table Simple 1"/>
    <w:basedOn w:val="prastojilentel"/>
    <w:rsid w:val="00A9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color w:val="000000"/>
      <w:sz w:val="22"/>
      <w:bdr w:val="none" w:sz="0" w:space="0" w:color="auto"/>
      <w:lang w:val="lt-LT"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2870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Antanaitė</dc:creator>
  <cp:lastModifiedBy>Gintarė Geimanaitė</cp:lastModifiedBy>
  <cp:revision>6</cp:revision>
  <dcterms:created xsi:type="dcterms:W3CDTF">2020-11-03T10:14:00Z</dcterms:created>
  <dcterms:modified xsi:type="dcterms:W3CDTF">2020-11-03T10:17:00Z</dcterms:modified>
</cp:coreProperties>
</file>