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6D277" w14:textId="5E3F33F4" w:rsidR="003B2625" w:rsidRPr="000C6158" w:rsidRDefault="006C4CB1" w:rsidP="000C6158">
      <w:pPr>
        <w:jc w:val="center"/>
        <w:rPr>
          <w:b/>
        </w:rPr>
      </w:pPr>
      <w:bookmarkStart w:id="0" w:name="_GoBack"/>
      <w:bookmarkEnd w:id="0"/>
      <w:r w:rsidRPr="00141A80">
        <w:rPr>
          <w:b/>
        </w:rPr>
        <w:t>EUROPOS PARLAMENTO IR TARYBOS 2018 M. GRUODŽIO 11 D. REGLAMENTO (ES) 2018/1999 DĖL ENERGETIKOS SĄJUNGOS IR KLIMATO POLITIKOS VEIKSMŲ VALDYMO</w:t>
      </w:r>
      <w:r w:rsidRPr="00141A80">
        <w:rPr>
          <w:rFonts w:eastAsia="Times New Roman"/>
          <w:b/>
          <w:lang w:val="de-DE" w:eastAsia="ar-SA"/>
        </w:rPr>
        <w:t xml:space="preserve"> </w:t>
      </w:r>
      <w:r w:rsidR="003B2625" w:rsidRPr="00141A80">
        <w:rPr>
          <w:rFonts w:eastAsia="Times New Roman"/>
          <w:b/>
          <w:lang w:val="de-DE" w:eastAsia="ar-SA"/>
        </w:rPr>
        <w:t xml:space="preserve">IR </w:t>
      </w:r>
      <w:r w:rsidR="00F665D5" w:rsidRPr="00141A80">
        <w:rPr>
          <w:b/>
        </w:rPr>
        <w:t xml:space="preserve">LIETUVOS RESPUBLIKOS SEIMO NUTARIMO </w:t>
      </w:r>
      <w:r w:rsidR="000C6158" w:rsidRPr="00141A80">
        <w:rPr>
          <w:b/>
        </w:rPr>
        <w:t>„</w:t>
      </w:r>
      <w:r w:rsidR="000C6158" w:rsidRPr="000C6158">
        <w:rPr>
          <w:b/>
        </w:rPr>
        <w:t xml:space="preserve">DĖL NACIONALINĖS KLIMATO KAITOS VALDYMO DARBOTVARKĖS </w:t>
      </w:r>
      <w:r w:rsidR="000C6158">
        <w:rPr>
          <w:b/>
        </w:rPr>
        <w:t>PATVIRTINIMO</w:t>
      </w:r>
      <w:r w:rsidR="00F665D5" w:rsidRPr="00141A80">
        <w:rPr>
          <w:b/>
        </w:rPr>
        <w:t>“</w:t>
      </w:r>
      <w:r w:rsidR="000C6158">
        <w:rPr>
          <w:b/>
        </w:rPr>
        <w:t xml:space="preserve"> </w:t>
      </w:r>
      <w:r w:rsidR="003B2625" w:rsidRPr="00141A80">
        <w:rPr>
          <w:rFonts w:eastAsia="Times New Roman"/>
          <w:b/>
          <w:lang w:val="de-DE" w:eastAsia="ar-SA"/>
        </w:rPr>
        <w:t>PROJEKTO ATITIKTIES LENTELĖ</w:t>
      </w:r>
    </w:p>
    <w:tbl>
      <w:tblPr>
        <w:tblW w:w="10774" w:type="dxa"/>
        <w:tblInd w:w="-601" w:type="dxa"/>
        <w:tblLayout w:type="fixed"/>
        <w:tblLook w:val="0000" w:firstRow="0" w:lastRow="0" w:firstColumn="0" w:lastColumn="0" w:noHBand="0" w:noVBand="0"/>
      </w:tblPr>
      <w:tblGrid>
        <w:gridCol w:w="4395"/>
        <w:gridCol w:w="4819"/>
        <w:gridCol w:w="1560"/>
      </w:tblGrid>
      <w:tr w:rsidR="003B2625" w:rsidRPr="00141A80" w14:paraId="58A120A8" w14:textId="77777777" w:rsidTr="00444FFA">
        <w:tc>
          <w:tcPr>
            <w:tcW w:w="4395" w:type="dxa"/>
            <w:tcBorders>
              <w:top w:val="single" w:sz="4" w:space="0" w:color="000000"/>
              <w:left w:val="single" w:sz="4" w:space="0" w:color="000000"/>
              <w:bottom w:val="single" w:sz="4" w:space="0" w:color="000000"/>
            </w:tcBorders>
          </w:tcPr>
          <w:p w14:paraId="324B44CC" w14:textId="77777777" w:rsidR="003B2625" w:rsidRPr="00141A80" w:rsidRDefault="00323332" w:rsidP="006C4CB1">
            <w:pPr>
              <w:pStyle w:val="BodyText"/>
              <w:snapToGrid w:val="0"/>
              <w:rPr>
                <w:rFonts w:eastAsia="Times New Roman"/>
                <w:b/>
              </w:rPr>
            </w:pPr>
            <w:r w:rsidRPr="00141A80">
              <w:rPr>
                <w:rFonts w:eastAsia="Times New Roman"/>
                <w:b/>
                <w:lang w:eastAsia="ar-SA"/>
              </w:rPr>
              <w:t>20</w:t>
            </w:r>
            <w:r w:rsidR="006C4CB1" w:rsidRPr="00141A80">
              <w:rPr>
                <w:rFonts w:eastAsia="Times New Roman"/>
                <w:b/>
                <w:lang w:eastAsia="ar-SA"/>
              </w:rPr>
              <w:t>18</w:t>
            </w:r>
            <w:r w:rsidRPr="00141A80">
              <w:rPr>
                <w:rFonts w:eastAsia="Times New Roman"/>
                <w:b/>
                <w:lang w:eastAsia="ar-SA"/>
              </w:rPr>
              <w:t xml:space="preserve"> m. </w:t>
            </w:r>
            <w:r w:rsidR="006C4CB1" w:rsidRPr="00141A80">
              <w:rPr>
                <w:rFonts w:eastAsia="Times New Roman"/>
                <w:b/>
                <w:lang w:eastAsia="ar-SA"/>
              </w:rPr>
              <w:t>gruodžio</w:t>
            </w:r>
            <w:r w:rsidRPr="00141A80">
              <w:rPr>
                <w:rFonts w:eastAsia="Times New Roman"/>
                <w:b/>
                <w:lang w:eastAsia="ar-SA"/>
              </w:rPr>
              <w:t xml:space="preserve"> </w:t>
            </w:r>
            <w:r w:rsidR="006C4CB1" w:rsidRPr="00141A80">
              <w:rPr>
                <w:rFonts w:eastAsia="Times New Roman"/>
                <w:b/>
                <w:lang w:eastAsia="ar-SA"/>
              </w:rPr>
              <w:t>11</w:t>
            </w:r>
            <w:r w:rsidR="001B1D1F" w:rsidRPr="00141A80">
              <w:rPr>
                <w:rFonts w:eastAsia="Times New Roman"/>
                <w:b/>
                <w:lang w:eastAsia="ar-SA"/>
              </w:rPr>
              <w:t xml:space="preserve"> d. Europos P</w:t>
            </w:r>
            <w:r w:rsidRPr="00141A80">
              <w:rPr>
                <w:rFonts w:eastAsia="Times New Roman"/>
                <w:b/>
                <w:lang w:eastAsia="ar-SA"/>
              </w:rPr>
              <w:t xml:space="preserve">arlamento ir </w:t>
            </w:r>
            <w:r w:rsidR="006C4CB1" w:rsidRPr="00141A80">
              <w:rPr>
                <w:rFonts w:eastAsia="Times New Roman"/>
                <w:b/>
                <w:lang w:eastAsia="ar-SA"/>
              </w:rPr>
              <w:t>Tarybos reglamentas</w:t>
            </w:r>
            <w:r w:rsidRPr="00141A80">
              <w:rPr>
                <w:rFonts w:eastAsia="Times New Roman"/>
                <w:b/>
                <w:lang w:eastAsia="ar-SA"/>
              </w:rPr>
              <w:t xml:space="preserve"> </w:t>
            </w:r>
            <w:r w:rsidR="006C4CB1" w:rsidRPr="00141A80">
              <w:rPr>
                <w:rFonts w:eastAsia="Times New Roman"/>
                <w:b/>
                <w:lang w:eastAsia="ar-SA"/>
              </w:rPr>
              <w:t xml:space="preserve">(ES) </w:t>
            </w:r>
            <w:r w:rsidRPr="00141A80">
              <w:rPr>
                <w:rFonts w:eastAsia="Times New Roman"/>
                <w:b/>
                <w:lang w:eastAsia="ar-SA"/>
              </w:rPr>
              <w:t xml:space="preserve">Nr. </w:t>
            </w:r>
            <w:r w:rsidR="006C4CB1" w:rsidRPr="00141A80">
              <w:rPr>
                <w:rFonts w:eastAsia="Times New Roman"/>
                <w:b/>
                <w:lang w:eastAsia="ar-SA"/>
              </w:rPr>
              <w:t>2018/1999</w:t>
            </w:r>
            <w:r w:rsidR="001B1D1F" w:rsidRPr="00141A80">
              <w:rPr>
                <w:rFonts w:eastAsia="Times New Roman"/>
                <w:b/>
                <w:lang w:eastAsia="ar-SA"/>
              </w:rPr>
              <w:t xml:space="preserve"> dėl </w:t>
            </w:r>
            <w:r w:rsidR="006C4CB1" w:rsidRPr="00141A80">
              <w:rPr>
                <w:b/>
              </w:rPr>
              <w:t>energetikos sąjungos ir klimato politikos veiksmų valdymo</w:t>
            </w:r>
          </w:p>
        </w:tc>
        <w:tc>
          <w:tcPr>
            <w:tcW w:w="4819" w:type="dxa"/>
            <w:tcBorders>
              <w:top w:val="single" w:sz="4" w:space="0" w:color="000000"/>
              <w:left w:val="single" w:sz="4" w:space="0" w:color="000000"/>
              <w:bottom w:val="single" w:sz="4" w:space="0" w:color="000000"/>
            </w:tcBorders>
          </w:tcPr>
          <w:p w14:paraId="0C9B17DA" w14:textId="0EA41E8C" w:rsidR="003B2625" w:rsidRPr="00141A80" w:rsidRDefault="00F665D5" w:rsidP="000C6158">
            <w:pPr>
              <w:spacing w:line="0" w:lineRule="atLeast"/>
              <w:rPr>
                <w:rFonts w:eastAsia="Andale Sans UI"/>
                <w:b/>
                <w:lang w:eastAsia="en-US" w:bidi="en-US"/>
              </w:rPr>
            </w:pPr>
            <w:r w:rsidRPr="00141A80">
              <w:rPr>
                <w:b/>
              </w:rPr>
              <w:t xml:space="preserve">Lietuvos Respublikos Seimo nutarimo „Dėl Nacionalinės klimato kaitos valdymo </w:t>
            </w:r>
            <w:r w:rsidR="000C6158">
              <w:rPr>
                <w:b/>
              </w:rPr>
              <w:t>darbotvarkės</w:t>
            </w:r>
            <w:r w:rsidRPr="00141A80">
              <w:rPr>
                <w:b/>
              </w:rPr>
              <w:t xml:space="preserve"> patvirtinimo“ </w:t>
            </w:r>
            <w:r w:rsidR="00323332" w:rsidRPr="00141A80">
              <w:rPr>
                <w:b/>
              </w:rPr>
              <w:t>projektas</w:t>
            </w:r>
          </w:p>
        </w:tc>
        <w:tc>
          <w:tcPr>
            <w:tcW w:w="1560" w:type="dxa"/>
            <w:tcBorders>
              <w:top w:val="single" w:sz="4" w:space="0" w:color="000000"/>
              <w:left w:val="single" w:sz="4" w:space="0" w:color="000000"/>
              <w:bottom w:val="single" w:sz="4" w:space="0" w:color="000000"/>
              <w:right w:val="single" w:sz="4" w:space="0" w:color="000000"/>
            </w:tcBorders>
          </w:tcPr>
          <w:p w14:paraId="34EEB0F1" w14:textId="77777777" w:rsidR="003B2625" w:rsidRPr="00141A80" w:rsidRDefault="00323332">
            <w:pPr>
              <w:snapToGrid w:val="0"/>
              <w:jc w:val="both"/>
              <w:rPr>
                <w:rFonts w:eastAsia="Times New Roman"/>
                <w:b/>
                <w:lang w:val="fr-FR" w:eastAsia="ar-SA"/>
              </w:rPr>
            </w:pPr>
            <w:proofErr w:type="spellStart"/>
            <w:r w:rsidRPr="00141A80">
              <w:rPr>
                <w:rFonts w:eastAsia="Times New Roman"/>
                <w:b/>
                <w:lang w:val="fr-FR" w:eastAsia="ar-SA"/>
              </w:rPr>
              <w:t>Sprendimo</w:t>
            </w:r>
            <w:proofErr w:type="spellEnd"/>
          </w:p>
          <w:p w14:paraId="4406EC39" w14:textId="77777777" w:rsidR="003B2625" w:rsidRPr="00141A80" w:rsidRDefault="003B2625" w:rsidP="007621CC">
            <w:pPr>
              <w:snapToGrid w:val="0"/>
              <w:jc w:val="both"/>
              <w:rPr>
                <w:rFonts w:eastAsia="Times New Roman"/>
                <w:b/>
                <w:lang w:val="fr-FR" w:eastAsia="ar-SA"/>
              </w:rPr>
            </w:pPr>
            <w:proofErr w:type="spellStart"/>
            <w:r w:rsidRPr="00141A80">
              <w:rPr>
                <w:rFonts w:eastAsia="Times New Roman"/>
                <w:b/>
                <w:lang w:val="fr-FR" w:eastAsia="ar-SA"/>
              </w:rPr>
              <w:t>įgyvendinimo</w:t>
            </w:r>
            <w:proofErr w:type="spellEnd"/>
            <w:r w:rsidRPr="00141A80">
              <w:rPr>
                <w:rFonts w:eastAsia="Times New Roman"/>
                <w:b/>
                <w:lang w:val="fr-FR" w:eastAsia="ar-SA"/>
              </w:rPr>
              <w:t xml:space="preserve"> </w:t>
            </w:r>
            <w:proofErr w:type="spellStart"/>
            <w:r w:rsidRPr="00141A80">
              <w:rPr>
                <w:rFonts w:eastAsia="Times New Roman"/>
                <w:b/>
                <w:lang w:val="fr-FR" w:eastAsia="ar-SA"/>
              </w:rPr>
              <w:t>lygis</w:t>
            </w:r>
            <w:proofErr w:type="spellEnd"/>
            <w:r w:rsidRPr="00141A80">
              <w:rPr>
                <w:rFonts w:eastAsia="Times New Roman"/>
                <w:b/>
                <w:lang w:val="fr-FR" w:eastAsia="ar-SA"/>
              </w:rPr>
              <w:t xml:space="preserve"> </w:t>
            </w:r>
          </w:p>
        </w:tc>
      </w:tr>
      <w:tr w:rsidR="003B2625" w:rsidRPr="00141A80" w14:paraId="24F1E579" w14:textId="77777777" w:rsidTr="00444FFA">
        <w:trPr>
          <w:trHeight w:val="1649"/>
        </w:trPr>
        <w:tc>
          <w:tcPr>
            <w:tcW w:w="4395" w:type="dxa"/>
            <w:tcBorders>
              <w:left w:val="single" w:sz="4" w:space="0" w:color="000000"/>
              <w:bottom w:val="single" w:sz="4" w:space="0" w:color="000000"/>
            </w:tcBorders>
            <w:tcMar>
              <w:top w:w="55" w:type="dxa"/>
              <w:left w:w="55" w:type="dxa"/>
              <w:bottom w:w="55" w:type="dxa"/>
              <w:right w:w="55" w:type="dxa"/>
            </w:tcMar>
          </w:tcPr>
          <w:p w14:paraId="386EBC60" w14:textId="77777777" w:rsidR="00016C68" w:rsidRPr="00A84759" w:rsidRDefault="00016C68" w:rsidP="00016C68">
            <w:pPr>
              <w:pStyle w:val="BodyText"/>
              <w:jc w:val="both"/>
              <w:rPr>
                <w:i/>
                <w:iCs/>
              </w:rPr>
            </w:pPr>
            <w:r w:rsidRPr="00A84759">
              <w:rPr>
                <w:i/>
                <w:iCs/>
              </w:rPr>
              <w:t xml:space="preserve">15 straipsnis </w:t>
            </w:r>
          </w:p>
          <w:p w14:paraId="0B3D8592" w14:textId="77777777" w:rsidR="00016C68" w:rsidRPr="00A84759" w:rsidRDefault="00016C68" w:rsidP="00016C68">
            <w:pPr>
              <w:pStyle w:val="BodyText"/>
              <w:jc w:val="both"/>
              <w:rPr>
                <w:b/>
                <w:bCs/>
              </w:rPr>
            </w:pPr>
            <w:r w:rsidRPr="00A84759">
              <w:rPr>
                <w:b/>
                <w:bCs/>
              </w:rPr>
              <w:t xml:space="preserve">Ilgalaikės strategijos </w:t>
            </w:r>
          </w:p>
          <w:p w14:paraId="5239EB95" w14:textId="77777777" w:rsidR="00016C68" w:rsidRDefault="00016C68" w:rsidP="00016C68">
            <w:pPr>
              <w:pStyle w:val="BodyText"/>
              <w:jc w:val="both"/>
            </w:pPr>
            <w:r w:rsidRPr="006123C6">
              <w:rPr>
                <w:b/>
              </w:rPr>
              <w:t>1.</w:t>
            </w:r>
            <w:r w:rsidRPr="00A84759">
              <w:t xml:space="preserve"> Ne vėliau kaip 2020 m. sausio 1 d., po to ne vėliau kaip 2029 m. sausio 1 d. ir po to kas dešimt metų kiekviena valstybė narė parengia ir Komisijai pateikia savo ilgalaikę bent 30 metų perspektyvos strategiją. Tas strategijas valstybės narės turėtų atnaujinti, jei reikia, kas penkerius metus.</w:t>
            </w:r>
          </w:p>
          <w:p w14:paraId="130FA027" w14:textId="77777777" w:rsidR="000565B5" w:rsidRPr="00A84759" w:rsidRDefault="000565B5" w:rsidP="00016C68">
            <w:pPr>
              <w:pStyle w:val="BodyText"/>
              <w:jc w:val="both"/>
            </w:pPr>
            <w:r>
              <w:t>&lt;...&gt;</w:t>
            </w:r>
          </w:p>
          <w:p w14:paraId="597FB6A8" w14:textId="5877D077" w:rsidR="00016C68" w:rsidRPr="00A84759" w:rsidRDefault="00016C68" w:rsidP="00016C68">
            <w:pPr>
              <w:pStyle w:val="BodyText"/>
              <w:jc w:val="both"/>
            </w:pPr>
            <w:r w:rsidRPr="00A84759">
              <w:t xml:space="preserve">3.Valstybių narių ir Sąjungos ilgalaikės strategijos turi padėti: a) įvykdyti pagal UNFCCC ir Paryžiaus susitarimą prisiimtus Sąjungos ir valstybių narių įsipareigojimus mažinti dėl žmogaus veiklos išmetamą ŠESD kiekį, didinti absorbentais pašalinamą šių dujų kiekį ir skatinti anglies dioksido sekvestraciją; b) vykdyti Paryžiaus susitarimo uždavinį užtikrinti, kad vidutinės pasaulio temperatūros padidėjimas būtų gerokai mažesnis nei 2 °C, palyginti su </w:t>
            </w:r>
            <w:proofErr w:type="spellStart"/>
            <w:r w:rsidRPr="00A84759">
              <w:t>ikipramoninio</w:t>
            </w:r>
            <w:proofErr w:type="spellEnd"/>
            <w:r w:rsidRPr="00A84759">
              <w:t xml:space="preserve"> laikotarpio lygiu, ir toliau dėti pastangas, kad jis neviršytų 1,5 °C, palyginti su </w:t>
            </w:r>
            <w:proofErr w:type="spellStart"/>
            <w:r w:rsidRPr="00A84759">
              <w:t>ikipramoninio</w:t>
            </w:r>
            <w:proofErr w:type="spellEnd"/>
            <w:r w:rsidRPr="00A84759">
              <w:t xml:space="preserve"> laikotarpio lygiu; c) siekti ilgainiui sumažinti išmetamą ŠESD kiekį ir didinti absorbentais pašalinamą šių dujų kiekį visuose sektoriuose, pagal Sąjungos uždavinį pagal Tarpvyriausybinės klimato kaitos komisijos (IPCC) reikalavimus ekonomišku būdu sumažinti Sąjungos išmetamą ŠESD kiekį ir didinti absorbentais pašalinamą šių dujų kiekį, siekiant Paryžiaus susitarime nustatytų su temperatūra susijusių tikslų, kad Sąjungoje būtų kuo greičiau užtikrintas įvairių šaltinių dėl žmogaus veiklos išmetamo teršalų kiekio ir absorbentais pašalinamo ŠESD kiekio balansas, o vėliau atitinkamais atvejais būtų pašalinama daugiau teršalų negu išmetama; d) sukurti labai efektyviu energijos vartojimu ir atsinaujinančiaisiais ištekliais pagrįstą energetikos sistemą Sąjungoje. </w:t>
            </w:r>
          </w:p>
          <w:p w14:paraId="138F379B" w14:textId="77777777" w:rsidR="00016C68" w:rsidRPr="00A84759" w:rsidRDefault="00016C68" w:rsidP="009273BD">
            <w:pPr>
              <w:widowControl/>
              <w:shd w:val="clear" w:color="auto" w:fill="FFFFFF"/>
              <w:suppressAutoHyphens w:val="0"/>
              <w:jc w:val="both"/>
            </w:pPr>
            <w:r w:rsidRPr="00A84759">
              <w:lastRenderedPageBreak/>
              <w:t>4. Valstybių narių ilgalaikės strategijos turėtų apimti IV priede nurodytus elementus. Be to, valstybių narių ir Sąjungos ilgalaikės strategijos turi apimti: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9"/>
              <w:gridCol w:w="4166"/>
            </w:tblGrid>
            <w:tr w:rsidR="00016C68" w:rsidRPr="00141A80" w14:paraId="1D1A7EB9" w14:textId="77777777" w:rsidTr="0004702C">
              <w:tc>
                <w:tcPr>
                  <w:tcW w:w="88" w:type="dxa"/>
                  <w:shd w:val="clear" w:color="auto" w:fill="FFFFFF"/>
                  <w:hideMark/>
                </w:tcPr>
                <w:p w14:paraId="7854F059" w14:textId="77777777" w:rsidR="00016C68" w:rsidRPr="00A84759" w:rsidRDefault="00016C68" w:rsidP="0004702C">
                  <w:pPr>
                    <w:widowControl/>
                    <w:suppressAutoHyphens w:val="0"/>
                    <w:jc w:val="both"/>
                  </w:pPr>
                  <w:r w:rsidRPr="00A84759">
                    <w:t>a</w:t>
                  </w:r>
                </w:p>
              </w:tc>
              <w:tc>
                <w:tcPr>
                  <w:tcW w:w="3063" w:type="dxa"/>
                  <w:shd w:val="clear" w:color="auto" w:fill="FFFFFF"/>
                  <w:hideMark/>
                </w:tcPr>
                <w:p w14:paraId="6D958BA1" w14:textId="77777777" w:rsidR="00016C68" w:rsidRPr="00A84759" w:rsidRDefault="0004702C" w:rsidP="0004702C">
                  <w:pPr>
                    <w:widowControl/>
                    <w:suppressAutoHyphens w:val="0"/>
                    <w:jc w:val="both"/>
                  </w:pPr>
                  <w:r w:rsidRPr="00A84759">
                    <w:t xml:space="preserve">) viso išmetamo ŠESD kiekio </w:t>
                  </w:r>
                  <w:r w:rsidR="00016C68" w:rsidRPr="00A84759">
                    <w:t>sumažinimą ir absorbentais pašalinamo jų kiekio padidinimą;</w:t>
                  </w:r>
                  <w:r w:rsidRPr="00A84759">
                    <w:t xml:space="preserve"> </w:t>
                  </w:r>
                </w:p>
              </w:tc>
            </w:tr>
            <w:tr w:rsidR="00016C68" w:rsidRPr="00141A80" w14:paraId="627432BB" w14:textId="77777777" w:rsidTr="0004702C">
              <w:tc>
                <w:tcPr>
                  <w:tcW w:w="88" w:type="dxa"/>
                  <w:shd w:val="clear" w:color="auto" w:fill="FFFFFF"/>
                  <w:hideMark/>
                </w:tcPr>
                <w:p w14:paraId="1C7C53F4" w14:textId="77777777" w:rsidR="00016C68" w:rsidRPr="00A84759" w:rsidRDefault="00016C68" w:rsidP="0004702C">
                  <w:pPr>
                    <w:widowControl/>
                    <w:shd w:val="clear" w:color="auto" w:fill="FFFFFF"/>
                    <w:suppressAutoHyphens w:val="0"/>
                    <w:jc w:val="both"/>
                  </w:pPr>
                  <w:r w:rsidRPr="00A84759">
                    <w:t>b</w:t>
                  </w:r>
                </w:p>
              </w:tc>
              <w:tc>
                <w:tcPr>
                  <w:tcW w:w="3063" w:type="dxa"/>
                  <w:shd w:val="clear" w:color="auto" w:fill="FFFFFF"/>
                  <w:hideMark/>
                </w:tcPr>
                <w:p w14:paraId="68AD7BD3" w14:textId="77777777" w:rsidR="00016C68" w:rsidRPr="00A84759" w:rsidRDefault="0004702C" w:rsidP="009273BD">
                  <w:pPr>
                    <w:widowControl/>
                    <w:shd w:val="clear" w:color="auto" w:fill="FFFFFF"/>
                    <w:suppressAutoHyphens w:val="0"/>
                    <w:jc w:val="both"/>
                  </w:pPr>
                  <w:r w:rsidRPr="00A84759">
                    <w:t xml:space="preserve">) išmetamo kiekio sumažinimą ir </w:t>
                  </w:r>
                  <w:r w:rsidR="00016C68" w:rsidRPr="00A84759">
                    <w:t>pašalinamo kiekio padidinimą atskiruose sektoriuose, įskaitant elektros energijos, pramonės, transporto, šildymo ir vėsinimo, pastatų (gyvenamųjų ir paslaugų sektoriaus), žemės ūkio, atliekų ir žemės naudojimo, žemės naudojimo keitimo ir miškininkystės (LULUCF) sektorius;</w:t>
                  </w:r>
                </w:p>
              </w:tc>
            </w:tr>
            <w:tr w:rsidR="00016C68" w:rsidRPr="00141A80" w14:paraId="64DD6F79" w14:textId="77777777" w:rsidTr="0004702C">
              <w:tc>
                <w:tcPr>
                  <w:tcW w:w="88" w:type="dxa"/>
                  <w:shd w:val="clear" w:color="auto" w:fill="FFFFFF"/>
                  <w:hideMark/>
                </w:tcPr>
                <w:p w14:paraId="1ECB0B0C" w14:textId="77777777" w:rsidR="00016C68" w:rsidRPr="00A84759" w:rsidRDefault="00016C68" w:rsidP="0004702C">
                  <w:pPr>
                    <w:widowControl/>
                    <w:shd w:val="clear" w:color="auto" w:fill="FFFFFF"/>
                    <w:suppressAutoHyphens w:val="0"/>
                    <w:jc w:val="both"/>
                  </w:pPr>
                  <w:r w:rsidRPr="00A84759">
                    <w:t>c</w:t>
                  </w:r>
                </w:p>
              </w:tc>
              <w:tc>
                <w:tcPr>
                  <w:tcW w:w="3063" w:type="dxa"/>
                  <w:shd w:val="clear" w:color="auto" w:fill="FFFFFF"/>
                  <w:hideMark/>
                </w:tcPr>
                <w:p w14:paraId="6E73A067" w14:textId="77777777" w:rsidR="00016C68" w:rsidRPr="00A84759" w:rsidRDefault="0004702C" w:rsidP="0004702C">
                  <w:pPr>
                    <w:widowControl/>
                    <w:shd w:val="clear" w:color="auto" w:fill="FFFFFF"/>
                    <w:suppressAutoHyphens w:val="0"/>
                    <w:jc w:val="both"/>
                  </w:pPr>
                  <w:r w:rsidRPr="00A84759">
                    <w:t xml:space="preserve">) </w:t>
                  </w:r>
                  <w:r w:rsidR="00016C68" w:rsidRPr="00A84759">
                    <w:t>nu</w:t>
                  </w:r>
                  <w:r w:rsidRPr="00A84759">
                    <w:t xml:space="preserve">matomą perėjimo prie mažai ŠESD </w:t>
                  </w:r>
                  <w:r w:rsidR="00016C68" w:rsidRPr="00A84759">
                    <w:t>išmetančios ekonomikos pažangą, įskaitant taršos ŠESD intensyvumą, taršos CO2</w:t>
                  </w:r>
                  <w:r w:rsidRPr="00A84759">
                    <w:t xml:space="preserve"> </w:t>
                  </w:r>
                  <w:r w:rsidR="00016C68" w:rsidRPr="00A84759">
                    <w:t>intensyvumą, susietą su bendruoju vidaus produktu, atitinkamas numatomas ilgalaikes investicijas ir susijusių mokslinių tyrimų, technologinės plėtros ir inovacijų strategijas;</w:t>
                  </w:r>
                </w:p>
              </w:tc>
            </w:tr>
            <w:tr w:rsidR="00016C68" w:rsidRPr="00141A80" w14:paraId="106CAE81" w14:textId="77777777" w:rsidTr="0004702C">
              <w:tc>
                <w:tcPr>
                  <w:tcW w:w="88" w:type="dxa"/>
                  <w:shd w:val="clear" w:color="auto" w:fill="FFFFFF"/>
                  <w:hideMark/>
                </w:tcPr>
                <w:p w14:paraId="1E0A7011" w14:textId="77777777" w:rsidR="00016C68" w:rsidRPr="00A84759" w:rsidRDefault="00016C68" w:rsidP="0004702C">
                  <w:pPr>
                    <w:widowControl/>
                    <w:shd w:val="clear" w:color="auto" w:fill="FFFFFF"/>
                    <w:suppressAutoHyphens w:val="0"/>
                    <w:jc w:val="both"/>
                  </w:pPr>
                </w:p>
              </w:tc>
              <w:tc>
                <w:tcPr>
                  <w:tcW w:w="3063" w:type="dxa"/>
                  <w:shd w:val="clear" w:color="auto" w:fill="FFFFFF"/>
                  <w:hideMark/>
                </w:tcPr>
                <w:p w14:paraId="117A005D" w14:textId="77777777" w:rsidR="00016C68" w:rsidRPr="00A84759" w:rsidRDefault="0004702C" w:rsidP="009273BD">
                  <w:pPr>
                    <w:widowControl/>
                    <w:shd w:val="clear" w:color="auto" w:fill="FFFFFF"/>
                    <w:suppressAutoHyphens w:val="0"/>
                    <w:jc w:val="both"/>
                  </w:pPr>
                  <w:r w:rsidRPr="00A84759">
                    <w:t xml:space="preserve">d) </w:t>
                  </w:r>
                  <w:r w:rsidR="00016C68" w:rsidRPr="00A84759">
                    <w:t xml:space="preserve">kiek įmanoma, tikėtiną socialinį ir ekonominį priklausomybės nuo iškastinio kuro mažinimo priemonių poveikį, įskaitant, be kita ko, aspektus, susijusius su makroekonominiu ir socialiniu vystymusi, </w:t>
                  </w:r>
                  <w:proofErr w:type="spellStart"/>
                  <w:r w:rsidR="00016C68" w:rsidRPr="00A84759">
                    <w:t>rizikomis</w:t>
                  </w:r>
                  <w:proofErr w:type="spellEnd"/>
                  <w:r w:rsidR="00016C68" w:rsidRPr="00A84759">
                    <w:t xml:space="preserve"> ir nauda sveikatai ir aplinkos apsauga;</w:t>
                  </w:r>
                </w:p>
              </w:tc>
            </w:tr>
            <w:tr w:rsidR="00016C68" w:rsidRPr="00141A80" w14:paraId="2AC8C253" w14:textId="77777777" w:rsidTr="0004702C">
              <w:tc>
                <w:tcPr>
                  <w:tcW w:w="83" w:type="dxa"/>
                  <w:shd w:val="clear" w:color="auto" w:fill="FFFFFF"/>
                  <w:hideMark/>
                </w:tcPr>
                <w:p w14:paraId="346F3F9D" w14:textId="77777777" w:rsidR="00016C68" w:rsidRPr="00A84759" w:rsidRDefault="00016C68" w:rsidP="0004702C">
                  <w:pPr>
                    <w:widowControl/>
                    <w:shd w:val="clear" w:color="auto" w:fill="FFFFFF"/>
                    <w:suppressAutoHyphens w:val="0"/>
                    <w:jc w:val="both"/>
                  </w:pPr>
                  <w:r w:rsidRPr="00A84759">
                    <w:t>e</w:t>
                  </w:r>
                </w:p>
              </w:tc>
              <w:tc>
                <w:tcPr>
                  <w:tcW w:w="3068" w:type="dxa"/>
                  <w:shd w:val="clear" w:color="auto" w:fill="FFFFFF"/>
                  <w:hideMark/>
                </w:tcPr>
                <w:p w14:paraId="2AE83F15" w14:textId="77777777" w:rsidR="00016C68" w:rsidRPr="00A84759" w:rsidRDefault="0004702C" w:rsidP="009273BD">
                  <w:pPr>
                    <w:widowControl/>
                    <w:shd w:val="clear" w:color="auto" w:fill="FFFFFF"/>
                    <w:suppressAutoHyphens w:val="0"/>
                    <w:jc w:val="both"/>
                  </w:pPr>
                  <w:r w:rsidRPr="00A84759">
                    <w:t xml:space="preserve">) </w:t>
                  </w:r>
                  <w:r w:rsidR="00016C68" w:rsidRPr="00A84759">
                    <w:t>sąsajas su kitais ilgalaikiais nacionaliniais uždaviniais, planais ir kita politika, priemonėmis ir investicijomis.</w:t>
                  </w:r>
                </w:p>
              </w:tc>
            </w:tr>
          </w:tbl>
          <w:p w14:paraId="72D3BEBE" w14:textId="77777777" w:rsidR="009C26CE" w:rsidRPr="00A84759" w:rsidRDefault="00016C68" w:rsidP="009273BD">
            <w:pPr>
              <w:pStyle w:val="Text1"/>
              <w:spacing w:line="240" w:lineRule="auto"/>
              <w:ind w:left="0"/>
              <w:rPr>
                <w:szCs w:val="24"/>
              </w:rPr>
            </w:pPr>
            <w:r w:rsidRPr="00A84759">
              <w:rPr>
                <w:szCs w:val="24"/>
              </w:rPr>
              <w:t xml:space="preserve">7.Valstybės narės ir Komisija nedelsdamos informuoja visuomenę ir viešai skelbia atitinkamas ilgalaikes strategijas ir visus jų atnaujinimus, be kita ko, pasinaudojamos 28 straipsnyje nurodyta elektroninė platforma. Valstybės narės ir Komisija viešai skelbia atitinkamus galutinių rezultatų duomenis, atsižvelgdamos į neskelbtinus komercinius duomenis ir atitiktį duomenų apsaugos taisyklėms. </w:t>
            </w:r>
          </w:p>
        </w:tc>
        <w:tc>
          <w:tcPr>
            <w:tcW w:w="4819" w:type="dxa"/>
            <w:tcBorders>
              <w:left w:val="single" w:sz="4" w:space="0" w:color="000000"/>
              <w:bottom w:val="single" w:sz="4" w:space="0" w:color="000000"/>
            </w:tcBorders>
            <w:tcMar>
              <w:top w:w="55" w:type="dxa"/>
              <w:left w:w="55" w:type="dxa"/>
              <w:bottom w:w="55" w:type="dxa"/>
              <w:right w:w="55" w:type="dxa"/>
            </w:tcMar>
          </w:tcPr>
          <w:p w14:paraId="435F29AB" w14:textId="1D25965F" w:rsidR="00D91118" w:rsidRPr="002318C7" w:rsidRDefault="00D91118" w:rsidP="00D91118">
            <w:pPr>
              <w:tabs>
                <w:tab w:val="left" w:pos="10206"/>
                <w:tab w:val="left" w:pos="10490"/>
              </w:tabs>
              <w:spacing w:line="360" w:lineRule="auto"/>
              <w:ind w:right="-1" w:firstLine="567"/>
              <w:jc w:val="both"/>
              <w:rPr>
                <w:highlight w:val="yellow"/>
              </w:rPr>
            </w:pPr>
            <w:r w:rsidRPr="14B22F8F">
              <w:lastRenderedPageBreak/>
              <w:t xml:space="preserve">Lietuvos Respublikos Seimas, vadovaudamasis Lietuvos Respublikos klimato kaitos valdymo finansinių instrumentų įstatymo 3 straipsnio 3 dalimi </w:t>
            </w:r>
            <w:r w:rsidRPr="00794624">
              <w:t>ir</w:t>
            </w:r>
            <w:r w:rsidR="006D3DEB" w:rsidRPr="00794624">
              <w:t xml:space="preserve"> 4 straipsnio 1 punktu,</w:t>
            </w:r>
            <w:r w:rsidRPr="00794624">
              <w:t xml:space="preserve"> įgyvendindamas </w:t>
            </w:r>
            <w:r w:rsidRPr="14B22F8F">
              <w:t xml:space="preserve">2018 m. gruodžio 11 d. Europos Parlamento ir Tarybos reglamento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(toliau – Reglamentas (ES) 2018/1999) 15 ir 19 straipsnius, </w:t>
            </w:r>
            <w:r w:rsidRPr="52981CFE">
              <w:t xml:space="preserve"> n u t a r i a:</w:t>
            </w:r>
          </w:p>
          <w:p w14:paraId="34CE5944" w14:textId="77777777" w:rsidR="00D91118" w:rsidRPr="002318C7" w:rsidRDefault="00D91118" w:rsidP="00D91118">
            <w:pPr>
              <w:spacing w:line="360" w:lineRule="auto"/>
              <w:ind w:right="-1" w:firstLine="567"/>
              <w:jc w:val="both"/>
            </w:pPr>
            <w:bookmarkStart w:id="1" w:name="part_7debecc3aa4d4de8a2ebf80aeeb072eb"/>
            <w:bookmarkEnd w:id="1"/>
          </w:p>
          <w:p w14:paraId="6B435EDE" w14:textId="77777777" w:rsidR="00D91118" w:rsidRPr="007A7F5F" w:rsidRDefault="00D91118" w:rsidP="00D91118">
            <w:pPr>
              <w:tabs>
                <w:tab w:val="left" w:pos="10206"/>
                <w:tab w:val="left" w:pos="10490"/>
              </w:tabs>
              <w:spacing w:line="360" w:lineRule="auto"/>
              <w:ind w:right="-1" w:firstLine="567"/>
              <w:jc w:val="both"/>
              <w:rPr>
                <w:b/>
                <w:lang w:eastAsia="ru-RU"/>
              </w:rPr>
            </w:pPr>
            <w:bookmarkStart w:id="2" w:name="part_47c1143a30e345d2ace8070fbf6dd997"/>
            <w:bookmarkStart w:id="3" w:name="part_1bbf9c479cb548228b227888ef56715d"/>
            <w:bookmarkEnd w:id="2"/>
            <w:bookmarkEnd w:id="3"/>
            <w:r w:rsidRPr="007A7F5F">
              <w:rPr>
                <w:b/>
              </w:rPr>
              <w:t>1 straipsnis.</w:t>
            </w:r>
          </w:p>
          <w:p w14:paraId="129B4A56" w14:textId="77777777" w:rsidR="00D91118" w:rsidRDefault="00D91118" w:rsidP="00D91118">
            <w:pPr>
              <w:tabs>
                <w:tab w:val="left" w:pos="10206"/>
                <w:tab w:val="left" w:pos="10490"/>
              </w:tabs>
              <w:spacing w:line="360" w:lineRule="auto"/>
              <w:ind w:right="-1" w:firstLine="567"/>
              <w:rPr>
                <w:color w:val="000000"/>
              </w:rPr>
            </w:pPr>
            <w:r w:rsidRPr="76EBE41F">
              <w:rPr>
                <w:color w:val="000000" w:themeColor="text1"/>
              </w:rPr>
              <w:t>Patvirtinti Nacionalinę klimato kaitos valdymo  darbotvarkę (pridedama).</w:t>
            </w:r>
            <w:bookmarkStart w:id="4" w:name="part_adceec1116594b26996929196a4c6561"/>
            <w:bookmarkEnd w:id="4"/>
          </w:p>
          <w:p w14:paraId="6A7F7711" w14:textId="77777777" w:rsidR="00D91118" w:rsidRDefault="00D91118" w:rsidP="00D91118">
            <w:pPr>
              <w:tabs>
                <w:tab w:val="left" w:pos="10206"/>
                <w:tab w:val="left" w:pos="10490"/>
              </w:tabs>
              <w:spacing w:line="360" w:lineRule="auto"/>
              <w:ind w:right="-1" w:firstLine="567"/>
              <w:jc w:val="both"/>
              <w:rPr>
                <w:b/>
              </w:rPr>
            </w:pPr>
            <w:bookmarkStart w:id="5" w:name="part_bf6e638e63f84c9c9b87345fb4128ac9"/>
            <w:bookmarkStart w:id="6" w:name="part_819566b0ff5a4df0b249395a698d4340"/>
            <w:bookmarkStart w:id="7" w:name="part_b5288838d8934360ba06d7e0f9e6b1fa"/>
            <w:bookmarkEnd w:id="5"/>
            <w:bookmarkEnd w:id="6"/>
            <w:bookmarkEnd w:id="7"/>
          </w:p>
          <w:p w14:paraId="314E7196" w14:textId="3C9AB22B" w:rsidR="009C26CE" w:rsidRPr="00141A80" w:rsidRDefault="009C26CE" w:rsidP="006D3DEB">
            <w:pPr>
              <w:tabs>
                <w:tab w:val="left" w:pos="10206"/>
                <w:tab w:val="left" w:pos="10490"/>
              </w:tabs>
              <w:spacing w:line="360" w:lineRule="auto"/>
              <w:ind w:right="-1" w:firstLine="567"/>
              <w:jc w:val="both"/>
              <w:rPr>
                <w:rFonts w:eastAsia="Times New Roman"/>
                <w:color w:val="000000"/>
                <w:lang w:eastAsia="ar-SA"/>
              </w:rPr>
            </w:pPr>
          </w:p>
        </w:tc>
        <w:tc>
          <w:tcPr>
            <w:tcW w:w="156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96864DB" w14:textId="77777777" w:rsidR="003B2625" w:rsidRPr="00141A80" w:rsidRDefault="003B2625">
            <w:pPr>
              <w:snapToGrid w:val="0"/>
              <w:jc w:val="both"/>
              <w:rPr>
                <w:rFonts w:eastAsia="Times New Roman"/>
                <w:lang w:val="de-DE" w:eastAsia="ar-SA"/>
              </w:rPr>
            </w:pPr>
            <w:proofErr w:type="spellStart"/>
            <w:r w:rsidRPr="00141A80">
              <w:rPr>
                <w:rFonts w:eastAsia="Times New Roman"/>
                <w:lang w:val="de-DE" w:eastAsia="ar-SA"/>
              </w:rPr>
              <w:t>Visiškas</w:t>
            </w:r>
            <w:proofErr w:type="spellEnd"/>
          </w:p>
        </w:tc>
      </w:tr>
    </w:tbl>
    <w:p w14:paraId="6EFD2A79" w14:textId="77777777" w:rsidR="003B2625" w:rsidRPr="00141A80" w:rsidRDefault="003B2625" w:rsidP="0098430F"/>
    <w:sectPr w:rsidR="003B2625" w:rsidRPr="00141A80" w:rsidSect="002E55BE">
      <w:headerReference w:type="default" r:id="rId8"/>
      <w:footnotePr>
        <w:pos w:val="beneathText"/>
      </w:footnotePr>
      <w:pgSz w:w="11905" w:h="16837"/>
      <w:pgMar w:top="851" w:right="1134" w:bottom="709"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1200E" w14:textId="77777777" w:rsidR="002E55BE" w:rsidRDefault="002E55BE" w:rsidP="002E55BE">
      <w:r>
        <w:separator/>
      </w:r>
    </w:p>
  </w:endnote>
  <w:endnote w:type="continuationSeparator" w:id="0">
    <w:p w14:paraId="54F05FA8" w14:textId="77777777" w:rsidR="002E55BE" w:rsidRDefault="002E55BE" w:rsidP="002E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Andale Sans UI">
    <w:altName w:val="Arial Unicode MS"/>
    <w:charset w:val="BA"/>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343CB" w14:textId="77777777" w:rsidR="002E55BE" w:rsidRDefault="002E55BE" w:rsidP="002E55BE">
      <w:r>
        <w:separator/>
      </w:r>
    </w:p>
  </w:footnote>
  <w:footnote w:type="continuationSeparator" w:id="0">
    <w:p w14:paraId="6207A52B" w14:textId="77777777" w:rsidR="002E55BE" w:rsidRDefault="002E55BE" w:rsidP="002E5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09511" w14:textId="77777777" w:rsidR="002E55BE" w:rsidRDefault="002E55BE">
    <w:pPr>
      <w:pStyle w:val="Header"/>
      <w:jc w:val="center"/>
    </w:pPr>
    <w:r>
      <w:fldChar w:fldCharType="begin"/>
    </w:r>
    <w:r>
      <w:instrText xml:space="preserve"> PAGE   \* MERGEFORMAT </w:instrText>
    </w:r>
    <w:r>
      <w:fldChar w:fldCharType="separate"/>
    </w:r>
    <w:r w:rsidR="00444FFA">
      <w:rPr>
        <w:noProof/>
      </w:rPr>
      <w:t>2</w:t>
    </w:r>
    <w:r>
      <w:fldChar w:fldCharType="end"/>
    </w:r>
  </w:p>
  <w:p w14:paraId="08337D34" w14:textId="77777777" w:rsidR="002E55BE" w:rsidRDefault="002E5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29A7"/>
    <w:multiLevelType w:val="multilevel"/>
    <w:tmpl w:val="B1709A7E"/>
    <w:lvl w:ilvl="0">
      <w:start w:val="1"/>
      <w:numFmt w:val="upperRoman"/>
      <w:pStyle w:val="Strategijosskyriaus-pavadinimas"/>
      <w:lvlText w:val="%1."/>
      <w:lvlJc w:val="righ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73F74E1"/>
    <w:multiLevelType w:val="multilevel"/>
    <w:tmpl w:val="55EEFFEE"/>
    <w:lvl w:ilvl="0">
      <w:start w:val="16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E072EA7"/>
    <w:multiLevelType w:val="hybridMultilevel"/>
    <w:tmpl w:val="652CD4FC"/>
    <w:lvl w:ilvl="0" w:tplc="A1BC5306">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2CC177F"/>
    <w:multiLevelType w:val="multilevel"/>
    <w:tmpl w:val="085ABF3C"/>
    <w:lvl w:ilvl="0">
      <w:start w:val="158"/>
      <w:numFmt w:val="decimal"/>
      <w:lvlText w:val="%1."/>
      <w:lvlJc w:val="left"/>
      <w:pPr>
        <w:ind w:left="780" w:hanging="4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ED63F7"/>
    <w:multiLevelType w:val="hybridMultilevel"/>
    <w:tmpl w:val="A386B85A"/>
    <w:lvl w:ilvl="0" w:tplc="D2BE4B92">
      <w:start w:val="1"/>
      <w:numFmt w:val="decimal"/>
      <w:pStyle w:val="Lentelespavadinimas"/>
      <w:lvlText w:val="%1 lentelė."/>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1820213"/>
    <w:multiLevelType w:val="multilevel"/>
    <w:tmpl w:val="DD8E545C"/>
    <w:lvl w:ilvl="0">
      <w:start w:val="1"/>
      <w:numFmt w:val="decimal"/>
      <w:pStyle w:val="Strategijospunktai"/>
      <w:lvlText w:val="%1."/>
      <w:lvlJc w:val="left"/>
      <w:pPr>
        <w:ind w:left="0" w:firstLine="284"/>
      </w:pPr>
      <w:rPr>
        <w:rFonts w:hint="default"/>
        <w:b w:val="0"/>
      </w:rPr>
    </w:lvl>
    <w:lvl w:ilvl="1">
      <w:start w:val="1"/>
      <w:numFmt w:val="decimal"/>
      <w:isLgl/>
      <w:lvlText w:val="%1.%2."/>
      <w:lvlJc w:val="left"/>
      <w:pPr>
        <w:tabs>
          <w:tab w:val="num" w:pos="851"/>
        </w:tabs>
        <w:ind w:left="0" w:firstLine="284"/>
      </w:pPr>
      <w:rPr>
        <w:rFonts w:hint="default"/>
        <w:i w:val="0"/>
      </w:rPr>
    </w:lvl>
    <w:lvl w:ilvl="2">
      <w:start w:val="1"/>
      <w:numFmt w:val="decimal"/>
      <w:isLgl/>
      <w:lvlText w:val="%1.%2.%3."/>
      <w:lvlJc w:val="left"/>
      <w:pPr>
        <w:tabs>
          <w:tab w:val="num" w:pos="284"/>
        </w:tabs>
        <w:ind w:left="0" w:firstLine="284"/>
      </w:pPr>
      <w:rPr>
        <w:rFonts w:hint="default"/>
        <w:i w:val="0"/>
      </w:rPr>
    </w:lvl>
    <w:lvl w:ilvl="3">
      <w:start w:val="1"/>
      <w:numFmt w:val="decimal"/>
      <w:isLgl/>
      <w:lvlText w:val="%1.%2.%3.%4."/>
      <w:lvlJc w:val="left"/>
      <w:pPr>
        <w:ind w:left="0" w:firstLine="284"/>
      </w:pPr>
      <w:rPr>
        <w:rFonts w:hint="default"/>
        <w:i w:val="0"/>
      </w:rPr>
    </w:lvl>
    <w:lvl w:ilvl="4">
      <w:start w:val="1"/>
      <w:numFmt w:val="decimal"/>
      <w:isLgl/>
      <w:lvlText w:val="%1.%2.%3.%4.%5."/>
      <w:lvlJc w:val="righ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6">
    <w:nsid w:val="66A91C6C"/>
    <w:multiLevelType w:val="multilevel"/>
    <w:tmpl w:val="0B484610"/>
    <w:lvl w:ilvl="0">
      <w:start w:val="167"/>
      <w:numFmt w:val="decimal"/>
      <w:lvlText w:val="%1."/>
      <w:lvlJc w:val="left"/>
      <w:pPr>
        <w:ind w:left="780" w:hanging="4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47A2EB6"/>
    <w:multiLevelType w:val="multilevel"/>
    <w:tmpl w:val="4DF07534"/>
    <w:lvl w:ilvl="0">
      <w:start w:val="166"/>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AA"/>
    <w:rsid w:val="00016C68"/>
    <w:rsid w:val="0004702C"/>
    <w:rsid w:val="000565B5"/>
    <w:rsid w:val="000730C3"/>
    <w:rsid w:val="000C6158"/>
    <w:rsid w:val="00110E3B"/>
    <w:rsid w:val="00141A80"/>
    <w:rsid w:val="001B1D1F"/>
    <w:rsid w:val="001D359F"/>
    <w:rsid w:val="002312C5"/>
    <w:rsid w:val="0024621E"/>
    <w:rsid w:val="002C16B9"/>
    <w:rsid w:val="002C4107"/>
    <w:rsid w:val="002C540A"/>
    <w:rsid w:val="002E55BE"/>
    <w:rsid w:val="00323332"/>
    <w:rsid w:val="00325B21"/>
    <w:rsid w:val="00363328"/>
    <w:rsid w:val="003B2625"/>
    <w:rsid w:val="003C3CF5"/>
    <w:rsid w:val="00444FFA"/>
    <w:rsid w:val="004F47E9"/>
    <w:rsid w:val="00524349"/>
    <w:rsid w:val="005A4789"/>
    <w:rsid w:val="005B1287"/>
    <w:rsid w:val="005E5F42"/>
    <w:rsid w:val="0061079B"/>
    <w:rsid w:val="006123C6"/>
    <w:rsid w:val="00685DFB"/>
    <w:rsid w:val="006C4CB1"/>
    <w:rsid w:val="006D3DEB"/>
    <w:rsid w:val="006D7844"/>
    <w:rsid w:val="007621CC"/>
    <w:rsid w:val="00794624"/>
    <w:rsid w:val="007D5809"/>
    <w:rsid w:val="00822EAA"/>
    <w:rsid w:val="00862074"/>
    <w:rsid w:val="009273BD"/>
    <w:rsid w:val="0098430F"/>
    <w:rsid w:val="009A1BCC"/>
    <w:rsid w:val="009C26CE"/>
    <w:rsid w:val="00A84759"/>
    <w:rsid w:val="00B7477F"/>
    <w:rsid w:val="00C100EE"/>
    <w:rsid w:val="00CD2D5A"/>
    <w:rsid w:val="00D90FC4"/>
    <w:rsid w:val="00D91118"/>
    <w:rsid w:val="00DC3B87"/>
    <w:rsid w:val="00DE3A6E"/>
    <w:rsid w:val="00DF5E2B"/>
    <w:rsid w:val="00F34D1E"/>
    <w:rsid w:val="00F665D5"/>
    <w:rsid w:val="00F966A1"/>
    <w:rsid w:val="00FA4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3">
    <w:name w:val="Body Text Indent 3"/>
    <w:basedOn w:val="Normal"/>
    <w:pPr>
      <w:ind w:right="-567" w:firstLine="720"/>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Hyperlink2">
    <w:name w:val="Hyperlink2"/>
    <w:pPr>
      <w:suppressAutoHyphens/>
      <w:autoSpaceDE w:val="0"/>
      <w:ind w:firstLine="312"/>
      <w:jc w:val="both"/>
    </w:pPr>
    <w:rPr>
      <w:rFonts w:ascii="TimesLT" w:hAnsi="TimesLT"/>
      <w:lang w:val="en-US" w:eastAsia="ar-SA"/>
    </w:rPr>
  </w:style>
  <w:style w:type="paragraph" w:customStyle="1" w:styleId="Text1">
    <w:name w:val="Text 1"/>
    <w:basedOn w:val="Normal"/>
    <w:rsid w:val="005A4789"/>
    <w:pPr>
      <w:widowControl/>
      <w:suppressAutoHyphens w:val="0"/>
      <w:spacing w:before="120" w:after="120" w:line="360" w:lineRule="auto"/>
      <w:ind w:left="850"/>
    </w:pPr>
    <w:rPr>
      <w:rFonts w:eastAsia="Times New Roman"/>
      <w:szCs w:val="20"/>
      <w:lang w:eastAsia="en-US"/>
    </w:rPr>
  </w:style>
  <w:style w:type="paragraph" w:styleId="BodyText3">
    <w:name w:val="Body Text 3"/>
    <w:basedOn w:val="Normal"/>
    <w:link w:val="BodyText3Char"/>
    <w:uiPriority w:val="99"/>
    <w:semiHidden/>
    <w:unhideWhenUsed/>
    <w:rsid w:val="00C100EE"/>
    <w:pPr>
      <w:spacing w:after="120"/>
    </w:pPr>
    <w:rPr>
      <w:sz w:val="16"/>
      <w:szCs w:val="16"/>
    </w:rPr>
  </w:style>
  <w:style w:type="character" w:customStyle="1" w:styleId="BodyText3Char">
    <w:name w:val="Body Text 3 Char"/>
    <w:basedOn w:val="DefaultParagraphFont"/>
    <w:link w:val="BodyText3"/>
    <w:uiPriority w:val="99"/>
    <w:semiHidden/>
    <w:rsid w:val="00C100EE"/>
    <w:rPr>
      <w:rFonts w:eastAsia="Arial Unicode MS"/>
      <w:sz w:val="16"/>
      <w:szCs w:val="16"/>
    </w:rPr>
  </w:style>
  <w:style w:type="paragraph" w:customStyle="1" w:styleId="Strategijospunktai">
    <w:name w:val="Strategijos_punktai"/>
    <w:basedOn w:val="BodyText2"/>
    <w:qFormat/>
    <w:rsid w:val="00DC3B87"/>
    <w:pPr>
      <w:widowControl/>
      <w:numPr>
        <w:numId w:val="2"/>
      </w:numPr>
      <w:suppressAutoHyphens w:val="0"/>
      <w:spacing w:after="0" w:line="360" w:lineRule="atLeast"/>
      <w:jc w:val="both"/>
    </w:pPr>
    <w:rPr>
      <w:rFonts w:eastAsia="PMingLiU"/>
      <w:bCs/>
      <w:szCs w:val="23"/>
    </w:rPr>
  </w:style>
  <w:style w:type="paragraph" w:customStyle="1" w:styleId="Lentelespavadinimas">
    <w:name w:val="Lenteles pavadinimas"/>
    <w:qFormat/>
    <w:rsid w:val="00DC3B87"/>
    <w:pPr>
      <w:numPr>
        <w:numId w:val="1"/>
      </w:numPr>
      <w:spacing w:before="120" w:after="120"/>
      <w:ind w:left="714" w:hanging="357"/>
    </w:pPr>
    <w:rPr>
      <w:rFonts w:eastAsia="Lucida Sans Unicode"/>
      <w:kern w:val="18"/>
      <w:sz w:val="22"/>
      <w:szCs w:val="24"/>
      <w:lang w:eastAsia="en-US"/>
    </w:rPr>
  </w:style>
  <w:style w:type="paragraph" w:styleId="BodyText2">
    <w:name w:val="Body Text 2"/>
    <w:basedOn w:val="Normal"/>
    <w:link w:val="BodyText2Char"/>
    <w:uiPriority w:val="99"/>
    <w:semiHidden/>
    <w:unhideWhenUsed/>
    <w:rsid w:val="00DC3B87"/>
    <w:pPr>
      <w:spacing w:after="120" w:line="480" w:lineRule="auto"/>
    </w:pPr>
  </w:style>
  <w:style w:type="character" w:customStyle="1" w:styleId="BodyText2Char">
    <w:name w:val="Body Text 2 Char"/>
    <w:basedOn w:val="DefaultParagraphFont"/>
    <w:link w:val="BodyText2"/>
    <w:uiPriority w:val="99"/>
    <w:semiHidden/>
    <w:rsid w:val="00DC3B87"/>
    <w:rPr>
      <w:rFonts w:eastAsia="Arial Unicode MS"/>
      <w:sz w:val="24"/>
      <w:szCs w:val="24"/>
    </w:rPr>
  </w:style>
  <w:style w:type="paragraph" w:customStyle="1" w:styleId="Strategijosskyriaus-pavadinimas">
    <w:name w:val="Strategijos_skyriaus-pavadinimas"/>
    <w:basedOn w:val="BodyText2"/>
    <w:qFormat/>
    <w:rsid w:val="00DC3B87"/>
    <w:pPr>
      <w:widowControl/>
      <w:numPr>
        <w:numId w:val="3"/>
      </w:numPr>
      <w:suppressAutoHyphens w:val="0"/>
      <w:spacing w:before="240" w:after="240" w:line="240" w:lineRule="auto"/>
      <w:jc w:val="center"/>
    </w:pPr>
    <w:rPr>
      <w:rFonts w:eastAsia="PMingLiU"/>
      <w:b/>
      <w:lang w:eastAsia="zh-TW"/>
    </w:rPr>
  </w:style>
  <w:style w:type="paragraph" w:customStyle="1" w:styleId="NormalCentered">
    <w:name w:val="Normal Centered"/>
    <w:basedOn w:val="Normal"/>
    <w:rsid w:val="009C26CE"/>
    <w:pPr>
      <w:widowControl/>
      <w:suppressAutoHyphens w:val="0"/>
      <w:spacing w:before="120" w:after="120" w:line="360" w:lineRule="auto"/>
      <w:jc w:val="center"/>
    </w:pPr>
    <w:rPr>
      <w:rFonts w:eastAsia="Times New Roman"/>
      <w:szCs w:val="20"/>
      <w:lang w:eastAsia="en-US"/>
    </w:rPr>
  </w:style>
  <w:style w:type="paragraph" w:customStyle="1" w:styleId="Annexetitreacte">
    <w:name w:val="Annexe titre (acte)"/>
    <w:basedOn w:val="Normal"/>
    <w:next w:val="Normal"/>
    <w:rsid w:val="009C26CE"/>
    <w:pPr>
      <w:widowControl/>
      <w:suppressAutoHyphens w:val="0"/>
      <w:spacing w:before="120" w:after="120" w:line="360" w:lineRule="auto"/>
      <w:jc w:val="center"/>
    </w:pPr>
    <w:rPr>
      <w:rFonts w:eastAsia="Times New Roman"/>
      <w:b/>
      <w:szCs w:val="20"/>
      <w:u w:val="single"/>
      <w:lang w:eastAsia="en-US"/>
    </w:rPr>
  </w:style>
  <w:style w:type="table" w:styleId="TableGrid">
    <w:name w:val="Table Grid"/>
    <w:basedOn w:val="TableNormal"/>
    <w:rsid w:val="009C26CE"/>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809"/>
    <w:rPr>
      <w:rFonts w:ascii="Tahoma" w:hAnsi="Tahoma" w:cs="Tahoma"/>
      <w:sz w:val="16"/>
      <w:szCs w:val="16"/>
    </w:rPr>
  </w:style>
  <w:style w:type="character" w:customStyle="1" w:styleId="BalloonTextChar">
    <w:name w:val="Balloon Text Char"/>
    <w:basedOn w:val="DefaultParagraphFont"/>
    <w:link w:val="BalloonText"/>
    <w:uiPriority w:val="99"/>
    <w:semiHidden/>
    <w:rsid w:val="007D5809"/>
    <w:rPr>
      <w:rFonts w:ascii="Tahoma" w:eastAsia="Arial Unicode MS" w:hAnsi="Tahoma" w:cs="Tahoma"/>
      <w:sz w:val="16"/>
      <w:szCs w:val="16"/>
    </w:rPr>
  </w:style>
  <w:style w:type="paragraph" w:styleId="Header">
    <w:name w:val="header"/>
    <w:basedOn w:val="Normal"/>
    <w:link w:val="HeaderChar"/>
    <w:uiPriority w:val="99"/>
    <w:unhideWhenUsed/>
    <w:rsid w:val="002E55BE"/>
    <w:pPr>
      <w:tabs>
        <w:tab w:val="center" w:pos="4819"/>
        <w:tab w:val="right" w:pos="9638"/>
      </w:tabs>
    </w:pPr>
  </w:style>
  <w:style w:type="character" w:customStyle="1" w:styleId="HeaderChar">
    <w:name w:val="Header Char"/>
    <w:basedOn w:val="DefaultParagraphFont"/>
    <w:link w:val="Header"/>
    <w:uiPriority w:val="99"/>
    <w:rsid w:val="002E55BE"/>
    <w:rPr>
      <w:rFonts w:eastAsia="Arial Unicode MS"/>
      <w:sz w:val="24"/>
      <w:szCs w:val="24"/>
    </w:rPr>
  </w:style>
  <w:style w:type="paragraph" w:styleId="Footer">
    <w:name w:val="footer"/>
    <w:basedOn w:val="Normal"/>
    <w:link w:val="FooterChar"/>
    <w:uiPriority w:val="99"/>
    <w:unhideWhenUsed/>
    <w:rsid w:val="002E55BE"/>
    <w:pPr>
      <w:tabs>
        <w:tab w:val="center" w:pos="4819"/>
        <w:tab w:val="right" w:pos="9638"/>
      </w:tabs>
    </w:pPr>
  </w:style>
  <w:style w:type="character" w:customStyle="1" w:styleId="FooterChar">
    <w:name w:val="Footer Char"/>
    <w:basedOn w:val="DefaultParagraphFont"/>
    <w:link w:val="Footer"/>
    <w:uiPriority w:val="99"/>
    <w:rsid w:val="002E55BE"/>
    <w:rPr>
      <w:rFonts w:eastAsia="Arial Unicode MS"/>
      <w:sz w:val="24"/>
      <w:szCs w:val="24"/>
    </w:rPr>
  </w:style>
  <w:style w:type="character" w:styleId="CommentReference">
    <w:name w:val="annotation reference"/>
    <w:semiHidden/>
    <w:rsid w:val="006C4CB1"/>
    <w:rPr>
      <w:sz w:val="16"/>
      <w:szCs w:val="16"/>
    </w:rPr>
  </w:style>
  <w:style w:type="paragraph" w:customStyle="1" w:styleId="prastasis1">
    <w:name w:val="Įprastasis1"/>
    <w:basedOn w:val="Normal"/>
    <w:rsid w:val="00016C68"/>
    <w:pPr>
      <w:widowControl/>
      <w:suppressAutoHyphens w:val="0"/>
      <w:spacing w:before="100" w:beforeAutospacing="1" w:after="100" w:afterAutospacing="1"/>
    </w:pPr>
    <w:rPr>
      <w:rFonts w:eastAsia="Times New Roman"/>
    </w:rPr>
  </w:style>
  <w:style w:type="character" w:customStyle="1" w:styleId="sub">
    <w:name w:val="sub"/>
    <w:basedOn w:val="DefaultParagraphFont"/>
    <w:rsid w:val="00016C68"/>
  </w:style>
  <w:style w:type="paragraph" w:customStyle="1" w:styleId="TeisesAktoRusis">
    <w:name w:val="TeisesAktoRusis"/>
    <w:basedOn w:val="Normal"/>
    <w:rsid w:val="000C6158"/>
    <w:pPr>
      <w:widowControl/>
      <w:suppressAutoHyphens w:val="0"/>
      <w:spacing w:before="80" w:after="480" w:line="360" w:lineRule="auto"/>
      <w:ind w:firstLine="720"/>
      <w:jc w:val="center"/>
    </w:pPr>
    <w:rPr>
      <w:rFonts w:ascii="TimesLT" w:eastAsia="Times New Roman" w:hAnsi="TimesLT"/>
      <w:b/>
      <w:spacing w:val="20"/>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3">
    <w:name w:val="Body Text Indent 3"/>
    <w:basedOn w:val="Normal"/>
    <w:pPr>
      <w:ind w:right="-567" w:firstLine="720"/>
      <w:jc w:val="both"/>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Hyperlink2">
    <w:name w:val="Hyperlink2"/>
    <w:pPr>
      <w:suppressAutoHyphens/>
      <w:autoSpaceDE w:val="0"/>
      <w:ind w:firstLine="312"/>
      <w:jc w:val="both"/>
    </w:pPr>
    <w:rPr>
      <w:rFonts w:ascii="TimesLT" w:hAnsi="TimesLT"/>
      <w:lang w:val="en-US" w:eastAsia="ar-SA"/>
    </w:rPr>
  </w:style>
  <w:style w:type="paragraph" w:customStyle="1" w:styleId="Text1">
    <w:name w:val="Text 1"/>
    <w:basedOn w:val="Normal"/>
    <w:rsid w:val="005A4789"/>
    <w:pPr>
      <w:widowControl/>
      <w:suppressAutoHyphens w:val="0"/>
      <w:spacing w:before="120" w:after="120" w:line="360" w:lineRule="auto"/>
      <w:ind w:left="850"/>
    </w:pPr>
    <w:rPr>
      <w:rFonts w:eastAsia="Times New Roman"/>
      <w:szCs w:val="20"/>
      <w:lang w:eastAsia="en-US"/>
    </w:rPr>
  </w:style>
  <w:style w:type="paragraph" w:styleId="BodyText3">
    <w:name w:val="Body Text 3"/>
    <w:basedOn w:val="Normal"/>
    <w:link w:val="BodyText3Char"/>
    <w:uiPriority w:val="99"/>
    <w:semiHidden/>
    <w:unhideWhenUsed/>
    <w:rsid w:val="00C100EE"/>
    <w:pPr>
      <w:spacing w:after="120"/>
    </w:pPr>
    <w:rPr>
      <w:sz w:val="16"/>
      <w:szCs w:val="16"/>
    </w:rPr>
  </w:style>
  <w:style w:type="character" w:customStyle="1" w:styleId="BodyText3Char">
    <w:name w:val="Body Text 3 Char"/>
    <w:basedOn w:val="DefaultParagraphFont"/>
    <w:link w:val="BodyText3"/>
    <w:uiPriority w:val="99"/>
    <w:semiHidden/>
    <w:rsid w:val="00C100EE"/>
    <w:rPr>
      <w:rFonts w:eastAsia="Arial Unicode MS"/>
      <w:sz w:val="16"/>
      <w:szCs w:val="16"/>
    </w:rPr>
  </w:style>
  <w:style w:type="paragraph" w:customStyle="1" w:styleId="Strategijospunktai">
    <w:name w:val="Strategijos_punktai"/>
    <w:basedOn w:val="BodyText2"/>
    <w:qFormat/>
    <w:rsid w:val="00DC3B87"/>
    <w:pPr>
      <w:widowControl/>
      <w:numPr>
        <w:numId w:val="2"/>
      </w:numPr>
      <w:suppressAutoHyphens w:val="0"/>
      <w:spacing w:after="0" w:line="360" w:lineRule="atLeast"/>
      <w:jc w:val="both"/>
    </w:pPr>
    <w:rPr>
      <w:rFonts w:eastAsia="PMingLiU"/>
      <w:bCs/>
      <w:szCs w:val="23"/>
    </w:rPr>
  </w:style>
  <w:style w:type="paragraph" w:customStyle="1" w:styleId="Lentelespavadinimas">
    <w:name w:val="Lenteles pavadinimas"/>
    <w:qFormat/>
    <w:rsid w:val="00DC3B87"/>
    <w:pPr>
      <w:numPr>
        <w:numId w:val="1"/>
      </w:numPr>
      <w:spacing w:before="120" w:after="120"/>
      <w:ind w:left="714" w:hanging="357"/>
    </w:pPr>
    <w:rPr>
      <w:rFonts w:eastAsia="Lucida Sans Unicode"/>
      <w:kern w:val="18"/>
      <w:sz w:val="22"/>
      <w:szCs w:val="24"/>
      <w:lang w:eastAsia="en-US"/>
    </w:rPr>
  </w:style>
  <w:style w:type="paragraph" w:styleId="BodyText2">
    <w:name w:val="Body Text 2"/>
    <w:basedOn w:val="Normal"/>
    <w:link w:val="BodyText2Char"/>
    <w:uiPriority w:val="99"/>
    <w:semiHidden/>
    <w:unhideWhenUsed/>
    <w:rsid w:val="00DC3B87"/>
    <w:pPr>
      <w:spacing w:after="120" w:line="480" w:lineRule="auto"/>
    </w:pPr>
  </w:style>
  <w:style w:type="character" w:customStyle="1" w:styleId="BodyText2Char">
    <w:name w:val="Body Text 2 Char"/>
    <w:basedOn w:val="DefaultParagraphFont"/>
    <w:link w:val="BodyText2"/>
    <w:uiPriority w:val="99"/>
    <w:semiHidden/>
    <w:rsid w:val="00DC3B87"/>
    <w:rPr>
      <w:rFonts w:eastAsia="Arial Unicode MS"/>
      <w:sz w:val="24"/>
      <w:szCs w:val="24"/>
    </w:rPr>
  </w:style>
  <w:style w:type="paragraph" w:customStyle="1" w:styleId="Strategijosskyriaus-pavadinimas">
    <w:name w:val="Strategijos_skyriaus-pavadinimas"/>
    <w:basedOn w:val="BodyText2"/>
    <w:qFormat/>
    <w:rsid w:val="00DC3B87"/>
    <w:pPr>
      <w:widowControl/>
      <w:numPr>
        <w:numId w:val="3"/>
      </w:numPr>
      <w:suppressAutoHyphens w:val="0"/>
      <w:spacing w:before="240" w:after="240" w:line="240" w:lineRule="auto"/>
      <w:jc w:val="center"/>
    </w:pPr>
    <w:rPr>
      <w:rFonts w:eastAsia="PMingLiU"/>
      <w:b/>
      <w:lang w:eastAsia="zh-TW"/>
    </w:rPr>
  </w:style>
  <w:style w:type="paragraph" w:customStyle="1" w:styleId="NormalCentered">
    <w:name w:val="Normal Centered"/>
    <w:basedOn w:val="Normal"/>
    <w:rsid w:val="009C26CE"/>
    <w:pPr>
      <w:widowControl/>
      <w:suppressAutoHyphens w:val="0"/>
      <w:spacing w:before="120" w:after="120" w:line="360" w:lineRule="auto"/>
      <w:jc w:val="center"/>
    </w:pPr>
    <w:rPr>
      <w:rFonts w:eastAsia="Times New Roman"/>
      <w:szCs w:val="20"/>
      <w:lang w:eastAsia="en-US"/>
    </w:rPr>
  </w:style>
  <w:style w:type="paragraph" w:customStyle="1" w:styleId="Annexetitreacte">
    <w:name w:val="Annexe titre (acte)"/>
    <w:basedOn w:val="Normal"/>
    <w:next w:val="Normal"/>
    <w:rsid w:val="009C26CE"/>
    <w:pPr>
      <w:widowControl/>
      <w:suppressAutoHyphens w:val="0"/>
      <w:spacing w:before="120" w:after="120" w:line="360" w:lineRule="auto"/>
      <w:jc w:val="center"/>
    </w:pPr>
    <w:rPr>
      <w:rFonts w:eastAsia="Times New Roman"/>
      <w:b/>
      <w:szCs w:val="20"/>
      <w:u w:val="single"/>
      <w:lang w:eastAsia="en-US"/>
    </w:rPr>
  </w:style>
  <w:style w:type="table" w:styleId="TableGrid">
    <w:name w:val="Table Grid"/>
    <w:basedOn w:val="TableNormal"/>
    <w:rsid w:val="009C26CE"/>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809"/>
    <w:rPr>
      <w:rFonts w:ascii="Tahoma" w:hAnsi="Tahoma" w:cs="Tahoma"/>
      <w:sz w:val="16"/>
      <w:szCs w:val="16"/>
    </w:rPr>
  </w:style>
  <w:style w:type="character" w:customStyle="1" w:styleId="BalloonTextChar">
    <w:name w:val="Balloon Text Char"/>
    <w:basedOn w:val="DefaultParagraphFont"/>
    <w:link w:val="BalloonText"/>
    <w:uiPriority w:val="99"/>
    <w:semiHidden/>
    <w:rsid w:val="007D5809"/>
    <w:rPr>
      <w:rFonts w:ascii="Tahoma" w:eastAsia="Arial Unicode MS" w:hAnsi="Tahoma" w:cs="Tahoma"/>
      <w:sz w:val="16"/>
      <w:szCs w:val="16"/>
    </w:rPr>
  </w:style>
  <w:style w:type="paragraph" w:styleId="Header">
    <w:name w:val="header"/>
    <w:basedOn w:val="Normal"/>
    <w:link w:val="HeaderChar"/>
    <w:uiPriority w:val="99"/>
    <w:unhideWhenUsed/>
    <w:rsid w:val="002E55BE"/>
    <w:pPr>
      <w:tabs>
        <w:tab w:val="center" w:pos="4819"/>
        <w:tab w:val="right" w:pos="9638"/>
      </w:tabs>
    </w:pPr>
  </w:style>
  <w:style w:type="character" w:customStyle="1" w:styleId="HeaderChar">
    <w:name w:val="Header Char"/>
    <w:basedOn w:val="DefaultParagraphFont"/>
    <w:link w:val="Header"/>
    <w:uiPriority w:val="99"/>
    <w:rsid w:val="002E55BE"/>
    <w:rPr>
      <w:rFonts w:eastAsia="Arial Unicode MS"/>
      <w:sz w:val="24"/>
      <w:szCs w:val="24"/>
    </w:rPr>
  </w:style>
  <w:style w:type="paragraph" w:styleId="Footer">
    <w:name w:val="footer"/>
    <w:basedOn w:val="Normal"/>
    <w:link w:val="FooterChar"/>
    <w:uiPriority w:val="99"/>
    <w:unhideWhenUsed/>
    <w:rsid w:val="002E55BE"/>
    <w:pPr>
      <w:tabs>
        <w:tab w:val="center" w:pos="4819"/>
        <w:tab w:val="right" w:pos="9638"/>
      </w:tabs>
    </w:pPr>
  </w:style>
  <w:style w:type="character" w:customStyle="1" w:styleId="FooterChar">
    <w:name w:val="Footer Char"/>
    <w:basedOn w:val="DefaultParagraphFont"/>
    <w:link w:val="Footer"/>
    <w:uiPriority w:val="99"/>
    <w:rsid w:val="002E55BE"/>
    <w:rPr>
      <w:rFonts w:eastAsia="Arial Unicode MS"/>
      <w:sz w:val="24"/>
      <w:szCs w:val="24"/>
    </w:rPr>
  </w:style>
  <w:style w:type="character" w:styleId="CommentReference">
    <w:name w:val="annotation reference"/>
    <w:semiHidden/>
    <w:rsid w:val="006C4CB1"/>
    <w:rPr>
      <w:sz w:val="16"/>
      <w:szCs w:val="16"/>
    </w:rPr>
  </w:style>
  <w:style w:type="paragraph" w:customStyle="1" w:styleId="prastasis1">
    <w:name w:val="Įprastasis1"/>
    <w:basedOn w:val="Normal"/>
    <w:rsid w:val="00016C68"/>
    <w:pPr>
      <w:widowControl/>
      <w:suppressAutoHyphens w:val="0"/>
      <w:spacing w:before="100" w:beforeAutospacing="1" w:after="100" w:afterAutospacing="1"/>
    </w:pPr>
    <w:rPr>
      <w:rFonts w:eastAsia="Times New Roman"/>
    </w:rPr>
  </w:style>
  <w:style w:type="character" w:customStyle="1" w:styleId="sub">
    <w:name w:val="sub"/>
    <w:basedOn w:val="DefaultParagraphFont"/>
    <w:rsid w:val="00016C68"/>
  </w:style>
  <w:style w:type="paragraph" w:customStyle="1" w:styleId="TeisesAktoRusis">
    <w:name w:val="TeisesAktoRusis"/>
    <w:basedOn w:val="Normal"/>
    <w:rsid w:val="000C6158"/>
    <w:pPr>
      <w:widowControl/>
      <w:suppressAutoHyphens w:val="0"/>
      <w:spacing w:before="80" w:after="480" w:line="360" w:lineRule="auto"/>
      <w:ind w:firstLine="720"/>
      <w:jc w:val="center"/>
    </w:pPr>
    <w:rPr>
      <w:rFonts w:ascii="TimesLT" w:eastAsia="Times New Roman" w:hAnsi="TimesLT"/>
      <w:b/>
      <w:spacing w:val="20"/>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3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2006 M</vt:lpstr>
      <vt:lpstr>2006 M</vt:lpstr>
    </vt:vector>
  </TitlesOfParts>
  <Company>AM</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M</dc:title>
  <dc:creator>s-znutiene</dc:creator>
  <cp:lastModifiedBy>Jurga Valainytė</cp:lastModifiedBy>
  <cp:revision>4</cp:revision>
  <cp:lastPrinted>2019-12-05T12:56:00Z</cp:lastPrinted>
  <dcterms:created xsi:type="dcterms:W3CDTF">2021-02-12T09:34:00Z</dcterms:created>
  <dcterms:modified xsi:type="dcterms:W3CDTF">2021-04-23T14:27:00Z</dcterms:modified>
</cp:coreProperties>
</file>