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7" w:type="dxa"/>
        <w:tblInd w:w="53" w:type="dxa"/>
        <w:tblLayout w:type="fixed"/>
        <w:tblLook w:val="0000"/>
      </w:tblPr>
      <w:tblGrid>
        <w:gridCol w:w="4450"/>
        <w:gridCol w:w="539"/>
        <w:gridCol w:w="453"/>
        <w:gridCol w:w="1309"/>
        <w:gridCol w:w="567"/>
        <w:gridCol w:w="2376"/>
        <w:gridCol w:w="283"/>
      </w:tblGrid>
      <w:tr w:rsidR="00183E4C">
        <w:trPr>
          <w:gridAfter w:val="1"/>
          <w:wAfter w:w="283" w:type="dxa"/>
          <w:cantSplit/>
          <w:trHeight w:val="932"/>
        </w:trPr>
        <w:tc>
          <w:tcPr>
            <w:tcW w:w="4450" w:type="dxa"/>
          </w:tcPr>
          <w:p w:rsidR="00183E4C" w:rsidRPr="0052777A" w:rsidRDefault="00183E4C">
            <w:pPr>
              <w:pStyle w:val="Heading2"/>
              <w:rPr>
                <w:rFonts w:ascii="Times New Roman" w:hAnsi="Times New Roman"/>
                <w:bCs w:val="0"/>
                <w:i w:val="0"/>
                <w:iCs w:val="0"/>
                <w:sz w:val="24"/>
                <w:szCs w:val="20"/>
              </w:rPr>
            </w:pPr>
          </w:p>
        </w:tc>
        <w:tc>
          <w:tcPr>
            <w:tcW w:w="992" w:type="dxa"/>
            <w:gridSpan w:val="2"/>
          </w:tcPr>
          <w:p w:rsidR="00183E4C" w:rsidRDefault="00183E4C">
            <w:pPr>
              <w:rPr>
                <w:rFonts w:ascii="Times New Roman" w:hAnsi="Times New Roman"/>
              </w:rPr>
            </w:pPr>
            <w:r w:rsidRPr="004A25EE">
              <w:rPr>
                <w:rFonts w:ascii="Times New Roman" w:hAnsi="Times New Roman"/>
                <w:noProof/>
                <w:lang w:eastAsia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veikslėlis 1" o:spid="_x0000_i1025" type="#_x0000_t75" style="width:37.8pt;height:43.8pt;visibility:visible">
                  <v:imagedata r:id="rId7" o:title="" gain="69719f" grayscale="t"/>
                </v:shape>
              </w:pict>
            </w:r>
          </w:p>
        </w:tc>
        <w:tc>
          <w:tcPr>
            <w:tcW w:w="4252" w:type="dxa"/>
            <w:gridSpan w:val="3"/>
          </w:tcPr>
          <w:p w:rsidR="00183E4C" w:rsidRDefault="00183E4C">
            <w:pPr>
              <w:rPr>
                <w:rFonts w:ascii="Times New Roman" w:hAnsi="Times New Roman"/>
              </w:rPr>
            </w:pPr>
          </w:p>
        </w:tc>
      </w:tr>
      <w:tr w:rsidR="00183E4C">
        <w:trPr>
          <w:gridAfter w:val="1"/>
          <w:wAfter w:w="283" w:type="dxa"/>
          <w:cantSplit/>
          <w:trHeight w:val="1002"/>
        </w:trPr>
        <w:tc>
          <w:tcPr>
            <w:tcW w:w="9694" w:type="dxa"/>
            <w:gridSpan w:val="6"/>
            <w:tcBorders>
              <w:bottom w:val="single" w:sz="8" w:space="0" w:color="000000"/>
            </w:tcBorders>
          </w:tcPr>
          <w:p w:rsidR="00183E4C" w:rsidRDefault="00183E4C">
            <w:pPr>
              <w:rPr>
                <w:sz w:val="18"/>
              </w:rPr>
            </w:pPr>
          </w:p>
          <w:p w:rsidR="00183E4C" w:rsidRPr="0052777A" w:rsidRDefault="00183E4C">
            <w:pPr>
              <w:pStyle w:val="Heading1"/>
              <w:spacing w:before="120"/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</w:pPr>
            <w:r w:rsidRPr="0052777A">
              <w:rPr>
                <w:rFonts w:ascii="Times New Roman" w:hAnsi="Times New Roman"/>
                <w:bCs w:val="0"/>
                <w:kern w:val="0"/>
                <w:sz w:val="24"/>
                <w:szCs w:val="20"/>
              </w:rPr>
              <w:t>ŠVENČIONIŲ RAJONO SAVIVALDYBĖS ADMINISTRACIJA</w:t>
            </w:r>
          </w:p>
          <w:p w:rsidR="00183E4C" w:rsidRDefault="00183E4C">
            <w:pPr>
              <w:jc w:val="center"/>
              <w:rPr>
                <w:sz w:val="18"/>
              </w:rPr>
            </w:pPr>
          </w:p>
          <w:p w:rsidR="00183E4C" w:rsidRDefault="00183E4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Biudžetinė įstaiga, Vilniaus g. 19, LT-18116 Švenčionys, tel. (8 387) 66 372,</w:t>
            </w:r>
          </w:p>
          <w:p w:rsidR="00183E4C" w:rsidRDefault="00183E4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faks. (8 387) 66 365, el.p. savivaldybe</w:t>
            </w:r>
            <w:r>
              <w:rPr>
                <w:rFonts w:ascii="Times New Roman" w:hAnsi="Times New Roman"/>
                <w:sz w:val="18"/>
                <w:lang w:val="en-US"/>
              </w:rPr>
              <w:t>@</w:t>
            </w:r>
            <w:r>
              <w:rPr>
                <w:rFonts w:ascii="Times New Roman" w:hAnsi="Times New Roman"/>
                <w:sz w:val="18"/>
              </w:rPr>
              <w:t xml:space="preserve">svencionys.lt </w:t>
            </w:r>
          </w:p>
          <w:p w:rsidR="00183E4C" w:rsidRDefault="00183E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Duomenys kaupiami ir saugomi Juridinių asmenų registre, kodas 188766722</w:t>
            </w:r>
          </w:p>
          <w:p w:rsidR="00183E4C" w:rsidRDefault="00183E4C">
            <w:pPr>
              <w:jc w:val="center"/>
              <w:rPr>
                <w:b/>
                <w:bCs/>
                <w:sz w:val="8"/>
              </w:rPr>
            </w:pPr>
          </w:p>
        </w:tc>
      </w:tr>
      <w:tr w:rsidR="00183E4C">
        <w:trPr>
          <w:gridAfter w:val="1"/>
          <w:wAfter w:w="283" w:type="dxa"/>
          <w:cantSplit/>
          <w:trHeight w:val="583"/>
        </w:trPr>
        <w:tc>
          <w:tcPr>
            <w:tcW w:w="4450" w:type="dxa"/>
            <w:vMerge w:val="restart"/>
            <w:tcBorders>
              <w:top w:val="single" w:sz="8" w:space="0" w:color="000000"/>
            </w:tcBorders>
          </w:tcPr>
          <w:p w:rsidR="00183E4C" w:rsidRDefault="00183E4C">
            <w:pPr>
              <w:rPr>
                <w:rFonts w:ascii="Times New Roman" w:hAnsi="Times New Roman"/>
              </w:rPr>
            </w:pPr>
          </w:p>
          <w:p w:rsidR="00183E4C" w:rsidRDefault="00183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Priešgaisrinės apsaugos ir gelbėjimo departamentui prie Vidaus reikalų ministerijos</w:t>
            </w:r>
          </w:p>
          <w:p w:rsidR="00183E4C" w:rsidRDefault="00183E4C">
            <w:pPr>
              <w:rPr>
                <w:rFonts w:ascii="Times New Roman" w:hAnsi="Times New Roman"/>
              </w:rPr>
            </w:pPr>
            <w:hyperlink r:id="rId8" w:history="1">
              <w:r w:rsidRPr="00733807">
                <w:rPr>
                  <w:rStyle w:val="Hyperlink"/>
                  <w:rFonts w:ascii="Times New Roman" w:hAnsi="Times New Roman"/>
                </w:rPr>
                <w:t>pagd</w:t>
              </w:r>
              <w:r w:rsidRPr="00A761F8">
                <w:rPr>
                  <w:rStyle w:val="Hyperlink"/>
                  <w:rFonts w:ascii="Times New Roman" w:hAnsi="Times New Roman"/>
                </w:rPr>
                <w:t>@</w:t>
              </w:r>
              <w:r w:rsidRPr="00733807">
                <w:rPr>
                  <w:rStyle w:val="Hyperlink"/>
                  <w:rFonts w:ascii="Times New Roman" w:hAnsi="Times New Roman"/>
                </w:rPr>
                <w:t>vpgt.lt</w:t>
              </w:r>
            </w:hyperlink>
          </w:p>
          <w:p w:rsidR="00183E4C" w:rsidRDefault="00183E4C">
            <w:pPr>
              <w:rPr>
                <w:rFonts w:ascii="Times New Roman" w:hAnsi="Times New Roman"/>
              </w:rPr>
            </w:pPr>
            <w:hyperlink r:id="rId9" w:history="1">
              <w:r w:rsidRPr="00733807">
                <w:rPr>
                  <w:rStyle w:val="Hyperlink"/>
                  <w:rFonts w:ascii="Times New Roman" w:hAnsi="Times New Roman"/>
                </w:rPr>
                <w:t>renata.kliaugiene</w:t>
              </w:r>
              <w:r w:rsidRPr="00A761F8">
                <w:rPr>
                  <w:rStyle w:val="Hyperlink"/>
                  <w:rFonts w:ascii="Times New Roman" w:hAnsi="Times New Roman"/>
                </w:rPr>
                <w:t>@</w:t>
              </w:r>
              <w:r w:rsidRPr="00733807">
                <w:rPr>
                  <w:rStyle w:val="Hyperlink"/>
                  <w:rFonts w:ascii="Times New Roman" w:hAnsi="Times New Roman"/>
                </w:rPr>
                <w:t>vpgt.lt</w:t>
              </w:r>
            </w:hyperlink>
          </w:p>
          <w:p w:rsidR="00183E4C" w:rsidRPr="00D75B0B" w:rsidRDefault="00183E4C">
            <w:pPr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8" w:space="0" w:color="000000"/>
            </w:tcBorders>
            <w:vAlign w:val="bottom"/>
          </w:tcPr>
          <w:p w:rsidR="00183E4C" w:rsidRDefault="00183E4C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0000"/>
            </w:tcBorders>
            <w:vAlign w:val="bottom"/>
          </w:tcPr>
          <w:p w:rsidR="00183E4C" w:rsidRPr="0052777A" w:rsidRDefault="00183E4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2021-02</w:t>
            </w:r>
            <w:r w:rsidRPr="0052777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vAlign w:val="bottom"/>
          </w:tcPr>
          <w:p w:rsidR="00183E4C" w:rsidRDefault="00183E4C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2376" w:type="dxa"/>
            <w:tcBorders>
              <w:top w:val="single" w:sz="8" w:space="0" w:color="000000"/>
            </w:tcBorders>
            <w:vAlign w:val="bottom"/>
          </w:tcPr>
          <w:p w:rsidR="00183E4C" w:rsidRDefault="00183E4C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183E4C">
        <w:trPr>
          <w:gridAfter w:val="1"/>
          <w:wAfter w:w="283" w:type="dxa"/>
          <w:cantSplit/>
          <w:trHeight w:val="495"/>
        </w:trPr>
        <w:tc>
          <w:tcPr>
            <w:tcW w:w="4450" w:type="dxa"/>
            <w:vMerge/>
          </w:tcPr>
          <w:p w:rsidR="00183E4C" w:rsidRDefault="00183E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bottom"/>
          </w:tcPr>
          <w:p w:rsidR="00183E4C" w:rsidRDefault="00183E4C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</w:t>
            </w:r>
          </w:p>
        </w:tc>
        <w:tc>
          <w:tcPr>
            <w:tcW w:w="1762" w:type="dxa"/>
            <w:gridSpan w:val="2"/>
            <w:vAlign w:val="bottom"/>
          </w:tcPr>
          <w:p w:rsidR="00183E4C" w:rsidRPr="0052777A" w:rsidRDefault="00183E4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4"/>
              </w:rPr>
            </w:pPr>
          </w:p>
          <w:p w:rsidR="00183E4C" w:rsidRPr="0052777A" w:rsidRDefault="00183E4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:rsidR="00183E4C" w:rsidRDefault="00183E4C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bottom"/>
          </w:tcPr>
          <w:p w:rsidR="00183E4C" w:rsidRDefault="00183E4C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183E4C">
        <w:trPr>
          <w:gridAfter w:val="6"/>
          <w:wAfter w:w="5527" w:type="dxa"/>
          <w:cantSplit/>
          <w:trHeight w:val="276"/>
        </w:trPr>
        <w:tc>
          <w:tcPr>
            <w:tcW w:w="4450" w:type="dxa"/>
            <w:vMerge/>
          </w:tcPr>
          <w:p w:rsidR="00183E4C" w:rsidRDefault="00183E4C">
            <w:pPr>
              <w:jc w:val="center"/>
              <w:rPr>
                <w:rFonts w:ascii="Times New Roman" w:hAnsi="Times New Roman"/>
              </w:rPr>
            </w:pPr>
          </w:p>
        </w:tc>
      </w:tr>
      <w:tr w:rsidR="00183E4C">
        <w:trPr>
          <w:gridAfter w:val="6"/>
          <w:wAfter w:w="5527" w:type="dxa"/>
          <w:cantSplit/>
          <w:trHeight w:val="495"/>
        </w:trPr>
        <w:tc>
          <w:tcPr>
            <w:tcW w:w="4450" w:type="dxa"/>
          </w:tcPr>
          <w:p w:rsidR="00183E4C" w:rsidRDefault="00183E4C">
            <w:pPr>
              <w:rPr>
                <w:rFonts w:ascii="Times New Roman" w:hAnsi="Times New Roman"/>
              </w:rPr>
            </w:pPr>
          </w:p>
        </w:tc>
      </w:tr>
      <w:tr w:rsidR="00183E4C">
        <w:trPr>
          <w:cantSplit/>
          <w:trHeight w:val="495"/>
        </w:trPr>
        <w:tc>
          <w:tcPr>
            <w:tcW w:w="9977" w:type="dxa"/>
            <w:gridSpan w:val="7"/>
            <w:vAlign w:val="center"/>
          </w:tcPr>
          <w:p w:rsidR="00183E4C" w:rsidRPr="0052777A" w:rsidRDefault="00183E4C" w:rsidP="00614C01">
            <w:pPr>
              <w:pStyle w:val="Heading4"/>
              <w:rPr>
                <w:rFonts w:ascii="Times New Roman" w:hAnsi="Times New Roman"/>
                <w:caps/>
                <w:sz w:val="24"/>
                <w:szCs w:val="20"/>
              </w:rPr>
            </w:pPr>
            <w:r w:rsidRPr="0052777A">
              <w:rPr>
                <w:rFonts w:ascii="Times New Roman" w:hAnsi="Times New Roman"/>
                <w:caps/>
                <w:sz w:val="24"/>
                <w:szCs w:val="20"/>
              </w:rPr>
              <w:t>dėl valstybės NEKILNOJAMOJO TURTO PERDAVIMO savivaldybės nuosavybėn</w:t>
            </w:r>
          </w:p>
        </w:tc>
      </w:tr>
    </w:tbl>
    <w:p w:rsidR="00183E4C" w:rsidRDefault="00183E4C">
      <w:pPr>
        <w:pStyle w:val="BodyText"/>
      </w:pPr>
    </w:p>
    <w:p w:rsidR="00183E4C" w:rsidRDefault="00183E4C" w:rsidP="00E07006">
      <w:pPr>
        <w:ind w:firstLine="1247"/>
        <w:jc w:val="both"/>
        <w:rPr>
          <w:rFonts w:ascii="Times New Roman" w:hAnsi="Times New Roman"/>
        </w:rPr>
      </w:pPr>
    </w:p>
    <w:p w:rsidR="00183E4C" w:rsidRDefault="00183E4C" w:rsidP="004B3CCE">
      <w:pPr>
        <w:ind w:firstLine="124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Vadovaujantis Švenčionių rajono savivaldybės tarybos 2018 m. rugpjūčio 30 d. sprendimu Nr. T-170 ,,Dėl sutikimo perimti valstybės turtą Švenčionių r. sav., Švenčionėlių m., Vilniaus g. savivaldybės nuosavybėn“</w:t>
      </w:r>
      <w:r w:rsidRPr="00C92325">
        <w:rPr>
          <w:szCs w:val="24"/>
        </w:rPr>
        <w:t xml:space="preserve"> </w:t>
      </w:r>
      <w:r>
        <w:rPr>
          <w:rFonts w:ascii="TimesLT Baltic" w:hAnsi="TimesLT Baltic"/>
          <w:szCs w:val="24"/>
        </w:rPr>
        <w:t>savivaldybė sutiko perimti savivaldybės nuosavybėn savarankiškajai savivaldybės</w:t>
      </w:r>
      <w:r>
        <w:rPr>
          <w:szCs w:val="24"/>
        </w:rPr>
        <w:t xml:space="preserve"> </w:t>
      </w:r>
      <w:r>
        <w:rPr>
          <w:rFonts w:ascii="TimesLT Baltic" w:hAnsi="TimesLT Baltic"/>
          <w:szCs w:val="24"/>
        </w:rPr>
        <w:t>funkcijai vykdyti (geriamojo vandens tiekimo ir nuotekų tvarkymo organizavimas</w:t>
      </w:r>
      <w:r>
        <w:rPr>
          <w:szCs w:val="24"/>
        </w:rPr>
        <w:t xml:space="preserve">) </w:t>
      </w:r>
      <w:r>
        <w:rPr>
          <w:rFonts w:ascii="TimesLT Baltic" w:hAnsi="TimesLT Baltic"/>
          <w:szCs w:val="24"/>
        </w:rPr>
        <w:t xml:space="preserve">- nuotekų šalinimo tinklus – buitinių nuotekų tinklus, esančius Švenčionių r. sav., Švenčionėlių m., Vilniaus g. (unikalus numeris – </w:t>
      </w:r>
      <w:r w:rsidRPr="004C4D86">
        <w:rPr>
          <w:rFonts w:ascii="Times New Roman" w:hAnsi="Times New Roman"/>
          <w:szCs w:val="24"/>
        </w:rPr>
        <w:t xml:space="preserve">4400-4405-4277, </w:t>
      </w:r>
      <w:r>
        <w:rPr>
          <w:rFonts w:ascii="Times New Roman" w:hAnsi="Times New Roman"/>
          <w:szCs w:val="24"/>
        </w:rPr>
        <w:t xml:space="preserve">pažymėjimas plane: KF1, </w:t>
      </w:r>
      <w:r w:rsidRPr="004C4D86">
        <w:rPr>
          <w:rFonts w:ascii="Times New Roman" w:hAnsi="Times New Roman"/>
          <w:szCs w:val="24"/>
        </w:rPr>
        <w:t>ilgis – 114,33 m</w:t>
      </w:r>
      <w:r>
        <w:rPr>
          <w:rFonts w:ascii="Times New Roman" w:hAnsi="Times New Roman"/>
          <w:szCs w:val="24"/>
        </w:rPr>
        <w:t>).</w:t>
      </w:r>
    </w:p>
    <w:p w:rsidR="00183E4C" w:rsidRPr="00793478" w:rsidRDefault="00183E4C" w:rsidP="00793478">
      <w:pPr>
        <w:ind w:firstLine="1247"/>
        <w:jc w:val="both"/>
        <w:rPr>
          <w:rFonts w:ascii="TimesLT Baltic" w:hAnsi="TimesLT Baltic"/>
          <w:szCs w:val="24"/>
        </w:rPr>
      </w:pPr>
      <w:r>
        <w:rPr>
          <w:rFonts w:ascii="Times New Roman" w:hAnsi="Times New Roman"/>
          <w:szCs w:val="24"/>
        </w:rPr>
        <w:t xml:space="preserve">Savivaldybės administracija yra gavusi 5 (penkių) piliečių prašymus, gyvenančių daugiabučiame name Vilniaus g.11, Švenčionėlių m. dėl prisijungimo prie šių  </w:t>
      </w:r>
      <w:r>
        <w:rPr>
          <w:rFonts w:ascii="TimesLT Baltic" w:hAnsi="TimesLT Baltic"/>
          <w:szCs w:val="24"/>
        </w:rPr>
        <w:t xml:space="preserve">nuotekų šalinimo tinklų. </w:t>
      </w:r>
      <w:r>
        <w:rPr>
          <w:rFonts w:ascii="Times New Roman" w:hAnsi="Times New Roman"/>
          <w:szCs w:val="24"/>
        </w:rPr>
        <w:t xml:space="preserve">Savivaldybės nuosavybėn perduotas turtas bus išlaikomas savivaldybės biudžeto lėšomis. Švenčionių rajono savivaldybės taryba nėra įtraukusi į </w:t>
      </w:r>
      <w:r>
        <w:t>Vieša</w:t>
      </w:r>
      <w:r w:rsidRPr="00A761F8">
        <w:t>me aukcione parduodamo savivaldybės nekilnojamojo turto ir kitų nekilnojamųjų daiktų sąrašą</w:t>
      </w:r>
      <w:r>
        <w:t xml:space="preserve"> inžinierinių statinių (nuotekų šalinimo tinklų, vandentiekio tinklų, buitinių nuotekų tinklų)</w:t>
      </w:r>
      <w:r w:rsidRPr="00A761F8">
        <w:t xml:space="preserve">. </w:t>
      </w:r>
      <w:r>
        <w:t xml:space="preserve">Viešame aukcione parduodamo savivaldybės nekilnojamojo turto ir kitų nekilnojamųjų daiktų sąrašas skelbiamas </w:t>
      </w:r>
      <w:r w:rsidRPr="00A761F8">
        <w:t xml:space="preserve"> savivaldybės interneto svetainė</w:t>
      </w:r>
      <w:r>
        <w:t xml:space="preserve">je </w:t>
      </w:r>
      <w:r w:rsidRPr="00793478">
        <w:t>http://www.svencionys.lt/lit/IMG/6236</w:t>
      </w:r>
      <w:r>
        <w:t>.</w:t>
      </w:r>
      <w:r>
        <w:rPr>
          <w:rFonts w:ascii="TimesLT Baltic" w:hAnsi="TimesLT Baltic"/>
          <w:szCs w:val="24"/>
        </w:rPr>
        <w:t xml:space="preserve"> </w:t>
      </w:r>
    </w:p>
    <w:p w:rsidR="00183E4C" w:rsidRDefault="00183E4C" w:rsidP="004B3CCE">
      <w:pPr>
        <w:ind w:firstLine="124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Švenčionių rajono savivaldybės administracija pakartotinai prašo perduoti savivaldybės nuosavybėn </w:t>
      </w:r>
      <w:r>
        <w:rPr>
          <w:rFonts w:ascii="TimesLT Baltic" w:hAnsi="TimesLT Baltic"/>
          <w:szCs w:val="24"/>
        </w:rPr>
        <w:t xml:space="preserve">Priešgaisrinės apsaugos ir gelbėjimo departamento prie Vidaus reikalų ministerijos patikėjimo teise valdomą ir naudojamą  nekilnojamąjį turtą – nuotekų šalinimo tinklus – buitinių nuotekų tinklus, esančius Švenčionių r. sav., Švenčionėlių m., Vilniaus g. (unikalus numeris – </w:t>
      </w:r>
      <w:r>
        <w:rPr>
          <w:rFonts w:ascii="Times New Roman" w:hAnsi="Times New Roman"/>
          <w:szCs w:val="24"/>
        </w:rPr>
        <w:t>4400-4405-4277, pažymėjimas plane: KF1,  ilgis – 114,33 m).</w:t>
      </w:r>
    </w:p>
    <w:p w:rsidR="00183E4C" w:rsidRPr="004B3CCE" w:rsidRDefault="00183E4C" w:rsidP="004B3CCE">
      <w:pPr>
        <w:ind w:firstLine="1247"/>
        <w:jc w:val="both"/>
        <w:rPr>
          <w:rFonts w:ascii="Times New Roman" w:hAnsi="Times New Roman"/>
          <w:szCs w:val="24"/>
        </w:rPr>
      </w:pPr>
      <w:r w:rsidRPr="00A761F8">
        <w:t xml:space="preserve"> </w:t>
      </w:r>
    </w:p>
    <w:p w:rsidR="00183E4C" w:rsidRPr="00A761F8" w:rsidRDefault="00183E4C" w:rsidP="00DB6D03">
      <w:pPr>
        <w:jc w:val="both"/>
        <w:rPr>
          <w:rFonts w:ascii="Times New Roman" w:hAnsi="Times New Roman"/>
          <w:szCs w:val="24"/>
        </w:rPr>
      </w:pPr>
    </w:p>
    <w:p w:rsidR="00183E4C" w:rsidRDefault="00183E4C" w:rsidP="00DB6D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Administracijos direktorė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Jovita Rudėnienė </w:t>
      </w:r>
    </w:p>
    <w:p w:rsidR="00183E4C" w:rsidRDefault="00183E4C" w:rsidP="00DB6D03">
      <w:pPr>
        <w:jc w:val="both"/>
        <w:rPr>
          <w:rFonts w:ascii="Times New Roman" w:hAnsi="Times New Roman"/>
        </w:rPr>
      </w:pPr>
    </w:p>
    <w:p w:rsidR="00183E4C" w:rsidRDefault="00183E4C" w:rsidP="00DB6D03">
      <w:pPr>
        <w:jc w:val="both"/>
        <w:rPr>
          <w:rFonts w:ascii="Times New Roman" w:hAnsi="Times New Roman"/>
        </w:rPr>
      </w:pPr>
    </w:p>
    <w:p w:rsidR="00183E4C" w:rsidRDefault="00183E4C" w:rsidP="00DB6D03">
      <w:pPr>
        <w:jc w:val="both"/>
        <w:rPr>
          <w:rFonts w:ascii="Times New Roman" w:hAnsi="Times New Roman"/>
        </w:rPr>
      </w:pPr>
    </w:p>
    <w:p w:rsidR="00183E4C" w:rsidRDefault="00183E4C" w:rsidP="00EE2985">
      <w:pPr>
        <w:jc w:val="both"/>
        <w:rPr>
          <w:rFonts w:ascii="Times New Roman" w:hAnsi="Times New Roman"/>
        </w:rPr>
      </w:pPr>
    </w:p>
    <w:p w:rsidR="00183E4C" w:rsidRPr="00EE2985" w:rsidRDefault="00183E4C" w:rsidP="00EE2985">
      <w:pPr>
        <w:jc w:val="both"/>
        <w:rPr>
          <w:rFonts w:ascii="Times New Roman" w:hAnsi="Times New Roman"/>
        </w:rPr>
      </w:pPr>
    </w:p>
    <w:p w:rsidR="00183E4C" w:rsidRPr="00772D1E" w:rsidRDefault="00183E4C" w:rsidP="009A3881">
      <w:pPr>
        <w:pStyle w:val="BodyTextIndent"/>
        <w:ind w:firstLine="0"/>
        <w:rPr>
          <w:sz w:val="24"/>
          <w:szCs w:val="24"/>
        </w:rPr>
      </w:pPr>
      <w:r w:rsidRPr="00772D1E">
        <w:rPr>
          <w:sz w:val="24"/>
          <w:szCs w:val="24"/>
        </w:rPr>
        <w:t>Rasa Bliūdžiuvienė, (8 387) 66377</w:t>
      </w:r>
      <w:r>
        <w:rPr>
          <w:sz w:val="24"/>
          <w:szCs w:val="24"/>
        </w:rPr>
        <w:t xml:space="preserve">, (8  687) 57163, </w:t>
      </w:r>
      <w:r w:rsidRPr="00772D1E">
        <w:rPr>
          <w:sz w:val="24"/>
          <w:szCs w:val="24"/>
        </w:rPr>
        <w:t xml:space="preserve"> el.p.  rasa.bliudziuviene@svencionys.lt</w:t>
      </w:r>
    </w:p>
    <w:sectPr w:rsidR="00183E4C" w:rsidRPr="00772D1E" w:rsidSect="00EE2985">
      <w:footerReference w:type="first" r:id="rId10"/>
      <w:pgSz w:w="11907" w:h="16840" w:code="9"/>
      <w:pgMar w:top="1134" w:right="567" w:bottom="824" w:left="1701" w:header="0" w:footer="429" w:gutter="0"/>
      <w:cols w:space="1296"/>
      <w:titlePg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E4C" w:rsidRDefault="00183E4C">
      <w:r>
        <w:separator/>
      </w:r>
    </w:p>
  </w:endnote>
  <w:endnote w:type="continuationSeparator" w:id="0">
    <w:p w:rsidR="00183E4C" w:rsidRDefault="0018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 Baltic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4C" w:rsidRDefault="00183E4C">
    <w:pPr>
      <w:rPr>
        <w:sz w:val="16"/>
      </w:rPr>
    </w:pPr>
  </w:p>
  <w:p w:rsidR="00183E4C" w:rsidRDefault="00183E4C">
    <w:pPr>
      <w:rPr>
        <w:sz w:val="16"/>
      </w:rPr>
    </w:pPr>
  </w:p>
  <w:p w:rsidR="00183E4C" w:rsidRDefault="00183E4C">
    <w:pPr>
      <w:jc w:val="right"/>
      <w:rPr>
        <w:sz w:val="16"/>
      </w:rPr>
    </w:pPr>
  </w:p>
  <w:p w:rsidR="00183E4C" w:rsidRDefault="00183E4C">
    <w:pPr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E4C" w:rsidRDefault="00183E4C">
      <w:r>
        <w:separator/>
      </w:r>
    </w:p>
  </w:footnote>
  <w:footnote w:type="continuationSeparator" w:id="0">
    <w:p w:rsidR="00183E4C" w:rsidRDefault="00183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0AA"/>
    <w:multiLevelType w:val="multilevel"/>
    <w:tmpl w:val="40B494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000000"/>
      </w:rPr>
    </w:lvl>
  </w:abstractNum>
  <w:abstractNum w:abstractNumId="1">
    <w:nsid w:val="28562383"/>
    <w:multiLevelType w:val="hybridMultilevel"/>
    <w:tmpl w:val="C80CEEB6"/>
    <w:lvl w:ilvl="0" w:tplc="C4C06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4EDA52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E22A07"/>
    <w:multiLevelType w:val="multilevel"/>
    <w:tmpl w:val="2CB6CCC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73"/>
        </w:tabs>
        <w:ind w:left="673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3">
    <w:nsid w:val="4B4C663D"/>
    <w:multiLevelType w:val="multilevel"/>
    <w:tmpl w:val="DCF440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>
    <w:nsid w:val="5B2B3CFC"/>
    <w:multiLevelType w:val="hybridMultilevel"/>
    <w:tmpl w:val="304E6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1247"/>
  <w:hyphenationZone w:val="396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CB5"/>
    <w:rsid w:val="000167CF"/>
    <w:rsid w:val="00031783"/>
    <w:rsid w:val="00085382"/>
    <w:rsid w:val="000970E3"/>
    <w:rsid w:val="00097231"/>
    <w:rsid w:val="000E17F4"/>
    <w:rsid w:val="000E3811"/>
    <w:rsid w:val="000E5E61"/>
    <w:rsid w:val="001034CB"/>
    <w:rsid w:val="00112B18"/>
    <w:rsid w:val="001445DA"/>
    <w:rsid w:val="00166E68"/>
    <w:rsid w:val="00183E4C"/>
    <w:rsid w:val="00243A50"/>
    <w:rsid w:val="002855E9"/>
    <w:rsid w:val="002C44B9"/>
    <w:rsid w:val="002C79EC"/>
    <w:rsid w:val="002E2262"/>
    <w:rsid w:val="002F62B7"/>
    <w:rsid w:val="00353A26"/>
    <w:rsid w:val="0036328F"/>
    <w:rsid w:val="003925B5"/>
    <w:rsid w:val="003D4292"/>
    <w:rsid w:val="003E1DD1"/>
    <w:rsid w:val="00450E81"/>
    <w:rsid w:val="004A25EE"/>
    <w:rsid w:val="004A6A03"/>
    <w:rsid w:val="004B3CCE"/>
    <w:rsid w:val="004C4D86"/>
    <w:rsid w:val="004D2027"/>
    <w:rsid w:val="004E0929"/>
    <w:rsid w:val="004F4B3C"/>
    <w:rsid w:val="0052777A"/>
    <w:rsid w:val="005309BE"/>
    <w:rsid w:val="00556CF9"/>
    <w:rsid w:val="00560CED"/>
    <w:rsid w:val="00594693"/>
    <w:rsid w:val="005D1E06"/>
    <w:rsid w:val="00614C01"/>
    <w:rsid w:val="00616150"/>
    <w:rsid w:val="006254F7"/>
    <w:rsid w:val="00660990"/>
    <w:rsid w:val="006953DB"/>
    <w:rsid w:val="00697A70"/>
    <w:rsid w:val="006A2167"/>
    <w:rsid w:val="006F07C8"/>
    <w:rsid w:val="00701C9E"/>
    <w:rsid w:val="00733807"/>
    <w:rsid w:val="00743CB5"/>
    <w:rsid w:val="00744604"/>
    <w:rsid w:val="00764236"/>
    <w:rsid w:val="00772D1E"/>
    <w:rsid w:val="00792314"/>
    <w:rsid w:val="00793478"/>
    <w:rsid w:val="007B234A"/>
    <w:rsid w:val="00866C3B"/>
    <w:rsid w:val="00891C74"/>
    <w:rsid w:val="008A4D46"/>
    <w:rsid w:val="008B2D7C"/>
    <w:rsid w:val="00901A94"/>
    <w:rsid w:val="009074B2"/>
    <w:rsid w:val="0091658B"/>
    <w:rsid w:val="0092331D"/>
    <w:rsid w:val="0098389D"/>
    <w:rsid w:val="0099529B"/>
    <w:rsid w:val="00997FBD"/>
    <w:rsid w:val="009A3881"/>
    <w:rsid w:val="009B09A5"/>
    <w:rsid w:val="009B6E65"/>
    <w:rsid w:val="00A51FC4"/>
    <w:rsid w:val="00A761F8"/>
    <w:rsid w:val="00A94476"/>
    <w:rsid w:val="00AB4826"/>
    <w:rsid w:val="00B059D2"/>
    <w:rsid w:val="00B11DCF"/>
    <w:rsid w:val="00B41A1A"/>
    <w:rsid w:val="00B67C72"/>
    <w:rsid w:val="00B828BB"/>
    <w:rsid w:val="00B83D97"/>
    <w:rsid w:val="00BA56A4"/>
    <w:rsid w:val="00BB2237"/>
    <w:rsid w:val="00BB224A"/>
    <w:rsid w:val="00C020F2"/>
    <w:rsid w:val="00C92325"/>
    <w:rsid w:val="00D05715"/>
    <w:rsid w:val="00D32942"/>
    <w:rsid w:val="00D53B44"/>
    <w:rsid w:val="00D7502B"/>
    <w:rsid w:val="00D75B0B"/>
    <w:rsid w:val="00DB6D03"/>
    <w:rsid w:val="00DD3183"/>
    <w:rsid w:val="00DE4ECD"/>
    <w:rsid w:val="00E07006"/>
    <w:rsid w:val="00E3110D"/>
    <w:rsid w:val="00E52C99"/>
    <w:rsid w:val="00E9142B"/>
    <w:rsid w:val="00EA6450"/>
    <w:rsid w:val="00EC5980"/>
    <w:rsid w:val="00EC6EC8"/>
    <w:rsid w:val="00EE2985"/>
    <w:rsid w:val="00EF31AF"/>
    <w:rsid w:val="00F05747"/>
    <w:rsid w:val="00F11078"/>
    <w:rsid w:val="00F22002"/>
    <w:rsid w:val="00F84A3B"/>
    <w:rsid w:val="00F90719"/>
    <w:rsid w:val="00FC65A1"/>
    <w:rsid w:val="00FF2B96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7F4"/>
    <w:rPr>
      <w:rFonts w:ascii="TimesLT" w:hAnsi="TimesLT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17F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17F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17F4"/>
    <w:pPr>
      <w:keepNext/>
      <w:ind w:firstLine="709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17F4"/>
    <w:pPr>
      <w:keepNext/>
      <w:ind w:left="-108" w:right="-108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17F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224A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224A"/>
    <w:rPr>
      <w:rFonts w:ascii="Cambria" w:hAnsi="Cambria" w:cs="Times New Roman"/>
      <w:b/>
      <w:i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224A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224A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B224A"/>
    <w:rPr>
      <w:rFonts w:ascii="Calibri" w:hAnsi="Calibri" w:cs="Times New Roman"/>
      <w:b/>
      <w:i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0E17F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224A"/>
    <w:rPr>
      <w:rFonts w:ascii="TimesLT" w:hAnsi="TimesLT" w:cs="Times New Roman"/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0E17F4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224A"/>
    <w:rPr>
      <w:rFonts w:ascii="TimesLT" w:hAnsi="TimesLT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0E17F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224A"/>
    <w:rPr>
      <w:rFonts w:ascii="TimesLT" w:hAnsi="TimesLT" w:cs="Times New Roman"/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0E17F4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0E17F4"/>
    <w:rPr>
      <w:rFonts w:cs="Times New Roman"/>
    </w:rPr>
  </w:style>
  <w:style w:type="character" w:styleId="Hyperlink">
    <w:name w:val="Hyperlink"/>
    <w:basedOn w:val="DefaultParagraphFont"/>
    <w:uiPriority w:val="99"/>
    <w:rsid w:val="000E17F4"/>
    <w:rPr>
      <w:rFonts w:cs="Times New Roman"/>
      <w:color w:val="0000FF"/>
      <w:u w:val="single"/>
    </w:rPr>
  </w:style>
  <w:style w:type="paragraph" w:customStyle="1" w:styleId="NormalWeb1">
    <w:name w:val="Normal (Web)1"/>
    <w:basedOn w:val="Normal"/>
    <w:uiPriority w:val="99"/>
    <w:rsid w:val="000E17F4"/>
    <w:rPr>
      <w:rFonts w:ascii="Arial Unicode MS" w:eastAsia="Arial Unicode MS" w:hAnsi="Arial Unicode MS" w:cs="Arial Unicode MS"/>
      <w:color w:val="0D2B88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E17F4"/>
    <w:pPr>
      <w:ind w:firstLine="1247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B224A"/>
    <w:rPr>
      <w:rFonts w:ascii="TimesLT" w:hAnsi="TimesLT" w:cs="Times New Roman"/>
      <w:sz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0E17F4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224A"/>
    <w:rPr>
      <w:rFonts w:ascii="TimesLT" w:hAnsi="TimesLT" w:cs="Times New Roman"/>
      <w:sz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E17F4"/>
    <w:pPr>
      <w:ind w:firstLine="720"/>
      <w:jc w:val="both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224A"/>
    <w:rPr>
      <w:rFonts w:ascii="TimesLT" w:hAnsi="TimesLT" w:cs="Times New Roman"/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0E17F4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224A"/>
    <w:rPr>
      <w:rFonts w:ascii="TimesLT" w:hAnsi="TimesLT" w:cs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rsid w:val="000E17F4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0E17F4"/>
    <w:pPr>
      <w:spacing w:before="6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224A"/>
    <w:rPr>
      <w:rFonts w:ascii="TimesLT" w:hAnsi="TimesLT" w:cs="Times New Roman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A3881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C3B"/>
    <w:rPr>
      <w:rFonts w:cs="Times New Roman"/>
      <w:sz w:val="2"/>
      <w:lang w:eastAsia="en-US"/>
    </w:rPr>
  </w:style>
  <w:style w:type="character" w:customStyle="1" w:styleId="UnresolvedMention">
    <w:name w:val="Unresolved Mention"/>
    <w:uiPriority w:val="99"/>
    <w:semiHidden/>
    <w:rsid w:val="00D75B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d@vpgt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nata.kliaugiene@vpg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1553</Words>
  <Characters>886</Characters>
  <Application>Microsoft Office Outlook</Application>
  <DocSecurity>0</DocSecurity>
  <Lines>0</Lines>
  <Paragraphs>0</Paragraphs>
  <ScaleCrop>false</ScaleCrop>
  <Company>Lad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Virginija</dc:creator>
  <cp:keywords/>
  <dc:description/>
  <cp:lastModifiedBy>ekonomika</cp:lastModifiedBy>
  <cp:revision>7</cp:revision>
  <cp:lastPrinted>2020-09-29T07:57:00Z</cp:lastPrinted>
  <dcterms:created xsi:type="dcterms:W3CDTF">2021-02-12T08:53:00Z</dcterms:created>
  <dcterms:modified xsi:type="dcterms:W3CDTF">2021-02-12T11:29:00Z</dcterms:modified>
</cp:coreProperties>
</file>