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8775B7" w:rsidRDefault="004B217F">
      <w:pPr>
        <w:pStyle w:val="BodyA"/>
        <w:rPr>
          <w:rFonts w:asciiTheme="minorHAnsi" w:eastAsia="Times New Roman Bold" w:hAnsiTheme="minorHAnsi" w:cs="Times New Roman Bold"/>
        </w:rPr>
      </w:pPr>
    </w:p>
    <w:p w:rsidR="0032625D" w:rsidRPr="00ED4FCE" w:rsidRDefault="0032625D" w:rsidP="0032625D">
      <w:pPr>
        <w:jc w:val="center"/>
        <w:rPr>
          <w:rFonts w:eastAsia="Calibri"/>
          <w:b/>
          <w:lang w:val="lt-LT"/>
        </w:rPr>
      </w:pPr>
      <w:r w:rsidRPr="00ED4FCE">
        <w:rPr>
          <w:rFonts w:eastAsia="Calibri"/>
          <w:b/>
          <w:lang w:val="lt-LT"/>
        </w:rPr>
        <w:t>2020 M. GRUODŽIO 1</w:t>
      </w:r>
      <w:r w:rsidR="001E6C5E" w:rsidRPr="00ED4FCE">
        <w:rPr>
          <w:rFonts w:eastAsia="Calibri"/>
          <w:b/>
          <w:lang w:val="lt-LT"/>
        </w:rPr>
        <w:t xml:space="preserve">6 D. EURO GRUPĖS </w:t>
      </w:r>
      <w:r w:rsidRPr="00ED4FCE">
        <w:rPr>
          <w:rFonts w:eastAsia="Calibri"/>
          <w:b/>
          <w:lang w:val="lt-LT"/>
        </w:rPr>
        <w:t>VAIZDO KONFERENCIJA</w:t>
      </w:r>
      <w:r w:rsidRPr="00ED4FCE" w:rsidDel="000C4FA6">
        <w:rPr>
          <w:rFonts w:eastAsia="Calibri"/>
          <w:b/>
          <w:lang w:val="lt-LT"/>
        </w:rPr>
        <w:t xml:space="preserve"> </w:t>
      </w:r>
    </w:p>
    <w:p w:rsidR="004B217F" w:rsidRPr="00ED4FCE" w:rsidRDefault="004B217F">
      <w:pPr>
        <w:pStyle w:val="BodyA"/>
        <w:rPr>
          <w:rFonts w:ascii="Times New Roman Bold" w:eastAsia="Times New Roman Bold" w:hAnsi="Times New Roman Bold" w:cs="Times New Roman Bold"/>
          <w:lang w:val="lt-LT"/>
        </w:rPr>
      </w:pPr>
    </w:p>
    <w:p w:rsidR="004B217F" w:rsidRPr="00ED4FCE" w:rsidRDefault="004B217F" w:rsidP="00BA186A">
      <w:pPr>
        <w:pStyle w:val="BodyA"/>
        <w:jc w:val="center"/>
        <w:rPr>
          <w:rFonts w:ascii="Times New Roman Bold"/>
          <w:caps/>
          <w:lang w:val="lt-LT"/>
        </w:rPr>
      </w:pPr>
    </w:p>
    <w:tbl>
      <w:tblPr>
        <w:tblW w:w="9923"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3"/>
      </w:tblGrid>
      <w:tr w:rsidR="004B217F" w:rsidRPr="000074E1" w:rsidTr="00D30A9B">
        <w:trPr>
          <w:trHeight w:val="908"/>
        </w:trPr>
        <w:tc>
          <w:tcPr>
            <w:tcW w:w="99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B217F" w:rsidRPr="000074E1" w:rsidRDefault="0032625D">
            <w:pPr>
              <w:pStyle w:val="BodyA"/>
              <w:jc w:val="both"/>
              <w:rPr>
                <w:rFonts w:hAnsi="Times New Roman" w:cs="Times New Roman"/>
                <w:lang w:val="lt-LT"/>
              </w:rPr>
            </w:pPr>
            <w:r w:rsidRPr="000074E1">
              <w:rPr>
                <w:rFonts w:hAnsi="Times New Roman" w:cs="Times New Roman"/>
                <w:b/>
                <w:lang w:val="lt-LT"/>
              </w:rPr>
              <w:t>1.</w:t>
            </w:r>
            <w:r w:rsidRPr="000074E1">
              <w:rPr>
                <w:rFonts w:hAnsi="Times New Roman" w:cs="Times New Roman"/>
                <w:lang w:val="lt-LT"/>
              </w:rPr>
              <w:t xml:space="preserve"> </w:t>
            </w:r>
            <w:r w:rsidR="001E6C5E" w:rsidRPr="000074E1">
              <w:rPr>
                <w:rFonts w:hAnsi="Times New Roman" w:cs="Times New Roman"/>
                <w:b/>
                <w:lang w:val="lt-LT"/>
              </w:rPr>
              <w:t>Apsikeitimas nuomonėmis dėl makroekonominės situacijos</w:t>
            </w:r>
          </w:p>
          <w:p w:rsidR="004B217F" w:rsidRPr="000074E1" w:rsidRDefault="004B217F">
            <w:pPr>
              <w:pStyle w:val="BodyA"/>
              <w:jc w:val="both"/>
              <w:rPr>
                <w:rFonts w:hAnsi="Times New Roman" w:cs="Times New Roman"/>
                <w:lang w:val="lt-LT"/>
              </w:rPr>
            </w:pPr>
          </w:p>
          <w:p w:rsidR="0032625D" w:rsidRPr="000074E1" w:rsidRDefault="00EE1216" w:rsidP="001E6C5E">
            <w:pPr>
              <w:pStyle w:val="BodyA"/>
              <w:jc w:val="both"/>
              <w:rPr>
                <w:rFonts w:hAnsi="Times New Roman" w:cs="Times New Roman"/>
                <w:lang w:val="lt-LT"/>
              </w:rPr>
            </w:pPr>
            <w:r w:rsidRPr="000074E1">
              <w:rPr>
                <w:rFonts w:hAnsi="Times New Roman" w:cs="Times New Roman"/>
                <w:b/>
                <w:u w:val="single"/>
                <w:lang w:val="lt-LT"/>
              </w:rPr>
              <w:t>Klausimo esmė.</w:t>
            </w:r>
            <w:r w:rsidRPr="000074E1">
              <w:rPr>
                <w:rFonts w:hAnsi="Times New Roman" w:cs="Times New Roman"/>
                <w:lang w:val="lt-LT"/>
              </w:rPr>
              <w:t xml:space="preserve"> </w:t>
            </w:r>
            <w:r w:rsidR="001E6C5E" w:rsidRPr="000074E1">
              <w:rPr>
                <w:rFonts w:hAnsi="Times New Roman" w:cs="Times New Roman"/>
                <w:lang w:val="lt-LT"/>
              </w:rPr>
              <w:t xml:space="preserve">Pasak </w:t>
            </w:r>
            <w:r w:rsidR="00ED4FCE" w:rsidRPr="000074E1">
              <w:rPr>
                <w:rFonts w:hAnsi="Times New Roman" w:cs="Times New Roman"/>
                <w:lang w:val="lt-LT"/>
              </w:rPr>
              <w:t xml:space="preserve">Europos Komisijos (toliau – </w:t>
            </w:r>
            <w:r w:rsidR="001E6C5E" w:rsidRPr="000074E1">
              <w:rPr>
                <w:rFonts w:hAnsi="Times New Roman" w:cs="Times New Roman"/>
                <w:lang w:val="lt-LT"/>
              </w:rPr>
              <w:t>EK</w:t>
            </w:r>
            <w:r w:rsidR="00ED4FCE" w:rsidRPr="000074E1">
              <w:rPr>
                <w:rFonts w:hAnsi="Times New Roman" w:cs="Times New Roman"/>
                <w:lang w:val="lt-LT"/>
              </w:rPr>
              <w:t>)</w:t>
            </w:r>
            <w:r w:rsidR="001E6C5E" w:rsidRPr="000074E1">
              <w:rPr>
                <w:rFonts w:hAnsi="Times New Roman" w:cs="Times New Roman"/>
                <w:lang w:val="lt-LT"/>
              </w:rPr>
              <w:t xml:space="preserve"> rudens prognozių, COVID-19 sukėlė nel</w:t>
            </w:r>
            <w:r w:rsidR="001E6C5E" w:rsidRPr="000074E1">
              <w:rPr>
                <w:rFonts w:hAnsi="Times New Roman" w:cs="Times New Roman"/>
                <w:lang w:val="lt-LT"/>
              </w:rPr>
              <w:t>y</w:t>
            </w:r>
            <w:r w:rsidR="001E6C5E" w:rsidRPr="000074E1">
              <w:rPr>
                <w:rFonts w:hAnsi="Times New Roman" w:cs="Times New Roman"/>
                <w:lang w:val="lt-LT"/>
              </w:rPr>
              <w:t>gią, gilią recesiją ir stiprų atsigavimą 2020</w:t>
            </w:r>
            <w:r w:rsidR="00F701A2" w:rsidRPr="000074E1">
              <w:rPr>
                <w:rFonts w:hAnsi="Times New Roman" w:cs="Times New Roman"/>
                <w:lang w:val="lt-LT"/>
              </w:rPr>
              <w:t xml:space="preserve"> m.</w:t>
            </w:r>
            <w:r w:rsidR="001E6C5E" w:rsidRPr="000074E1">
              <w:rPr>
                <w:rFonts w:hAnsi="Times New Roman" w:cs="Times New Roman"/>
                <w:lang w:val="lt-LT"/>
              </w:rPr>
              <w:t xml:space="preserve"> </w:t>
            </w:r>
            <w:r w:rsidR="000074E1">
              <w:rPr>
                <w:rFonts w:hAnsi="Times New Roman" w:cs="Times New Roman"/>
                <w:lang w:val="lt-LT"/>
              </w:rPr>
              <w:t>III</w:t>
            </w:r>
            <w:r w:rsidR="001E6C5E" w:rsidRPr="000074E1">
              <w:rPr>
                <w:rFonts w:hAnsi="Times New Roman" w:cs="Times New Roman"/>
                <w:lang w:val="lt-LT"/>
              </w:rPr>
              <w:t xml:space="preserve"> ketvirtyje. Pandemijos antra banga kuriam laikui sustabdė atsigavimą. Nacionalinės priemonės švelnina pandemijos poveikį. Prognozių neužtikrint</w:t>
            </w:r>
            <w:r w:rsidR="001E6C5E" w:rsidRPr="000074E1">
              <w:rPr>
                <w:rFonts w:hAnsi="Times New Roman" w:cs="Times New Roman"/>
                <w:lang w:val="lt-LT"/>
              </w:rPr>
              <w:t>u</w:t>
            </w:r>
            <w:r w:rsidR="001E6C5E" w:rsidRPr="000074E1">
              <w:rPr>
                <w:rFonts w:hAnsi="Times New Roman" w:cs="Times New Roman"/>
                <w:lang w:val="lt-LT"/>
              </w:rPr>
              <w:t>mas yra labai didelis, ne tik dėl pandemijos, bet ir dėl ES</w:t>
            </w:r>
            <w:r w:rsidR="00F701A2" w:rsidRPr="000074E1">
              <w:rPr>
                <w:rFonts w:hAnsi="Times New Roman" w:cs="Times New Roman"/>
                <w:lang w:val="lt-LT"/>
              </w:rPr>
              <w:t>–</w:t>
            </w:r>
            <w:r w:rsidR="001E6C5E" w:rsidRPr="000074E1">
              <w:rPr>
                <w:rFonts w:hAnsi="Times New Roman" w:cs="Times New Roman"/>
                <w:lang w:val="lt-LT"/>
              </w:rPr>
              <w:t xml:space="preserve">JK prekybos. Reikšmingas energijos kainų kritimas nustūmė </w:t>
            </w:r>
            <w:r w:rsidR="00ED4FCE" w:rsidRPr="000074E1">
              <w:rPr>
                <w:rFonts w:hAnsi="Times New Roman" w:cs="Times New Roman"/>
                <w:lang w:val="lt-LT"/>
              </w:rPr>
              <w:t xml:space="preserve">Euro zonos (toliau – </w:t>
            </w:r>
            <w:r w:rsidR="001E6C5E" w:rsidRPr="000074E1">
              <w:rPr>
                <w:rFonts w:hAnsi="Times New Roman" w:cs="Times New Roman"/>
                <w:lang w:val="lt-LT"/>
              </w:rPr>
              <w:t>EZ</w:t>
            </w:r>
            <w:r w:rsidR="00ED4FCE" w:rsidRPr="000074E1">
              <w:rPr>
                <w:rFonts w:hAnsi="Times New Roman" w:cs="Times New Roman"/>
                <w:lang w:val="lt-LT"/>
              </w:rPr>
              <w:t>)</w:t>
            </w:r>
            <w:r w:rsidR="001E6C5E" w:rsidRPr="000074E1">
              <w:rPr>
                <w:rFonts w:hAnsi="Times New Roman" w:cs="Times New Roman"/>
                <w:lang w:val="lt-LT"/>
              </w:rPr>
              <w:t xml:space="preserve"> infliaciją į neigiamą teritoriją (defliaciją). Bazinė infliac</w:t>
            </w:r>
            <w:r w:rsidR="001E6C5E" w:rsidRPr="000074E1">
              <w:rPr>
                <w:rFonts w:hAnsi="Times New Roman" w:cs="Times New Roman"/>
                <w:lang w:val="lt-LT"/>
              </w:rPr>
              <w:t>i</w:t>
            </w:r>
            <w:r w:rsidR="001E6C5E" w:rsidRPr="000074E1">
              <w:rPr>
                <w:rFonts w:hAnsi="Times New Roman" w:cs="Times New Roman"/>
                <w:lang w:val="lt-LT"/>
              </w:rPr>
              <w:t>ja (kuri neapima energijos ir neapdoroto maisto) taip pat reikšmingai krito, daugiausiai dėl kritusių p</w:t>
            </w:r>
            <w:r w:rsidR="001E6C5E" w:rsidRPr="000074E1">
              <w:rPr>
                <w:rFonts w:hAnsi="Times New Roman" w:cs="Times New Roman"/>
                <w:lang w:val="lt-LT"/>
              </w:rPr>
              <w:t>a</w:t>
            </w:r>
            <w:r w:rsidR="001E6C5E" w:rsidRPr="000074E1">
              <w:rPr>
                <w:rFonts w:hAnsi="Times New Roman" w:cs="Times New Roman"/>
                <w:lang w:val="lt-LT"/>
              </w:rPr>
              <w:t>slaugų kainų, pvz., turizmo, bet taip pat ir dėl industrinių prekių. Manoma, kad 2020 m. II pusmetį infliacija siek</w:t>
            </w:r>
            <w:r w:rsidR="00DC33F8">
              <w:rPr>
                <w:rFonts w:hAnsi="Times New Roman" w:cs="Times New Roman"/>
                <w:lang w:val="lt-LT"/>
              </w:rPr>
              <w:t xml:space="preserve">s apytiksliai 0 </w:t>
            </w:r>
            <w:r w:rsidR="00DC33F8" w:rsidRPr="000074E1">
              <w:rPr>
                <w:rFonts w:eastAsia="Times New Roman" w:hAnsi="Times New Roman" w:cs="Times New Roman"/>
                <w:bdr w:val="none" w:sz="0" w:space="0" w:color="auto"/>
                <w:lang w:val="lt-LT" w:eastAsia="fr-BE"/>
              </w:rPr>
              <w:t>%</w:t>
            </w:r>
            <w:r w:rsidR="001E6C5E" w:rsidRPr="000074E1">
              <w:rPr>
                <w:rFonts w:hAnsi="Times New Roman" w:cs="Times New Roman"/>
                <w:lang w:val="lt-LT"/>
              </w:rPr>
              <w:t>,</w:t>
            </w:r>
            <w:r w:rsidR="00DC33F8">
              <w:rPr>
                <w:rFonts w:hAnsi="Times New Roman" w:cs="Times New Roman"/>
                <w:lang w:val="lt-LT"/>
              </w:rPr>
              <w:t xml:space="preserve"> o 2021 m. pakils (iki 1,1 </w:t>
            </w:r>
            <w:r w:rsidR="00DC33F8" w:rsidRPr="000074E1">
              <w:rPr>
                <w:rFonts w:eastAsia="Times New Roman" w:hAnsi="Times New Roman" w:cs="Times New Roman"/>
                <w:bdr w:val="none" w:sz="0" w:space="0" w:color="auto"/>
                <w:lang w:val="lt-LT" w:eastAsia="fr-BE"/>
              </w:rPr>
              <w:t>%</w:t>
            </w:r>
            <w:r w:rsidR="001E6C5E" w:rsidRPr="000074E1">
              <w:rPr>
                <w:rFonts w:hAnsi="Times New Roman" w:cs="Times New Roman"/>
                <w:lang w:val="lt-LT"/>
              </w:rPr>
              <w:t>), bet išliks žema. Spaudimas mažinti ka</w:t>
            </w:r>
            <w:r w:rsidR="001E6C5E" w:rsidRPr="000074E1">
              <w:rPr>
                <w:rFonts w:hAnsi="Times New Roman" w:cs="Times New Roman"/>
                <w:lang w:val="lt-LT"/>
              </w:rPr>
              <w:t>i</w:t>
            </w:r>
            <w:r w:rsidR="001E6C5E" w:rsidRPr="000074E1">
              <w:rPr>
                <w:rFonts w:hAnsi="Times New Roman" w:cs="Times New Roman"/>
                <w:lang w:val="lt-LT"/>
              </w:rPr>
              <w:t>nas dominuos ir toliau, nes silpna paklausa, vangi darbo rinka ir euro kurso augimas daugiau nei a</w:t>
            </w:r>
            <w:r w:rsidR="001E6C5E" w:rsidRPr="000074E1">
              <w:rPr>
                <w:rFonts w:hAnsi="Times New Roman" w:cs="Times New Roman"/>
                <w:lang w:val="lt-LT"/>
              </w:rPr>
              <w:t>t</w:t>
            </w:r>
            <w:r w:rsidR="001E6C5E" w:rsidRPr="000074E1">
              <w:rPr>
                <w:rFonts w:hAnsi="Times New Roman" w:cs="Times New Roman"/>
                <w:lang w:val="lt-LT"/>
              </w:rPr>
              <w:t>sveria pasiūlos pusės suvaržymus.</w:t>
            </w:r>
          </w:p>
          <w:p w:rsidR="001E6C5E" w:rsidRPr="000074E1" w:rsidRDefault="001E6C5E" w:rsidP="001E6C5E">
            <w:pPr>
              <w:pStyle w:val="BodyA"/>
              <w:jc w:val="both"/>
              <w:rPr>
                <w:rFonts w:hAnsi="Times New Roman" w:cs="Times New Roman"/>
                <w:lang w:val="lt-LT"/>
              </w:rPr>
            </w:pPr>
          </w:p>
          <w:p w:rsidR="001E6C5E" w:rsidRPr="000074E1" w:rsidRDefault="001E6C5E" w:rsidP="001E6C5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fr-BE"/>
              </w:rPr>
            </w:pPr>
            <w:r w:rsidRPr="000074E1">
              <w:rPr>
                <w:rFonts w:eastAsia="Times New Roman"/>
                <w:bdr w:val="none" w:sz="0" w:space="0" w:color="auto"/>
                <w:lang w:val="lt-LT" w:eastAsia="fr-BE"/>
              </w:rPr>
              <w:t xml:space="preserve">Prognozuojama, kad realusis Lietuvos BVP 2020 m. sumažės apie 2,2 %, 2021 m. augs 3 %, o 2022 m. 2,6 % (Pavasario prognozėse </w:t>
            </w:r>
            <w:r w:rsidR="00ED4FCE" w:rsidRPr="000074E1">
              <w:rPr>
                <w:rFonts w:eastAsia="Times New Roman"/>
                <w:bdr w:val="none" w:sz="0" w:space="0" w:color="auto"/>
                <w:lang w:val="lt-LT" w:eastAsia="fr-BE"/>
              </w:rPr>
              <w:t xml:space="preserve">EK </w:t>
            </w:r>
            <w:r w:rsidRPr="000074E1">
              <w:rPr>
                <w:rFonts w:eastAsia="Times New Roman"/>
                <w:bdr w:val="none" w:sz="0" w:space="0" w:color="auto"/>
                <w:lang w:val="lt-LT" w:eastAsia="fr-BE"/>
              </w:rPr>
              <w:t>prognozavo, kad Lietuvos BVP 2020 m. sumažės 7,9 %, o 2021 m. atsigaus iki 7,4 %). Vyriausybės taikytos paskatų priemonės padėjo išsaugoti darbo vietas, bet taip pat padidino deficitą ir valstybės skolą. Nedarbas išaugo nuo 6,1 % š. m. sausio mėn. iki 9,6 % š. m. rugpjūčio mėn. Ekonominio aktyvumo didėjimas lems nedarbo lygio prognozės pagerėjimą nuo 8,9 % 2020 m. iki 8 % 2021 m. ir toliau mažės 2022 m. Grynasis eksportas sušvelnino padėtį, nes ek</w:t>
            </w:r>
            <w:r w:rsidRPr="000074E1">
              <w:rPr>
                <w:rFonts w:eastAsia="Times New Roman"/>
                <w:bdr w:val="none" w:sz="0" w:space="0" w:color="auto"/>
                <w:lang w:val="lt-LT" w:eastAsia="fr-BE"/>
              </w:rPr>
              <w:t>s</w:t>
            </w:r>
            <w:r w:rsidRPr="000074E1">
              <w:rPr>
                <w:rFonts w:eastAsia="Times New Roman"/>
                <w:bdr w:val="none" w:sz="0" w:space="0" w:color="auto"/>
                <w:lang w:val="lt-LT" w:eastAsia="fr-BE"/>
              </w:rPr>
              <w:t>port</w:t>
            </w:r>
            <w:r w:rsidR="000E1C74" w:rsidRPr="000074E1">
              <w:rPr>
                <w:rFonts w:eastAsia="Times New Roman"/>
                <w:bdr w:val="none" w:sz="0" w:space="0" w:color="auto"/>
                <w:lang w:val="lt-LT" w:eastAsia="fr-BE"/>
              </w:rPr>
              <w:t>as sumažėjo mažiau nei importas</w:t>
            </w:r>
            <w:r w:rsidRPr="000074E1">
              <w:rPr>
                <w:rFonts w:eastAsia="Times New Roman"/>
                <w:bdr w:val="none" w:sz="0" w:space="0" w:color="auto"/>
                <w:lang w:val="lt-LT" w:eastAsia="fr-BE"/>
              </w:rPr>
              <w:t>. Be to, Lietuva yra mažiau priklausoma nuo atvykstamojo t</w:t>
            </w:r>
            <w:r w:rsidRPr="000074E1">
              <w:rPr>
                <w:rFonts w:eastAsia="Times New Roman"/>
                <w:bdr w:val="none" w:sz="0" w:space="0" w:color="auto"/>
                <w:lang w:val="lt-LT" w:eastAsia="fr-BE"/>
              </w:rPr>
              <w:t>u</w:t>
            </w:r>
            <w:r w:rsidRPr="000074E1">
              <w:rPr>
                <w:rFonts w:eastAsia="Times New Roman"/>
                <w:bdr w:val="none" w:sz="0" w:space="0" w:color="auto"/>
                <w:lang w:val="lt-LT" w:eastAsia="fr-BE"/>
              </w:rPr>
              <w:t>rizmo. Laiku sulaikytas virusas pandemijos pradžioje taip pat padėjo ekonomikai. Nepaisant energ</w:t>
            </w:r>
            <w:r w:rsidRPr="000074E1">
              <w:rPr>
                <w:rFonts w:eastAsia="Times New Roman"/>
                <w:bdr w:val="none" w:sz="0" w:space="0" w:color="auto"/>
                <w:lang w:val="lt-LT" w:eastAsia="fr-BE"/>
              </w:rPr>
              <w:t>i</w:t>
            </w:r>
            <w:r w:rsidRPr="000074E1">
              <w:rPr>
                <w:rFonts w:eastAsia="Times New Roman"/>
                <w:bdr w:val="none" w:sz="0" w:space="0" w:color="auto"/>
                <w:lang w:val="lt-LT" w:eastAsia="fr-BE"/>
              </w:rPr>
              <w:t>jos kainų mažėjimo, paslaugų bei maisto kainos toliau auga išlaikydamos infliaciją 1,3</w:t>
            </w:r>
            <w:r w:rsidR="000E1C74" w:rsidRPr="000074E1">
              <w:rPr>
                <w:rFonts w:eastAsia="Times New Roman"/>
                <w:bdr w:val="none" w:sz="0" w:space="0" w:color="auto"/>
                <w:lang w:val="lt-LT" w:eastAsia="fr-BE"/>
              </w:rPr>
              <w:t xml:space="preserve"> </w:t>
            </w:r>
            <w:r w:rsidR="00F701A2" w:rsidRPr="000074E1">
              <w:rPr>
                <w:rFonts w:eastAsia="Times New Roman"/>
                <w:bdr w:val="none" w:sz="0" w:space="0" w:color="auto"/>
                <w:lang w:val="lt-LT" w:eastAsia="fr-BE"/>
              </w:rPr>
              <w:t xml:space="preserve">% </w:t>
            </w:r>
            <w:r w:rsidR="000E1C74" w:rsidRPr="000074E1">
              <w:rPr>
                <w:rFonts w:eastAsia="Times New Roman"/>
                <w:bdr w:val="none" w:sz="0" w:space="0" w:color="auto"/>
                <w:lang w:val="lt-LT" w:eastAsia="fr-BE"/>
              </w:rPr>
              <w:t>lygyje 2020 m. Ateinančiais</w:t>
            </w:r>
            <w:r w:rsidRPr="000074E1">
              <w:rPr>
                <w:rFonts w:eastAsia="Times New Roman"/>
                <w:bdr w:val="none" w:sz="0" w:space="0" w:color="auto"/>
                <w:lang w:val="lt-LT" w:eastAsia="fr-BE"/>
              </w:rPr>
              <w:t xml:space="preserve"> ir vėlesniais metais tikimasi nedidelio infliacijos augimo: 2021 m. </w:t>
            </w:r>
            <w:r w:rsidR="00F701A2" w:rsidRPr="000074E1">
              <w:rPr>
                <w:rFonts w:eastAsia="Times New Roman"/>
                <w:bdr w:val="none" w:sz="0" w:space="0" w:color="auto"/>
                <w:lang w:val="lt-LT" w:eastAsia="fr-BE"/>
              </w:rPr>
              <w:t>–</w:t>
            </w:r>
            <w:r w:rsidRPr="000074E1">
              <w:rPr>
                <w:rFonts w:eastAsia="Times New Roman"/>
                <w:bdr w:val="none" w:sz="0" w:space="0" w:color="auto"/>
                <w:lang w:val="lt-LT" w:eastAsia="fr-BE"/>
              </w:rPr>
              <w:t xml:space="preserve"> 1,5 </w:t>
            </w:r>
            <w:r w:rsidR="00F701A2" w:rsidRPr="000074E1">
              <w:rPr>
                <w:rFonts w:eastAsia="Times New Roman"/>
                <w:bdr w:val="none" w:sz="0" w:space="0" w:color="auto"/>
                <w:lang w:val="lt-LT" w:eastAsia="fr-BE"/>
              </w:rPr>
              <w:t xml:space="preserve">% </w:t>
            </w:r>
            <w:r w:rsidRPr="000074E1">
              <w:rPr>
                <w:rFonts w:eastAsia="Times New Roman"/>
                <w:bdr w:val="none" w:sz="0" w:space="0" w:color="auto"/>
                <w:lang w:val="lt-LT" w:eastAsia="fr-BE"/>
              </w:rPr>
              <w:t xml:space="preserve"> 2022 m. </w:t>
            </w:r>
            <w:r w:rsidR="00F701A2" w:rsidRPr="000074E1">
              <w:rPr>
                <w:rFonts w:eastAsia="Times New Roman"/>
                <w:bdr w:val="none" w:sz="0" w:space="0" w:color="auto"/>
                <w:lang w:val="lt-LT" w:eastAsia="fr-BE"/>
              </w:rPr>
              <w:t>–</w:t>
            </w:r>
            <w:r w:rsidRPr="000074E1">
              <w:rPr>
                <w:rFonts w:eastAsia="Times New Roman"/>
                <w:bdr w:val="none" w:sz="0" w:space="0" w:color="auto"/>
                <w:lang w:val="lt-LT" w:eastAsia="fr-BE"/>
              </w:rPr>
              <w:t xml:space="preserve"> </w:t>
            </w:r>
            <w:r w:rsidR="00FA10E7" w:rsidRPr="001E6C5E">
              <w:rPr>
                <w:rFonts w:eastAsia="Times New Roman"/>
                <w:bdr w:val="none" w:sz="0" w:space="0" w:color="auto"/>
                <w:lang w:val="lt-LT" w:eastAsia="fr-BE"/>
              </w:rPr>
              <w:t xml:space="preserve">1,7 </w:t>
            </w:r>
            <w:r w:rsidR="00F701A2" w:rsidRPr="000074E1">
              <w:rPr>
                <w:rFonts w:eastAsia="Times New Roman"/>
                <w:bdr w:val="none" w:sz="0" w:space="0" w:color="auto"/>
                <w:lang w:val="lt-LT" w:eastAsia="fr-BE"/>
              </w:rPr>
              <w:t xml:space="preserve">% </w:t>
            </w:r>
            <w:r w:rsidRPr="000074E1">
              <w:rPr>
                <w:rFonts w:eastAsia="Times New Roman"/>
                <w:bdr w:val="none" w:sz="0" w:space="0" w:color="auto"/>
                <w:lang w:val="lt-LT" w:eastAsia="fr-BE"/>
              </w:rPr>
              <w:t>.</w:t>
            </w:r>
          </w:p>
          <w:p w:rsidR="004B217F" w:rsidRPr="000074E1" w:rsidRDefault="004B217F">
            <w:pPr>
              <w:pStyle w:val="BodyA"/>
              <w:jc w:val="both"/>
              <w:rPr>
                <w:rFonts w:eastAsia="Times New Roman Bold" w:hAnsi="Times New Roman" w:cs="Times New Roman"/>
                <w:u w:val="single"/>
                <w:lang w:val="lt-LT"/>
              </w:rPr>
            </w:pPr>
          </w:p>
          <w:p w:rsidR="004B217F" w:rsidRPr="000074E1" w:rsidRDefault="00EE1216" w:rsidP="00C31389">
            <w:pPr>
              <w:pStyle w:val="BodyA"/>
              <w:jc w:val="both"/>
              <w:rPr>
                <w:rFonts w:hAnsi="Times New Roman" w:cs="Times New Roman"/>
                <w:lang w:val="lt-LT"/>
              </w:rPr>
            </w:pPr>
            <w:r w:rsidRPr="000074E1">
              <w:rPr>
                <w:rFonts w:hAnsi="Times New Roman" w:cs="Times New Roman"/>
                <w:b/>
                <w:u w:val="single"/>
                <w:lang w:val="lt-LT"/>
              </w:rPr>
              <w:t>Lietuvos pozicija.</w:t>
            </w:r>
            <w:r w:rsidRPr="000074E1">
              <w:rPr>
                <w:rFonts w:hAnsi="Times New Roman" w:cs="Times New Roman"/>
                <w:lang w:val="lt-LT"/>
              </w:rPr>
              <w:t xml:space="preserve"> </w:t>
            </w:r>
            <w:r w:rsidR="000A1492" w:rsidRPr="000074E1">
              <w:rPr>
                <w:rFonts w:hAnsi="Times New Roman" w:cs="Times New Roman"/>
                <w:lang w:val="lt-LT"/>
              </w:rPr>
              <w:t>Pritariame EK atliktai analizei ir sutinkame, kad išlieka labai didelis neapibrė</w:t>
            </w:r>
            <w:r w:rsidR="000A1492" w:rsidRPr="000074E1">
              <w:rPr>
                <w:rFonts w:hAnsi="Times New Roman" w:cs="Times New Roman"/>
                <w:lang w:val="lt-LT"/>
              </w:rPr>
              <w:t>ž</w:t>
            </w:r>
            <w:r w:rsidR="000A1492" w:rsidRPr="000074E1">
              <w:rPr>
                <w:rFonts w:hAnsi="Times New Roman" w:cs="Times New Roman"/>
                <w:lang w:val="lt-LT"/>
              </w:rPr>
              <w:t>tumas dėl ateities, ypač atsižvelgiant į pastarųjų savaičių pandemijos situaciją Lietuvoje.</w:t>
            </w:r>
          </w:p>
          <w:p w:rsidR="0032625D" w:rsidRPr="000074E1" w:rsidRDefault="0032625D" w:rsidP="0032625D">
            <w:pPr>
              <w:pStyle w:val="BodyA"/>
              <w:jc w:val="both"/>
              <w:rPr>
                <w:rFonts w:hAnsi="Times New Roman" w:cs="Times New Roman"/>
                <w:lang w:val="lt-LT"/>
              </w:rPr>
            </w:pPr>
          </w:p>
          <w:p w:rsidR="0032625D" w:rsidRPr="000074E1" w:rsidRDefault="0032625D" w:rsidP="0032625D">
            <w:pPr>
              <w:pStyle w:val="BodyA"/>
              <w:jc w:val="both"/>
              <w:rPr>
                <w:rFonts w:hAnsi="Times New Roman" w:cs="Times New Roman"/>
                <w:b/>
                <w:lang w:val="lt-LT"/>
              </w:rPr>
            </w:pPr>
            <w:r w:rsidRPr="000074E1">
              <w:rPr>
                <w:rFonts w:hAnsi="Times New Roman" w:cs="Times New Roman"/>
                <w:b/>
                <w:lang w:val="lt-LT"/>
              </w:rPr>
              <w:t xml:space="preserve">2. </w:t>
            </w:r>
            <w:r w:rsidR="001E6C5E" w:rsidRPr="000074E1">
              <w:rPr>
                <w:rFonts w:hAnsi="Times New Roman" w:cs="Times New Roman"/>
                <w:b/>
                <w:lang w:val="lt-LT"/>
              </w:rPr>
              <w:t>Euro zonos šalių biudžeto planų ir euro zonos biudžetinės situacijos bei perspektyvų vert</w:t>
            </w:r>
            <w:r w:rsidR="001E6C5E" w:rsidRPr="000074E1">
              <w:rPr>
                <w:rFonts w:hAnsi="Times New Roman" w:cs="Times New Roman"/>
                <w:b/>
                <w:lang w:val="lt-LT"/>
              </w:rPr>
              <w:t>i</w:t>
            </w:r>
            <w:r w:rsidR="001E6C5E" w:rsidRPr="000074E1">
              <w:rPr>
                <w:rFonts w:hAnsi="Times New Roman" w:cs="Times New Roman"/>
                <w:b/>
                <w:lang w:val="lt-LT"/>
              </w:rPr>
              <w:t>nimas</w:t>
            </w:r>
          </w:p>
          <w:p w:rsidR="0032625D" w:rsidRPr="000074E1" w:rsidRDefault="0032625D" w:rsidP="002C15B7">
            <w:pPr>
              <w:pStyle w:val="BodyA"/>
              <w:jc w:val="both"/>
              <w:rPr>
                <w:rFonts w:hAnsi="Times New Roman" w:cs="Times New Roman"/>
                <w:highlight w:val="yellow"/>
                <w:lang w:val="lt-LT"/>
              </w:rPr>
            </w:pPr>
          </w:p>
          <w:p w:rsidR="0032625D" w:rsidRPr="000074E1" w:rsidRDefault="0032625D" w:rsidP="002C15B7">
            <w:pPr>
              <w:pStyle w:val="BodyA"/>
              <w:jc w:val="both"/>
              <w:rPr>
                <w:rFonts w:hAnsi="Times New Roman" w:cs="Times New Roman"/>
                <w:lang w:val="lt-LT"/>
              </w:rPr>
            </w:pPr>
            <w:r w:rsidRPr="000074E1">
              <w:rPr>
                <w:rFonts w:hAnsi="Times New Roman" w:cs="Times New Roman"/>
                <w:b/>
                <w:u w:val="single"/>
                <w:lang w:val="lt-LT"/>
              </w:rPr>
              <w:t>Klausimo esmė.</w:t>
            </w:r>
            <w:r w:rsidRPr="000074E1">
              <w:rPr>
                <w:rFonts w:hAnsi="Times New Roman" w:cs="Times New Roman"/>
                <w:lang w:val="lt-LT"/>
              </w:rPr>
              <w:t xml:space="preserve"> </w:t>
            </w:r>
            <w:r w:rsidR="000A1492" w:rsidRPr="000074E1">
              <w:rPr>
                <w:rFonts w:hAnsi="Times New Roman" w:cs="Times New Roman"/>
                <w:lang w:val="lt-LT"/>
              </w:rPr>
              <w:t xml:space="preserve">Lapkričio 18 d. </w:t>
            </w:r>
            <w:r w:rsidR="00ED4FCE" w:rsidRPr="000074E1">
              <w:rPr>
                <w:rFonts w:hAnsi="Times New Roman" w:cs="Times New Roman"/>
                <w:lang w:val="lt-LT"/>
              </w:rPr>
              <w:t>EK</w:t>
            </w:r>
            <w:r w:rsidR="000A1492" w:rsidRPr="000074E1">
              <w:rPr>
                <w:rFonts w:hAnsi="Times New Roman" w:cs="Times New Roman"/>
                <w:lang w:val="lt-LT"/>
              </w:rPr>
              <w:t xml:space="preserve"> paskelbė </w:t>
            </w:r>
            <w:r w:rsidR="00ED4FCE" w:rsidRPr="000074E1">
              <w:rPr>
                <w:rFonts w:hAnsi="Times New Roman" w:cs="Times New Roman"/>
                <w:lang w:val="lt-LT"/>
              </w:rPr>
              <w:t>EZ</w:t>
            </w:r>
            <w:r w:rsidR="000A1492" w:rsidRPr="000074E1">
              <w:rPr>
                <w:rFonts w:hAnsi="Times New Roman" w:cs="Times New Roman"/>
                <w:lang w:val="lt-LT"/>
              </w:rPr>
              <w:t xml:space="preserve"> šalių 2021 m. biudžeto projektų vertinimus. 2020 m. visos EZ BVP trauksis apie 8 </w:t>
            </w:r>
            <w:r w:rsidR="004D0B8E" w:rsidRPr="000074E1">
              <w:rPr>
                <w:rFonts w:eastAsia="Times New Roman" w:hAnsi="Times New Roman" w:cs="Times New Roman"/>
                <w:bdr w:val="none" w:sz="0" w:space="0" w:color="auto"/>
                <w:lang w:val="lt-LT" w:eastAsia="fr-BE"/>
              </w:rPr>
              <w:t xml:space="preserve">% </w:t>
            </w:r>
            <w:r w:rsidR="000A1492" w:rsidRPr="000074E1">
              <w:rPr>
                <w:rFonts w:hAnsi="Times New Roman" w:cs="Times New Roman"/>
                <w:lang w:val="lt-LT"/>
              </w:rPr>
              <w:t xml:space="preserve">, deficitas smarkiai išaugs. 2021 m. deficitas bus virš 6 </w:t>
            </w:r>
            <w:r w:rsidR="004D0B8E" w:rsidRPr="000074E1">
              <w:rPr>
                <w:rFonts w:eastAsia="Times New Roman" w:hAnsi="Times New Roman" w:cs="Times New Roman"/>
                <w:bdr w:val="none" w:sz="0" w:space="0" w:color="auto"/>
                <w:lang w:val="lt-LT" w:eastAsia="fr-BE"/>
              </w:rPr>
              <w:t xml:space="preserve">% </w:t>
            </w:r>
            <w:r w:rsidR="000A1492" w:rsidRPr="000074E1">
              <w:rPr>
                <w:rFonts w:hAnsi="Times New Roman" w:cs="Times New Roman"/>
                <w:lang w:val="lt-LT"/>
              </w:rPr>
              <w:t>BVP dėl diskrecinių sprendimų kovojant su COVID-19, automatinių stabilizatorių, rizikos išs</w:t>
            </w:r>
            <w:r w:rsidR="000A1492" w:rsidRPr="000074E1">
              <w:rPr>
                <w:rFonts w:hAnsi="Times New Roman" w:cs="Times New Roman"/>
                <w:lang w:val="lt-LT"/>
              </w:rPr>
              <w:t>i</w:t>
            </w:r>
            <w:r w:rsidR="000A1492" w:rsidRPr="000074E1">
              <w:rPr>
                <w:rFonts w:hAnsi="Times New Roman" w:cs="Times New Roman"/>
                <w:lang w:val="lt-LT"/>
              </w:rPr>
              <w:t>pildymo dėl garantijų/ paskolų. Skola per šią krizę išaugs daugiau nei išaugo 2009 m., EZ skola vi</w:t>
            </w:r>
            <w:r w:rsidR="000A1492" w:rsidRPr="000074E1">
              <w:rPr>
                <w:rFonts w:hAnsi="Times New Roman" w:cs="Times New Roman"/>
                <w:lang w:val="lt-LT"/>
              </w:rPr>
              <w:t>r</w:t>
            </w:r>
            <w:r w:rsidR="000A1492" w:rsidRPr="000074E1">
              <w:rPr>
                <w:rFonts w:hAnsi="Times New Roman" w:cs="Times New Roman"/>
                <w:lang w:val="lt-LT"/>
              </w:rPr>
              <w:t xml:space="preserve">šys 100 </w:t>
            </w:r>
            <w:r w:rsidR="004D0B8E" w:rsidRPr="000074E1">
              <w:rPr>
                <w:rFonts w:eastAsia="Times New Roman" w:hAnsi="Times New Roman" w:cs="Times New Roman"/>
                <w:bdr w:val="none" w:sz="0" w:space="0" w:color="auto"/>
                <w:lang w:val="lt-LT" w:eastAsia="fr-BE"/>
              </w:rPr>
              <w:t xml:space="preserve">% </w:t>
            </w:r>
            <w:r w:rsidR="000A1492" w:rsidRPr="000074E1">
              <w:rPr>
                <w:rFonts w:hAnsi="Times New Roman" w:cs="Times New Roman"/>
                <w:lang w:val="lt-LT"/>
              </w:rPr>
              <w:t xml:space="preserve"> BVP. Visų šalių fiskalinė politika (ypač eliminavus greito reagavimo priemonių poveikį) bus ek</w:t>
            </w:r>
            <w:r w:rsidR="000A1492" w:rsidRPr="000074E1">
              <w:rPr>
                <w:rFonts w:hAnsi="Times New Roman" w:cs="Times New Roman"/>
                <w:lang w:val="lt-LT"/>
              </w:rPr>
              <w:t>o</w:t>
            </w:r>
            <w:r w:rsidR="000A1492" w:rsidRPr="000074E1">
              <w:rPr>
                <w:rFonts w:hAnsi="Times New Roman" w:cs="Times New Roman"/>
                <w:lang w:val="lt-LT"/>
              </w:rPr>
              <w:t>nomikos atsigavimą palaikanti.</w:t>
            </w: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u w:color="000000"/>
                <w:lang w:val="lt-LT"/>
              </w:rPr>
            </w:pP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color w:val="000000"/>
                <w:u w:color="000000"/>
                <w:lang w:val="lt-LT"/>
              </w:rPr>
              <w:t>EK</w:t>
            </w:r>
            <w:r w:rsidRPr="000074E1">
              <w:rPr>
                <w:rFonts w:eastAsia="Calibri"/>
                <w:bdr w:val="none" w:sz="0" w:space="0" w:color="auto"/>
                <w:lang w:val="lt-LT"/>
              </w:rPr>
              <w:t xml:space="preserve"> euro zonos šalis suskirstė į tris pogrupius:</w:t>
            </w: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rFonts w:eastAsia="Calibri"/>
                <w:bdr w:val="none" w:sz="0" w:space="0" w:color="auto"/>
                <w:lang w:val="lt-LT"/>
              </w:rPr>
              <w:t>1) LT, SI, FR, IT (tos, kurios turi daugiau nei 0,5 p.</w:t>
            </w:r>
            <w:r w:rsidR="004D0B8E" w:rsidRPr="000074E1">
              <w:rPr>
                <w:rFonts w:eastAsia="Calibri"/>
                <w:bdr w:val="none" w:sz="0" w:space="0" w:color="auto"/>
                <w:lang w:val="lt-LT"/>
              </w:rPr>
              <w:t xml:space="preserve"> </w:t>
            </w:r>
            <w:r w:rsidRPr="000074E1">
              <w:rPr>
                <w:rFonts w:eastAsia="Calibri"/>
                <w:bdr w:val="none" w:sz="0" w:space="0" w:color="auto"/>
                <w:lang w:val="lt-LT"/>
              </w:rPr>
              <w:t xml:space="preserve">p. BVP ilgalaikių priemonių, prisiimtų nuo </w:t>
            </w:r>
            <w:r w:rsidR="004D0B8E" w:rsidRPr="000074E1">
              <w:rPr>
                <w:rFonts w:eastAsia="Calibri"/>
                <w:bdr w:val="none" w:sz="0" w:space="0" w:color="auto"/>
                <w:lang w:val="lt-LT"/>
              </w:rPr>
              <w:t xml:space="preserve">   </w:t>
            </w:r>
            <w:r w:rsidRPr="000074E1">
              <w:rPr>
                <w:rFonts w:eastAsia="Calibri"/>
                <w:bdr w:val="none" w:sz="0" w:space="0" w:color="auto"/>
                <w:lang w:val="lt-LT"/>
              </w:rPr>
              <w:t>pandemijos pradžios, tačiau kol kas nepadengtų atsveriančiomis pajamas didinančiomis ar išlaidas m</w:t>
            </w:r>
            <w:r w:rsidRPr="000074E1">
              <w:rPr>
                <w:rFonts w:eastAsia="Calibri"/>
                <w:bdr w:val="none" w:sz="0" w:space="0" w:color="auto"/>
                <w:lang w:val="lt-LT"/>
              </w:rPr>
              <w:t>a</w:t>
            </w:r>
            <w:r w:rsidRPr="000074E1">
              <w:rPr>
                <w:rFonts w:eastAsia="Calibri"/>
                <w:bdr w:val="none" w:sz="0" w:space="0" w:color="auto"/>
                <w:lang w:val="lt-LT"/>
              </w:rPr>
              <w:t>žinančiomis priemonėmis);</w:t>
            </w: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rFonts w:eastAsia="Calibri"/>
                <w:bdr w:val="none" w:sz="0" w:space="0" w:color="auto"/>
                <w:lang w:val="lt-LT"/>
              </w:rPr>
              <w:t>2) BE, EL, ES, FR, IT, PT (tos, kurios turi didelę skolą ir tvarumo riziką);</w:t>
            </w: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rFonts w:eastAsia="Calibri"/>
                <w:bdr w:val="none" w:sz="0" w:space="0" w:color="auto"/>
                <w:lang w:val="lt-LT"/>
              </w:rPr>
              <w:t>3) visos likusios EZ šalys.</w:t>
            </w: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rFonts w:eastAsia="Calibri"/>
                <w:bdr w:val="none" w:sz="0" w:space="0" w:color="auto"/>
                <w:lang w:val="lt-LT"/>
              </w:rPr>
              <w:t>EK teigia, jog Lietuva imasi tinkamų fiskalinių priemonių reaguodama į COVID-19 pandemijos s</w:t>
            </w:r>
            <w:r w:rsidRPr="000074E1">
              <w:rPr>
                <w:rFonts w:eastAsia="Calibri"/>
                <w:bdr w:val="none" w:sz="0" w:space="0" w:color="auto"/>
                <w:lang w:val="lt-LT"/>
              </w:rPr>
              <w:t>u</w:t>
            </w:r>
            <w:r w:rsidRPr="000074E1">
              <w:rPr>
                <w:rFonts w:eastAsia="Calibri"/>
                <w:bdr w:val="none" w:sz="0" w:space="0" w:color="auto"/>
                <w:lang w:val="lt-LT"/>
              </w:rPr>
              <w:t>keliamą neigiamą poveikį šalies ekonomikai, žmonėms, sveikatos apsaugos sistemai. EK</w:t>
            </w:r>
            <w:r w:rsidR="00352292" w:rsidRPr="000074E1">
              <w:rPr>
                <w:rFonts w:eastAsia="Calibri"/>
                <w:bdr w:val="none" w:sz="0" w:space="0" w:color="auto"/>
                <w:lang w:val="lt-LT"/>
              </w:rPr>
              <w:t>,</w:t>
            </w:r>
            <w:r w:rsidRPr="000074E1">
              <w:rPr>
                <w:rFonts w:eastAsia="Calibri"/>
                <w:bdr w:val="none" w:sz="0" w:space="0" w:color="auto"/>
                <w:lang w:val="lt-LT"/>
              </w:rPr>
              <w:t xml:space="preserve"> vertindama Lietuvos ir kitų EZ valstybių 2021 m. biudžeto planų projektus</w:t>
            </w:r>
            <w:r w:rsidR="00352292" w:rsidRPr="000074E1">
              <w:rPr>
                <w:rFonts w:eastAsia="Calibri"/>
                <w:bdr w:val="none" w:sz="0" w:space="0" w:color="auto"/>
                <w:lang w:val="lt-LT"/>
              </w:rPr>
              <w:t>,</w:t>
            </w:r>
            <w:r w:rsidRPr="000074E1">
              <w:rPr>
                <w:rFonts w:eastAsia="Calibri"/>
                <w:bdr w:val="none" w:sz="0" w:space="0" w:color="auto"/>
                <w:lang w:val="lt-LT"/>
              </w:rPr>
              <w:t xml:space="preserve"> netaikė ES Stabilumo ir augimo pa</w:t>
            </w:r>
            <w:r w:rsidRPr="000074E1">
              <w:rPr>
                <w:rFonts w:eastAsia="Calibri"/>
                <w:bdr w:val="none" w:sz="0" w:space="0" w:color="auto"/>
                <w:lang w:val="lt-LT"/>
              </w:rPr>
              <w:t>k</w:t>
            </w:r>
            <w:r w:rsidRPr="000074E1">
              <w:rPr>
                <w:rFonts w:eastAsia="Calibri"/>
                <w:bdr w:val="none" w:sz="0" w:space="0" w:color="auto"/>
                <w:lang w:val="lt-LT"/>
              </w:rPr>
              <w:t xml:space="preserve">te </w:t>
            </w:r>
            <w:r w:rsidRPr="000074E1">
              <w:rPr>
                <w:rFonts w:eastAsia="Calibri"/>
                <w:bdr w:val="none" w:sz="0" w:space="0" w:color="auto"/>
                <w:lang w:val="lt-LT"/>
              </w:rPr>
              <w:lastRenderedPageBreak/>
              <w:t>(SAP) nustatytų fiskalinės drausmės taisyklių. Šalims patiriant ekonominį nuosmukį dėl COVID-19 pandemijos, t.</w:t>
            </w:r>
            <w:r w:rsidR="00352292" w:rsidRPr="000074E1">
              <w:rPr>
                <w:rFonts w:eastAsia="Calibri"/>
                <w:bdr w:val="none" w:sz="0" w:space="0" w:color="auto"/>
                <w:lang w:val="lt-LT"/>
              </w:rPr>
              <w:t xml:space="preserve"> </w:t>
            </w:r>
            <w:r w:rsidRPr="000074E1">
              <w:rPr>
                <w:rFonts w:eastAsia="Calibri"/>
                <w:bdr w:val="none" w:sz="0" w:space="0" w:color="auto"/>
                <w:lang w:val="lt-LT"/>
              </w:rPr>
              <w:t xml:space="preserve">y. kilus ES, </w:t>
            </w:r>
            <w:r w:rsidR="00352292" w:rsidRPr="000074E1">
              <w:rPr>
                <w:rFonts w:eastAsia="Calibri"/>
                <w:bdr w:val="none" w:sz="0" w:space="0" w:color="auto"/>
                <w:lang w:val="lt-LT"/>
              </w:rPr>
              <w:t>EZ</w:t>
            </w:r>
            <w:r w:rsidRPr="000074E1">
              <w:rPr>
                <w:rFonts w:eastAsia="Calibri"/>
                <w:bdr w:val="none" w:sz="0" w:space="0" w:color="auto"/>
                <w:lang w:val="lt-LT"/>
              </w:rPr>
              <w:t xml:space="preserve"> ekonominei krizei, 2021 m. EK taiko bendrąją SAP lankstumo s</w:t>
            </w:r>
            <w:r w:rsidRPr="000074E1">
              <w:rPr>
                <w:rFonts w:eastAsia="Calibri"/>
                <w:bdr w:val="none" w:sz="0" w:space="0" w:color="auto"/>
                <w:lang w:val="lt-LT"/>
              </w:rPr>
              <w:t>ą</w:t>
            </w:r>
            <w:r w:rsidRPr="000074E1">
              <w:rPr>
                <w:rFonts w:eastAsia="Calibri"/>
                <w:bdr w:val="none" w:sz="0" w:space="0" w:color="auto"/>
                <w:lang w:val="lt-LT"/>
              </w:rPr>
              <w:t>lygą. 2021 m.</w:t>
            </w:r>
            <w:r w:rsidR="006603CA">
              <w:rPr>
                <w:rFonts w:eastAsia="Calibri"/>
                <w:bdr w:val="none" w:sz="0" w:space="0" w:color="auto"/>
                <w:lang w:val="lt-LT"/>
              </w:rPr>
              <w:t xml:space="preserve"> EK Lietuvai prognozuoja </w:t>
            </w:r>
            <w:r w:rsidR="006603CA" w:rsidRPr="00ED4FCE">
              <w:rPr>
                <w:rFonts w:eastAsia="Calibri"/>
                <w:bdr w:val="none" w:sz="0" w:space="0" w:color="auto"/>
                <w:lang w:val="lt-LT"/>
              </w:rPr>
              <w:t>6</w:t>
            </w:r>
            <w:r w:rsidR="00352292" w:rsidRPr="000074E1">
              <w:rPr>
                <w:rFonts w:eastAsia="Times New Roman"/>
                <w:bdr w:val="none" w:sz="0" w:space="0" w:color="auto"/>
                <w:lang w:val="lt-LT" w:eastAsia="fr-BE"/>
              </w:rPr>
              <w:t xml:space="preserve">% </w:t>
            </w:r>
            <w:r w:rsidR="00CB7A97">
              <w:rPr>
                <w:rFonts w:eastAsia="Calibri"/>
                <w:bdr w:val="none" w:sz="0" w:space="0" w:color="auto"/>
                <w:lang w:val="lt-LT"/>
              </w:rPr>
              <w:t>BVP</w:t>
            </w:r>
            <w:r w:rsidRPr="000074E1">
              <w:rPr>
                <w:rFonts w:eastAsia="Calibri"/>
                <w:bdr w:val="none" w:sz="0" w:space="0" w:color="auto"/>
                <w:lang w:val="lt-LT"/>
              </w:rPr>
              <w:t xml:space="preserve"> valdžios sektoriaus deficitą ir 50,7 </w:t>
            </w:r>
            <w:r w:rsidR="00352292" w:rsidRPr="000074E1">
              <w:rPr>
                <w:rFonts w:eastAsia="Times New Roman"/>
                <w:bdr w:val="none" w:sz="0" w:space="0" w:color="auto"/>
                <w:lang w:val="lt-LT" w:eastAsia="fr-BE"/>
              </w:rPr>
              <w:t xml:space="preserve">% </w:t>
            </w:r>
            <w:r w:rsidRPr="000074E1">
              <w:rPr>
                <w:rFonts w:eastAsia="Calibri"/>
                <w:bdr w:val="none" w:sz="0" w:space="0" w:color="auto"/>
                <w:lang w:val="lt-LT"/>
              </w:rPr>
              <w:t>BVP sk</w:t>
            </w:r>
            <w:r w:rsidRPr="000074E1">
              <w:rPr>
                <w:rFonts w:eastAsia="Calibri"/>
                <w:bdr w:val="none" w:sz="0" w:space="0" w:color="auto"/>
                <w:lang w:val="lt-LT"/>
              </w:rPr>
              <w:t>o</w:t>
            </w:r>
            <w:r w:rsidRPr="000074E1">
              <w:rPr>
                <w:rFonts w:eastAsia="Calibri"/>
                <w:bdr w:val="none" w:sz="0" w:space="0" w:color="auto"/>
                <w:lang w:val="lt-LT"/>
              </w:rPr>
              <w:t>lą.</w:t>
            </w:r>
          </w:p>
          <w:p w:rsidR="0032625D" w:rsidRPr="000074E1" w:rsidRDefault="0032625D" w:rsidP="002C15B7">
            <w:pPr>
              <w:pStyle w:val="BodyA"/>
              <w:jc w:val="both"/>
              <w:rPr>
                <w:rFonts w:eastAsia="Times New Roman Bold" w:hAnsi="Times New Roman" w:cs="Times New Roman"/>
                <w:highlight w:val="yellow"/>
                <w:u w:val="single"/>
                <w:lang w:val="lt-LT"/>
              </w:rPr>
            </w:pPr>
            <w:bookmarkStart w:id="0" w:name="_GoBack"/>
            <w:bookmarkEnd w:id="0"/>
          </w:p>
          <w:p w:rsidR="000A1492" w:rsidRPr="000074E1" w:rsidRDefault="0032625D" w:rsidP="000A1492">
            <w:pPr>
              <w:autoSpaceDE w:val="0"/>
              <w:autoSpaceDN w:val="0"/>
              <w:adjustRightInd w:val="0"/>
              <w:jc w:val="both"/>
              <w:rPr>
                <w:rFonts w:eastAsia="Calibri"/>
                <w:color w:val="000000"/>
                <w:bdr w:val="none" w:sz="0" w:space="0" w:color="auto"/>
                <w:lang w:val="lt-LT"/>
              </w:rPr>
            </w:pPr>
            <w:r w:rsidRPr="000074E1">
              <w:rPr>
                <w:b/>
                <w:u w:val="single"/>
                <w:lang w:val="lt-LT"/>
              </w:rPr>
              <w:t>Lietuvos pozicija.</w:t>
            </w:r>
            <w:r w:rsidRPr="000074E1">
              <w:rPr>
                <w:lang w:val="lt-LT"/>
              </w:rPr>
              <w:t xml:space="preserve"> </w:t>
            </w:r>
            <w:r w:rsidR="000A1492" w:rsidRPr="000074E1">
              <w:rPr>
                <w:rFonts w:eastAsia="Calibri"/>
                <w:color w:val="000000"/>
                <w:bdr w:val="none" w:sz="0" w:space="0" w:color="auto"/>
                <w:lang w:val="lt-LT"/>
              </w:rPr>
              <w:t>Lietuva fiskalinės priežiūros kontekste pagal EK atliktą 2021 m. biudžetų proje</w:t>
            </w:r>
            <w:r w:rsidR="000A1492" w:rsidRPr="000074E1">
              <w:rPr>
                <w:rFonts w:eastAsia="Calibri"/>
                <w:color w:val="000000"/>
                <w:bdr w:val="none" w:sz="0" w:space="0" w:color="auto"/>
                <w:lang w:val="lt-LT"/>
              </w:rPr>
              <w:t>k</w:t>
            </w:r>
            <w:r w:rsidR="000A1492" w:rsidRPr="000074E1">
              <w:rPr>
                <w:rFonts w:eastAsia="Calibri"/>
                <w:color w:val="000000"/>
                <w:bdr w:val="none" w:sz="0" w:space="0" w:color="auto"/>
                <w:lang w:val="lt-LT"/>
              </w:rPr>
              <w:t>tų vertinimą iš esmės atitinka Tarybos rekomendacijas, pateiktas Lietuvai 2020</w:t>
            </w:r>
            <w:r w:rsidR="00A267F8" w:rsidRPr="000074E1">
              <w:rPr>
                <w:rFonts w:eastAsia="Calibri"/>
                <w:color w:val="000000"/>
                <w:bdr w:val="none" w:sz="0" w:space="0" w:color="auto"/>
                <w:lang w:val="lt-LT"/>
              </w:rPr>
              <w:t xml:space="preserve"> m.</w:t>
            </w:r>
            <w:r w:rsidR="000A1492" w:rsidRPr="000074E1">
              <w:rPr>
                <w:rFonts w:eastAsia="Calibri"/>
                <w:color w:val="000000"/>
                <w:bdr w:val="none" w:sz="0" w:space="0" w:color="auto"/>
                <w:lang w:val="lt-LT"/>
              </w:rPr>
              <w:t xml:space="preserve"> vasaros pradžioje (tai yra, 2020 m. vykdo ir 2021 m. planuoja vykdyti ekonomiką palaikančią fiskalinę politiką). T</w:t>
            </w:r>
            <w:r w:rsidR="000A1492" w:rsidRPr="000074E1">
              <w:rPr>
                <w:rFonts w:eastAsia="Calibri"/>
                <w:color w:val="000000"/>
                <w:bdr w:val="none" w:sz="0" w:space="0" w:color="auto"/>
                <w:lang w:val="lt-LT"/>
              </w:rPr>
              <w:t>a</w:t>
            </w:r>
            <w:r w:rsidR="000A1492" w:rsidRPr="000074E1">
              <w:rPr>
                <w:rFonts w:eastAsia="Calibri"/>
                <w:color w:val="000000"/>
                <w:bdr w:val="none" w:sz="0" w:space="0" w:color="auto"/>
                <w:lang w:val="lt-LT"/>
              </w:rPr>
              <w:t>čiau</w:t>
            </w:r>
            <w:r w:rsidR="006E3406" w:rsidRPr="000074E1">
              <w:rPr>
                <w:rFonts w:eastAsia="Calibri"/>
                <w:color w:val="000000"/>
                <w:bdr w:val="none" w:sz="0" w:space="0" w:color="auto"/>
                <w:lang w:val="lt-LT"/>
              </w:rPr>
              <w:t>,</w:t>
            </w:r>
            <w:r w:rsidR="000A1492" w:rsidRPr="000074E1">
              <w:rPr>
                <w:rFonts w:eastAsia="Calibri"/>
                <w:color w:val="000000"/>
                <w:bdr w:val="none" w:sz="0" w:space="0" w:color="auto"/>
                <w:lang w:val="lt-LT"/>
              </w:rPr>
              <w:t xml:space="preserve"> tuo pat metu yra įvardinta kaip viena iš 4 šalių (kitos – Italija, Prancūzija, Slovakija), kurios 2020 m. daugiausiai (</w:t>
            </w:r>
            <w:r w:rsidR="00F249FC" w:rsidRPr="000074E1">
              <w:rPr>
                <w:rFonts w:eastAsia="Calibri"/>
                <w:color w:val="000000"/>
                <w:bdr w:val="none" w:sz="0" w:space="0" w:color="auto"/>
                <w:lang w:val="lt-LT"/>
              </w:rPr>
              <w:t>daugiau nei 0</w:t>
            </w:r>
            <w:r w:rsidR="000A1492" w:rsidRPr="000074E1">
              <w:rPr>
                <w:rFonts w:eastAsia="Calibri"/>
                <w:color w:val="000000"/>
                <w:bdr w:val="none" w:sz="0" w:space="0" w:color="auto"/>
                <w:lang w:val="lt-LT"/>
              </w:rPr>
              <w:t xml:space="preserve">,5 p. </w:t>
            </w:r>
            <w:r w:rsidR="00AF38FC" w:rsidRPr="000074E1">
              <w:rPr>
                <w:rFonts w:eastAsia="Calibri"/>
                <w:color w:val="000000"/>
                <w:bdr w:val="none" w:sz="0" w:space="0" w:color="auto"/>
                <w:lang w:val="lt-LT"/>
              </w:rPr>
              <w:t xml:space="preserve">p. </w:t>
            </w:r>
            <w:r w:rsidR="000A1492" w:rsidRPr="000074E1">
              <w:rPr>
                <w:rFonts w:eastAsia="Calibri"/>
                <w:color w:val="000000"/>
                <w:bdr w:val="none" w:sz="0" w:space="0" w:color="auto"/>
                <w:lang w:val="lt-LT"/>
              </w:rPr>
              <w:t>BVP dydžiu) priėmė priemonių, reiškiančių ilgalaikių įs</w:t>
            </w:r>
            <w:r w:rsidR="000A1492" w:rsidRPr="000074E1">
              <w:rPr>
                <w:rFonts w:eastAsia="Calibri"/>
                <w:color w:val="000000"/>
                <w:bdr w:val="none" w:sz="0" w:space="0" w:color="auto"/>
                <w:lang w:val="lt-LT"/>
              </w:rPr>
              <w:t>i</w:t>
            </w:r>
            <w:r w:rsidR="000A1492" w:rsidRPr="000074E1">
              <w:rPr>
                <w:rFonts w:eastAsia="Calibri"/>
                <w:color w:val="000000"/>
                <w:bdr w:val="none" w:sz="0" w:space="0" w:color="auto"/>
                <w:lang w:val="lt-LT"/>
              </w:rPr>
              <w:t>pareigojimų prisiėmimą. Šių priemonių vykdymo kaštams atsverti nėra numatyta naujų ilgalaikių pajamų priemonių ir/ ar kitas išlaidas mažinančių priemonių. Dėl to, anot EK, gali kilti rizika vidut</w:t>
            </w:r>
            <w:r w:rsidR="000A1492" w:rsidRPr="000074E1">
              <w:rPr>
                <w:rFonts w:eastAsia="Calibri"/>
                <w:color w:val="000000"/>
                <w:bdr w:val="none" w:sz="0" w:space="0" w:color="auto"/>
                <w:lang w:val="lt-LT"/>
              </w:rPr>
              <w:t>i</w:t>
            </w:r>
            <w:r w:rsidR="000A1492" w:rsidRPr="000074E1">
              <w:rPr>
                <w:rFonts w:eastAsia="Calibri"/>
                <w:color w:val="000000"/>
                <w:bdr w:val="none" w:sz="0" w:space="0" w:color="auto"/>
                <w:lang w:val="lt-LT"/>
              </w:rPr>
              <w:t>nio ir ilgojo laikotarpių valdžios sektoriaus finansų ir skolos tvarumui.</w:t>
            </w:r>
          </w:p>
          <w:p w:rsidR="000A1492" w:rsidRPr="000074E1" w:rsidRDefault="000A1492" w:rsidP="000A1492">
            <w:pPr>
              <w:autoSpaceDE w:val="0"/>
              <w:autoSpaceDN w:val="0"/>
              <w:adjustRightInd w:val="0"/>
              <w:jc w:val="both"/>
              <w:rPr>
                <w:rFonts w:eastAsia="Calibri"/>
                <w:color w:val="000000"/>
                <w:bdr w:val="none" w:sz="0" w:space="0" w:color="auto"/>
                <w:lang w:val="lt-LT"/>
              </w:rPr>
            </w:pPr>
          </w:p>
          <w:p w:rsidR="000A1492" w:rsidRPr="000074E1" w:rsidRDefault="000A1492" w:rsidP="000A1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0074E1">
              <w:rPr>
                <w:rFonts w:eastAsia="Calibri"/>
                <w:bCs/>
                <w:color w:val="000000"/>
                <w:bdr w:val="none" w:sz="0" w:space="0" w:color="auto"/>
                <w:lang w:val="lt-LT"/>
              </w:rPr>
              <w:t>Iš esmės pritariame EK vertinimui</w:t>
            </w:r>
            <w:r w:rsidRPr="000074E1">
              <w:rPr>
                <w:rFonts w:eastAsia="Calibri"/>
                <w:color w:val="000000"/>
                <w:bdr w:val="none" w:sz="0" w:space="0" w:color="auto"/>
                <w:lang w:val="lt-LT"/>
              </w:rPr>
              <w:t>. Tačiau atkreipiame dėmesį, kad 2021 m. Lietuvos biudžeto pr</w:t>
            </w:r>
            <w:r w:rsidRPr="000074E1">
              <w:rPr>
                <w:rFonts w:eastAsia="Calibri"/>
                <w:color w:val="000000"/>
                <w:bdr w:val="none" w:sz="0" w:space="0" w:color="auto"/>
                <w:lang w:val="lt-LT"/>
              </w:rPr>
              <w:t>o</w:t>
            </w:r>
            <w:r w:rsidRPr="000074E1">
              <w:rPr>
                <w:rFonts w:eastAsia="Calibri"/>
                <w:color w:val="000000"/>
                <w:bdr w:val="none" w:sz="0" w:space="0" w:color="auto"/>
                <w:lang w:val="lt-LT"/>
              </w:rPr>
              <w:t>jektas parengtas ir EK 2020-10-15 pateiktas pagal nesikeičiančios politikos scenarijų (dėl rinkimų ir besikeičiančios Vyriausybės), kuriame pateikta 2020–2021 m. valdžios sektoriaus finansų projekcija. EK vertinimas taip pat apima tik vienerius būsimuosius metus. Tuo tarpu Seimui pateiktos visą vid</w:t>
            </w:r>
            <w:r w:rsidRPr="000074E1">
              <w:rPr>
                <w:rFonts w:eastAsia="Calibri"/>
                <w:color w:val="000000"/>
                <w:bdr w:val="none" w:sz="0" w:space="0" w:color="auto"/>
                <w:lang w:val="lt-LT"/>
              </w:rPr>
              <w:t>u</w:t>
            </w:r>
            <w:r w:rsidRPr="000074E1">
              <w:rPr>
                <w:rFonts w:eastAsia="Calibri"/>
                <w:color w:val="000000"/>
                <w:bdr w:val="none" w:sz="0" w:space="0" w:color="auto"/>
                <w:lang w:val="lt-LT"/>
              </w:rPr>
              <w:t xml:space="preserve">tinį laikotarpį (2020–2023 m.) apimančios valdžios sektoriaus projekcijos rodo siekį jau 2023 m. grįžti prie vidutinio laikotarpio tikslo laikymosi. Jei ekonominė ir </w:t>
            </w:r>
            <w:proofErr w:type="spellStart"/>
            <w:r w:rsidRPr="000074E1">
              <w:rPr>
                <w:rFonts w:eastAsia="Calibri"/>
                <w:color w:val="000000"/>
                <w:bdr w:val="none" w:sz="0" w:space="0" w:color="auto"/>
                <w:lang w:val="lt-LT"/>
              </w:rPr>
              <w:t>pandeminė</w:t>
            </w:r>
            <w:proofErr w:type="spellEnd"/>
            <w:r w:rsidRPr="000074E1">
              <w:rPr>
                <w:rFonts w:eastAsia="Calibri"/>
                <w:color w:val="000000"/>
                <w:bdr w:val="none" w:sz="0" w:space="0" w:color="auto"/>
                <w:lang w:val="lt-LT"/>
              </w:rPr>
              <w:t xml:space="preserve"> situacija leis šį tikslą numatytu laiku pasiekti, rizika valdžios sektoriaus skolos ilgalaikiam tvarumui bus minimizuota.  </w:t>
            </w:r>
            <w:r w:rsidR="00F104EB" w:rsidRPr="000074E1">
              <w:rPr>
                <w:rFonts w:eastAsia="Calibri"/>
                <w:color w:val="000000"/>
                <w:bdr w:val="none" w:sz="0" w:space="0" w:color="auto"/>
                <w:lang w:val="lt-LT"/>
              </w:rPr>
              <w:t>Atnaujintas biudžeto projektas EK bus pateiktas artimiausiu metu.</w:t>
            </w:r>
          </w:p>
          <w:p w:rsidR="00E1240D" w:rsidRPr="000074E1" w:rsidRDefault="00E1240D" w:rsidP="0032625D">
            <w:pPr>
              <w:pStyle w:val="BodyA"/>
              <w:jc w:val="both"/>
              <w:rPr>
                <w:rFonts w:hAnsi="Times New Roman" w:cs="Times New Roman"/>
                <w:lang w:val="lt-LT"/>
              </w:rPr>
            </w:pPr>
          </w:p>
          <w:p w:rsidR="00E1240D" w:rsidRPr="000074E1" w:rsidRDefault="00E1240D" w:rsidP="00E1240D">
            <w:pPr>
              <w:pStyle w:val="BodyA"/>
              <w:jc w:val="both"/>
              <w:rPr>
                <w:rFonts w:hAnsi="Times New Roman" w:cs="Times New Roman"/>
                <w:b/>
                <w:lang w:val="lt-LT"/>
              </w:rPr>
            </w:pPr>
            <w:r w:rsidRPr="000074E1">
              <w:rPr>
                <w:rFonts w:hAnsi="Times New Roman" w:cs="Times New Roman"/>
                <w:b/>
                <w:lang w:val="lt-LT"/>
              </w:rPr>
              <w:t xml:space="preserve">3. </w:t>
            </w:r>
            <w:r w:rsidR="001E6C5E" w:rsidRPr="000074E1">
              <w:rPr>
                <w:rFonts w:hAnsi="Times New Roman" w:cs="Times New Roman"/>
                <w:b/>
                <w:lang w:val="lt-LT"/>
              </w:rPr>
              <w:t xml:space="preserve">2021 m. </w:t>
            </w:r>
            <w:r w:rsidR="00D30A9B" w:rsidRPr="000074E1">
              <w:rPr>
                <w:rFonts w:hAnsi="Times New Roman" w:cs="Times New Roman"/>
                <w:b/>
                <w:lang w:val="lt-LT"/>
              </w:rPr>
              <w:t>e</w:t>
            </w:r>
            <w:r w:rsidR="001E6C5E" w:rsidRPr="000074E1">
              <w:rPr>
                <w:rFonts w:hAnsi="Times New Roman" w:cs="Times New Roman"/>
                <w:b/>
                <w:lang w:val="lt-LT"/>
              </w:rPr>
              <w:t>uro zonos rekomendacijos</w:t>
            </w:r>
          </w:p>
          <w:p w:rsidR="00E1240D" w:rsidRPr="000074E1" w:rsidRDefault="00E1240D" w:rsidP="00E1240D">
            <w:pPr>
              <w:pStyle w:val="BodyA"/>
              <w:jc w:val="both"/>
              <w:rPr>
                <w:rFonts w:hAnsi="Times New Roman" w:cs="Times New Roman"/>
                <w:lang w:val="lt-LT"/>
              </w:rPr>
            </w:pPr>
          </w:p>
          <w:p w:rsidR="00D30A9B" w:rsidRPr="000074E1" w:rsidRDefault="00E1240D" w:rsidP="00D30A9B">
            <w:pPr>
              <w:pStyle w:val="BodyA"/>
              <w:jc w:val="both"/>
              <w:rPr>
                <w:rFonts w:hAnsi="Times New Roman" w:cs="Times New Roman"/>
                <w:b/>
                <w:lang w:val="lt-LT"/>
              </w:rPr>
            </w:pPr>
            <w:r w:rsidRPr="000074E1">
              <w:rPr>
                <w:rFonts w:hAnsi="Times New Roman" w:cs="Times New Roman"/>
                <w:b/>
                <w:u w:val="single"/>
                <w:lang w:val="lt-LT"/>
              </w:rPr>
              <w:t>Klausimo esmė.</w:t>
            </w:r>
            <w:r w:rsidR="009F6130" w:rsidRPr="000074E1">
              <w:rPr>
                <w:rFonts w:hAnsi="Times New Roman" w:cs="Times New Roman"/>
                <w:b/>
                <w:lang w:val="lt-LT"/>
              </w:rPr>
              <w:t xml:space="preserve"> </w:t>
            </w:r>
            <w:r w:rsidR="00D55399" w:rsidRPr="000074E1">
              <w:rPr>
                <w:rFonts w:hAnsi="Times New Roman" w:cs="Times New Roman"/>
                <w:b/>
                <w:lang w:val="lt-LT"/>
              </w:rPr>
              <w:t>Rekomendacijų euro zonai tekstas po svarstymo komitetuose</w:t>
            </w:r>
            <w:r w:rsidR="00D30A9B" w:rsidRPr="000074E1">
              <w:rPr>
                <w:rFonts w:eastAsia="Times New Roman Bold" w:hAnsi="Times New Roman" w:cs="Times New Roman"/>
                <w:b/>
                <w:lang w:val="lt-LT"/>
              </w:rPr>
              <w:t>:</w:t>
            </w:r>
          </w:p>
          <w:p w:rsidR="00D30A9B" w:rsidRPr="000074E1" w:rsidRDefault="00D30A9B" w:rsidP="00D30A9B">
            <w:pPr>
              <w:pStyle w:val="Sraopastraipa"/>
              <w:numPr>
                <w:ilvl w:val="0"/>
                <w:numId w:val="42"/>
              </w:numPr>
              <w:spacing w:after="0" w:line="240" w:lineRule="auto"/>
              <w:jc w:val="both"/>
              <w:rPr>
                <w:rFonts w:eastAsia="Times New Roman Bold" w:hAnsi="Times New Roman" w:cs="Times New Roman"/>
                <w:b/>
                <w:lang w:val="lt-LT"/>
              </w:rPr>
            </w:pPr>
            <w:r w:rsidRPr="000074E1">
              <w:rPr>
                <w:rFonts w:eastAsia="Times New Roman Bold" w:hAnsi="Times New Roman" w:cs="Times New Roman"/>
                <w:b/>
                <w:lang w:val="lt-LT"/>
              </w:rPr>
              <w:t>Užtikrinti politiką, kuri rems atsigavimą.</w:t>
            </w:r>
            <w:r w:rsidRPr="000074E1">
              <w:rPr>
                <w:rFonts w:hAnsi="Times New Roman" w:cs="Times New Roman"/>
                <w:lang w:val="lt-LT"/>
              </w:rPr>
              <w:t xml:space="preserve"> </w:t>
            </w:r>
            <w:r w:rsidRPr="000074E1">
              <w:rPr>
                <w:rFonts w:eastAsia="Times New Roman Bold" w:hAnsi="Times New Roman" w:cs="Times New Roman"/>
                <w:lang w:val="lt-LT"/>
              </w:rPr>
              <w:t>Fiskalinė politika turėtų ir toliau remti ekonom</w:t>
            </w:r>
            <w:r w:rsidRPr="000074E1">
              <w:rPr>
                <w:rFonts w:eastAsia="Times New Roman Bold" w:hAnsi="Times New Roman" w:cs="Times New Roman"/>
                <w:lang w:val="lt-LT"/>
              </w:rPr>
              <w:t>i</w:t>
            </w:r>
            <w:r w:rsidRPr="000074E1">
              <w:rPr>
                <w:rFonts w:eastAsia="Times New Roman Bold" w:hAnsi="Times New Roman" w:cs="Times New Roman"/>
                <w:lang w:val="lt-LT"/>
              </w:rPr>
              <w:t>ką visose EZ VN.</w:t>
            </w:r>
            <w:r w:rsidRPr="000074E1">
              <w:rPr>
                <w:rFonts w:eastAsia="Times New Roman Bold" w:hAnsi="Times New Roman" w:cs="Times New Roman"/>
                <w:b/>
                <w:lang w:val="lt-LT"/>
              </w:rPr>
              <w:t xml:space="preserve"> </w:t>
            </w:r>
          </w:p>
          <w:p w:rsidR="00D30A9B" w:rsidRPr="000074E1" w:rsidRDefault="00D30A9B" w:rsidP="00D30A9B">
            <w:pPr>
              <w:pStyle w:val="BodyA"/>
              <w:numPr>
                <w:ilvl w:val="0"/>
                <w:numId w:val="42"/>
              </w:numPr>
              <w:jc w:val="both"/>
              <w:rPr>
                <w:rFonts w:eastAsia="Times New Roman Bold" w:hAnsi="Times New Roman" w:cs="Times New Roman"/>
                <w:b/>
                <w:lang w:val="lt-LT"/>
              </w:rPr>
            </w:pPr>
            <w:r w:rsidRPr="000074E1">
              <w:rPr>
                <w:rFonts w:eastAsia="Times New Roman Bold" w:hAnsi="Times New Roman" w:cs="Times New Roman"/>
                <w:b/>
                <w:lang w:val="lt-LT"/>
              </w:rPr>
              <w:t>Toliau skatinti konvergenciją, atsparumą ir tvarų bei įtraukų augimą.</w:t>
            </w:r>
            <w:r w:rsidRPr="000074E1">
              <w:rPr>
                <w:rFonts w:eastAsia="Times New Roman Bold" w:hAnsi="Times New Roman" w:cs="Times New Roman"/>
                <w:lang w:val="lt-LT"/>
              </w:rPr>
              <w:t xml:space="preserve"> Sumažinti tolesnės </w:t>
            </w:r>
            <w:proofErr w:type="spellStart"/>
            <w:r w:rsidRPr="000074E1">
              <w:rPr>
                <w:rFonts w:eastAsia="Times New Roman Bold" w:hAnsi="Times New Roman" w:cs="Times New Roman"/>
                <w:lang w:val="lt-LT"/>
              </w:rPr>
              <w:t>divergencijos</w:t>
            </w:r>
            <w:proofErr w:type="spellEnd"/>
            <w:r w:rsidRPr="000074E1">
              <w:rPr>
                <w:rFonts w:eastAsia="Times New Roman Bold" w:hAnsi="Times New Roman" w:cs="Times New Roman"/>
                <w:lang w:val="lt-LT"/>
              </w:rPr>
              <w:t xml:space="preserve"> riziką ir stiprinti ekonominį ir socialinį EZ atsparumą atliekant reformas, stipr</w:t>
            </w:r>
            <w:r w:rsidRPr="000074E1">
              <w:rPr>
                <w:rFonts w:eastAsia="Times New Roman Bold" w:hAnsi="Times New Roman" w:cs="Times New Roman"/>
                <w:lang w:val="lt-LT"/>
              </w:rPr>
              <w:t>i</w:t>
            </w:r>
            <w:r w:rsidRPr="000074E1">
              <w:rPr>
                <w:rFonts w:eastAsia="Times New Roman Bold" w:hAnsi="Times New Roman" w:cs="Times New Roman"/>
                <w:lang w:val="lt-LT"/>
              </w:rPr>
              <w:t>nančias produktyvumą, užimtumą, sklandų resursų paskirstymą. Užtikrinti efektyvią</w:t>
            </w:r>
            <w:r w:rsidR="00803ECB" w:rsidRPr="000074E1">
              <w:rPr>
                <w:rFonts w:eastAsia="Times New Roman Bold" w:hAnsi="Times New Roman" w:cs="Times New Roman"/>
                <w:lang w:val="lt-LT"/>
              </w:rPr>
              <w:t>,</w:t>
            </w:r>
            <w:r w:rsidRPr="000074E1">
              <w:rPr>
                <w:rFonts w:eastAsia="Times New Roman Bold" w:hAnsi="Times New Roman" w:cs="Times New Roman"/>
                <w:lang w:val="lt-LT"/>
              </w:rPr>
              <w:t xml:space="preserve"> aktyvią darbo rinkos politiką bei remti darbų transformaciją, ypač žalios ir skaitmeninės ekonomikos linkme. </w:t>
            </w:r>
            <w:r w:rsidR="00803ECB" w:rsidRPr="000074E1">
              <w:rPr>
                <w:rFonts w:eastAsia="Times New Roman Bold" w:hAnsi="Times New Roman" w:cs="Times New Roman"/>
                <w:lang w:val="lt-LT"/>
              </w:rPr>
              <w:t>Tęsti darbą Tarybos struktūroje</w:t>
            </w:r>
            <w:r w:rsidR="00D55399" w:rsidRPr="000074E1">
              <w:rPr>
                <w:rFonts w:eastAsia="Times New Roman Bold" w:hAnsi="Times New Roman" w:cs="Times New Roman"/>
                <w:lang w:val="lt-LT"/>
              </w:rPr>
              <w:t xml:space="preserve"> ties globaliu sutarimu paremtu sprendimu mokest</w:t>
            </w:r>
            <w:r w:rsidR="00D55399" w:rsidRPr="000074E1">
              <w:rPr>
                <w:rFonts w:eastAsia="Times New Roman Bold" w:hAnsi="Times New Roman" w:cs="Times New Roman"/>
                <w:lang w:val="lt-LT"/>
              </w:rPr>
              <w:t>i</w:t>
            </w:r>
            <w:r w:rsidR="00D55399" w:rsidRPr="000074E1">
              <w:rPr>
                <w:rFonts w:eastAsia="Times New Roman Bold" w:hAnsi="Times New Roman" w:cs="Times New Roman"/>
                <w:lang w:val="lt-LT"/>
              </w:rPr>
              <w:t xml:space="preserve">niams iššūkiams, kilusiems dėl ekonomikos </w:t>
            </w:r>
            <w:proofErr w:type="spellStart"/>
            <w:r w:rsidR="00D55399" w:rsidRPr="000074E1">
              <w:rPr>
                <w:rFonts w:eastAsia="Times New Roman Bold" w:hAnsi="Times New Roman" w:cs="Times New Roman"/>
                <w:lang w:val="lt-LT"/>
              </w:rPr>
              <w:t>skaitmenizavimo</w:t>
            </w:r>
            <w:proofErr w:type="spellEnd"/>
            <w:r w:rsidR="00D55399" w:rsidRPr="000074E1">
              <w:rPr>
                <w:rFonts w:eastAsia="Times New Roman Bold" w:hAnsi="Times New Roman" w:cs="Times New Roman"/>
                <w:lang w:val="lt-LT"/>
              </w:rPr>
              <w:t>, EBPO įtraukiame formate dėl bazės erozijos ir pelno perkėlimo, tikintis, kad susitarimas bus pasiektas iki 2021 m. vidurio šiame formate. Dalyvauti atitinkamuose paruošiamuosiuose darbuose siekiant spręsti skai</w:t>
            </w:r>
            <w:r w:rsidR="00D55399" w:rsidRPr="000074E1">
              <w:rPr>
                <w:rFonts w:eastAsia="Times New Roman Bold" w:hAnsi="Times New Roman" w:cs="Times New Roman"/>
                <w:lang w:val="lt-LT"/>
              </w:rPr>
              <w:t>t</w:t>
            </w:r>
            <w:r w:rsidR="00D55399" w:rsidRPr="000074E1">
              <w:rPr>
                <w:rFonts w:eastAsia="Times New Roman Bold" w:hAnsi="Times New Roman" w:cs="Times New Roman"/>
                <w:lang w:val="lt-LT"/>
              </w:rPr>
              <w:t>meninės ekonomikos mokestinius iššūkius, įskaitant, jeigu tarptautinis sutarimas nebus p</w:t>
            </w:r>
            <w:r w:rsidR="00D55399" w:rsidRPr="000074E1">
              <w:rPr>
                <w:rFonts w:eastAsia="Times New Roman Bold" w:hAnsi="Times New Roman" w:cs="Times New Roman"/>
                <w:lang w:val="lt-LT"/>
              </w:rPr>
              <w:t>a</w:t>
            </w:r>
            <w:r w:rsidR="00D55399" w:rsidRPr="000074E1">
              <w:rPr>
                <w:rFonts w:eastAsia="Times New Roman Bold" w:hAnsi="Times New Roman" w:cs="Times New Roman"/>
                <w:lang w:val="lt-LT"/>
              </w:rPr>
              <w:t>siektas iki 2021 m. vidurio. Daryti tolesnę pažangą kovojant su agresyviu mokesčių planav</w:t>
            </w:r>
            <w:r w:rsidR="00D55399" w:rsidRPr="000074E1">
              <w:rPr>
                <w:rFonts w:eastAsia="Times New Roman Bold" w:hAnsi="Times New Roman" w:cs="Times New Roman"/>
                <w:lang w:val="lt-LT"/>
              </w:rPr>
              <w:t>i</w:t>
            </w:r>
            <w:r w:rsidR="00D55399" w:rsidRPr="000074E1">
              <w:rPr>
                <w:rFonts w:eastAsia="Times New Roman Bold" w:hAnsi="Times New Roman" w:cs="Times New Roman"/>
                <w:lang w:val="lt-LT"/>
              </w:rPr>
              <w:t>mu, mažinti mokesčių pleištą ir remti mokesčių perkėlimą ant anglies dioksido ir aplinkosa</w:t>
            </w:r>
            <w:r w:rsidR="00D55399" w:rsidRPr="000074E1">
              <w:rPr>
                <w:rFonts w:eastAsia="Times New Roman Bold" w:hAnsi="Times New Roman" w:cs="Times New Roman"/>
                <w:lang w:val="lt-LT"/>
              </w:rPr>
              <w:t>u</w:t>
            </w:r>
            <w:r w:rsidR="00D55399" w:rsidRPr="000074E1">
              <w:rPr>
                <w:rFonts w:eastAsia="Times New Roman Bold" w:hAnsi="Times New Roman" w:cs="Times New Roman"/>
                <w:lang w:val="lt-LT"/>
              </w:rPr>
              <w:t>gos mokesčių.</w:t>
            </w:r>
          </w:p>
          <w:p w:rsidR="00D30A9B" w:rsidRPr="000074E1" w:rsidRDefault="00D30A9B" w:rsidP="00D30A9B">
            <w:pPr>
              <w:pStyle w:val="BodyA"/>
              <w:numPr>
                <w:ilvl w:val="0"/>
                <w:numId w:val="42"/>
              </w:numPr>
              <w:jc w:val="both"/>
              <w:rPr>
                <w:rFonts w:eastAsia="Times New Roman Bold" w:hAnsi="Times New Roman" w:cs="Times New Roman"/>
                <w:b/>
                <w:lang w:val="lt-LT"/>
              </w:rPr>
            </w:pPr>
            <w:r w:rsidRPr="000074E1">
              <w:rPr>
                <w:rFonts w:eastAsia="Times New Roman Bold" w:hAnsi="Times New Roman" w:cs="Times New Roman"/>
                <w:b/>
                <w:lang w:val="lt-LT"/>
              </w:rPr>
              <w:t>Stiprinti nacionalines institucines sistemas.</w:t>
            </w:r>
            <w:r w:rsidRPr="000074E1">
              <w:rPr>
                <w:rFonts w:eastAsia="Times New Roman Bold" w:hAnsi="Times New Roman" w:cs="Times New Roman"/>
                <w:lang w:val="lt-LT"/>
              </w:rPr>
              <w:t xml:space="preserve"> Spartinti reformas, nukreiptas į kliūčių invest</w:t>
            </w:r>
            <w:r w:rsidRPr="000074E1">
              <w:rPr>
                <w:rFonts w:eastAsia="Times New Roman Bold" w:hAnsi="Times New Roman" w:cs="Times New Roman"/>
                <w:lang w:val="lt-LT"/>
              </w:rPr>
              <w:t>i</w:t>
            </w:r>
            <w:r w:rsidRPr="000074E1">
              <w:rPr>
                <w:rFonts w:eastAsia="Times New Roman Bold" w:hAnsi="Times New Roman" w:cs="Times New Roman"/>
                <w:lang w:val="lt-LT"/>
              </w:rPr>
              <w:t xml:space="preserve">cijoms pašalinimą ir užtikrinti efektyvų ES lėšų panaudojimą laiku, įskaitant Atsigavimo ir atsparumo priemonę. Stiprinti viešosios administracijos efektyvumą ir </w:t>
            </w:r>
            <w:proofErr w:type="spellStart"/>
            <w:r w:rsidRPr="000074E1">
              <w:rPr>
                <w:rFonts w:eastAsia="Times New Roman Bold" w:hAnsi="Times New Roman" w:cs="Times New Roman"/>
                <w:lang w:val="lt-LT"/>
              </w:rPr>
              <w:t>skaitmenizavimą</w:t>
            </w:r>
            <w:proofErr w:type="spellEnd"/>
            <w:r w:rsidRPr="000074E1">
              <w:rPr>
                <w:rFonts w:eastAsia="Times New Roman Bold" w:hAnsi="Times New Roman" w:cs="Times New Roman"/>
                <w:lang w:val="lt-LT"/>
              </w:rPr>
              <w:t>, įskaitant teisingumo, sveikatos ir viešojo užimtumo sistemas.</w:t>
            </w:r>
          </w:p>
          <w:p w:rsidR="00BA4C87" w:rsidRPr="000074E1" w:rsidRDefault="00D30A9B" w:rsidP="00D30A9B">
            <w:pPr>
              <w:pStyle w:val="BodyA"/>
              <w:numPr>
                <w:ilvl w:val="0"/>
                <w:numId w:val="42"/>
              </w:numPr>
              <w:jc w:val="both"/>
              <w:rPr>
                <w:rFonts w:eastAsia="Times New Roman Bold" w:hAnsi="Times New Roman" w:cs="Times New Roman"/>
                <w:b/>
                <w:lang w:val="lt-LT"/>
              </w:rPr>
            </w:pPr>
            <w:r w:rsidRPr="000074E1">
              <w:rPr>
                <w:rFonts w:eastAsia="Times New Roman Bold" w:hAnsi="Times New Roman" w:cs="Times New Roman"/>
                <w:b/>
                <w:lang w:val="lt-LT"/>
              </w:rPr>
              <w:t>Užtikrinti makro-finansinį stabilumą.</w:t>
            </w:r>
            <w:r w:rsidRPr="000074E1">
              <w:rPr>
                <w:rFonts w:eastAsia="Times New Roman Bold" w:hAnsi="Times New Roman" w:cs="Times New Roman"/>
                <w:lang w:val="lt-LT"/>
              </w:rPr>
              <w:t xml:space="preserve"> Užtikrinti kredito kanalų ekonomikai veikimą bei pagalbą potencialą turinčioms kompanijoms tiek ilgai, kiek reikės krizės metu. Išlaikyti tva</w:t>
            </w:r>
            <w:r w:rsidRPr="000074E1">
              <w:rPr>
                <w:rFonts w:eastAsia="Times New Roman Bold" w:hAnsi="Times New Roman" w:cs="Times New Roman"/>
                <w:lang w:val="lt-LT"/>
              </w:rPr>
              <w:t>r</w:t>
            </w:r>
            <w:r w:rsidRPr="000074E1">
              <w:rPr>
                <w:rFonts w:eastAsia="Times New Roman Bold" w:hAnsi="Times New Roman" w:cs="Times New Roman"/>
                <w:lang w:val="lt-LT"/>
              </w:rPr>
              <w:t>kingą bankų sektoriaus balansą, įskaitant tolimesnį neveiksnių paskolų tvarkymą, konkrečiai per antrinės rinkos neveiksniom</w:t>
            </w:r>
            <w:r w:rsidR="0089499E" w:rsidRPr="000074E1">
              <w:rPr>
                <w:rFonts w:eastAsia="Times New Roman Bold" w:hAnsi="Times New Roman" w:cs="Times New Roman"/>
                <w:lang w:val="lt-LT"/>
              </w:rPr>
              <w:t>s</w:t>
            </w:r>
            <w:r w:rsidRPr="000074E1">
              <w:rPr>
                <w:rFonts w:eastAsia="Times New Roman Bold" w:hAnsi="Times New Roman" w:cs="Times New Roman"/>
                <w:lang w:val="lt-LT"/>
              </w:rPr>
              <w:t xml:space="preserve"> paskolom</w:t>
            </w:r>
            <w:r w:rsidR="0089499E" w:rsidRPr="000074E1">
              <w:rPr>
                <w:rFonts w:eastAsia="Times New Roman Bold" w:hAnsi="Times New Roman" w:cs="Times New Roman"/>
                <w:lang w:val="lt-LT"/>
              </w:rPr>
              <w:t>s</w:t>
            </w:r>
            <w:r w:rsidRPr="000074E1">
              <w:rPr>
                <w:rFonts w:eastAsia="Times New Roman Bold" w:hAnsi="Times New Roman" w:cs="Times New Roman"/>
                <w:lang w:val="lt-LT"/>
              </w:rPr>
              <w:t xml:space="preserve"> vystymą.</w:t>
            </w:r>
          </w:p>
          <w:p w:rsidR="00D55399" w:rsidRPr="000074E1" w:rsidRDefault="00ED4FCE" w:rsidP="000074E1">
            <w:pPr>
              <w:pStyle w:val="BodyA"/>
              <w:numPr>
                <w:ilvl w:val="0"/>
                <w:numId w:val="42"/>
              </w:numPr>
              <w:ind w:left="714" w:hanging="357"/>
              <w:jc w:val="both"/>
              <w:rPr>
                <w:rFonts w:eastAsia="Times New Roman Bold" w:hAnsi="Times New Roman" w:cs="Times New Roman"/>
                <w:u w:val="single"/>
                <w:lang w:val="lt-LT"/>
              </w:rPr>
            </w:pPr>
            <w:r w:rsidRPr="000074E1">
              <w:rPr>
                <w:rFonts w:eastAsia="Times New Roman Bold" w:hAnsi="Times New Roman" w:cs="Times New Roman"/>
                <w:b/>
                <w:lang w:val="lt-LT"/>
              </w:rPr>
              <w:lastRenderedPageBreak/>
              <w:t>Už</w:t>
            </w:r>
            <w:r w:rsidR="00D30A9B" w:rsidRPr="000074E1">
              <w:rPr>
                <w:rFonts w:eastAsia="Times New Roman Bold" w:hAnsi="Times New Roman" w:cs="Times New Roman"/>
                <w:b/>
                <w:lang w:val="lt-LT"/>
              </w:rPr>
              <w:t xml:space="preserve">baigti </w:t>
            </w:r>
            <w:r w:rsidRPr="000074E1">
              <w:rPr>
                <w:rFonts w:eastAsia="Times New Roman Bold" w:hAnsi="Times New Roman" w:cs="Times New Roman"/>
                <w:b/>
                <w:lang w:val="lt-LT"/>
              </w:rPr>
              <w:t>Ekonominę ir pinigų sąjungą (</w:t>
            </w:r>
            <w:r w:rsidR="00D30A9B" w:rsidRPr="000074E1">
              <w:rPr>
                <w:rFonts w:eastAsia="Times New Roman Bold" w:hAnsi="Times New Roman" w:cs="Times New Roman"/>
                <w:b/>
                <w:lang w:val="lt-LT"/>
              </w:rPr>
              <w:t>EPS</w:t>
            </w:r>
            <w:r w:rsidRPr="000074E1">
              <w:rPr>
                <w:rFonts w:eastAsia="Times New Roman Bold" w:hAnsi="Times New Roman" w:cs="Times New Roman"/>
                <w:b/>
                <w:lang w:val="lt-LT"/>
              </w:rPr>
              <w:t>)</w:t>
            </w:r>
            <w:r w:rsidR="00D30A9B" w:rsidRPr="000074E1">
              <w:rPr>
                <w:rFonts w:eastAsia="Times New Roman Bold" w:hAnsi="Times New Roman" w:cs="Times New Roman"/>
                <w:b/>
                <w:lang w:val="lt-LT"/>
              </w:rPr>
              <w:t xml:space="preserve"> ir sustiprinti tarptautinį euro vaidmenį.</w:t>
            </w:r>
            <w:r w:rsidR="00D30A9B" w:rsidRPr="000074E1">
              <w:rPr>
                <w:rFonts w:hAnsi="Times New Roman" w:cs="Times New Roman"/>
                <w:lang w:val="lt-LT"/>
              </w:rPr>
              <w:t xml:space="preserve"> </w:t>
            </w:r>
            <w:r w:rsidR="00D30A9B" w:rsidRPr="000074E1">
              <w:rPr>
                <w:rFonts w:eastAsia="Times New Roman Bold" w:hAnsi="Times New Roman" w:cs="Times New Roman"/>
                <w:lang w:val="lt-LT"/>
              </w:rPr>
              <w:t xml:space="preserve">Padaryti pažangą </w:t>
            </w:r>
            <w:r w:rsidRPr="000074E1">
              <w:rPr>
                <w:rFonts w:eastAsia="Times New Roman Bold" w:hAnsi="Times New Roman" w:cs="Times New Roman"/>
                <w:lang w:val="lt-LT"/>
              </w:rPr>
              <w:t xml:space="preserve">EPS </w:t>
            </w:r>
            <w:r w:rsidR="00D30A9B" w:rsidRPr="000074E1">
              <w:rPr>
                <w:rFonts w:eastAsia="Times New Roman Bold" w:hAnsi="Times New Roman" w:cs="Times New Roman"/>
                <w:lang w:val="lt-LT"/>
              </w:rPr>
              <w:t xml:space="preserve">gilinime siekiant padidinti EZ atsparumą </w:t>
            </w:r>
            <w:r w:rsidR="00D55399" w:rsidRPr="000074E1">
              <w:rPr>
                <w:rFonts w:eastAsia="Times New Roman Bold" w:hAnsi="Times New Roman" w:cs="Times New Roman"/>
                <w:lang w:val="lt-LT"/>
              </w:rPr>
              <w:t>užbaigiant Bankų sąjungą, neatidėliotinai tęsiant darbą ir išlaikant tą patį ambicijų lygį visų elementų atžvilgiu, įskaitant tuos, kurie aptarinėjami aukšto lygio darbo grupėje dėl EIGS. Gilinant Kapitalo rinkų sąjungą ir remiant iniciatyvas dėl skaitmeninių, mažmeninių bei tvarių finansų.</w:t>
            </w:r>
          </w:p>
          <w:p w:rsidR="00D55399" w:rsidRPr="000074E1" w:rsidRDefault="00D55399" w:rsidP="00E1240D">
            <w:pPr>
              <w:pStyle w:val="BodyA"/>
              <w:jc w:val="both"/>
              <w:rPr>
                <w:rFonts w:eastAsia="Times New Roman Bold" w:hAnsi="Times New Roman" w:cs="Times New Roman"/>
                <w:lang w:val="lt-LT"/>
              </w:rPr>
            </w:pPr>
            <w:r w:rsidRPr="000074E1">
              <w:rPr>
                <w:rFonts w:eastAsia="Times New Roman Bold" w:hAnsi="Times New Roman" w:cs="Times New Roman"/>
                <w:b/>
                <w:lang w:val="lt-LT"/>
              </w:rPr>
              <w:t>Pagrindiniai teksto pokyčiai</w:t>
            </w:r>
            <w:r w:rsidR="00BA4C87" w:rsidRPr="000074E1">
              <w:rPr>
                <w:rFonts w:eastAsia="Times New Roman Bold" w:hAnsi="Times New Roman" w:cs="Times New Roman"/>
                <w:b/>
                <w:lang w:val="lt-LT"/>
              </w:rPr>
              <w:t xml:space="preserve"> po svarstymo komitetuose</w:t>
            </w:r>
            <w:r w:rsidRPr="000074E1">
              <w:rPr>
                <w:rFonts w:eastAsia="Times New Roman Bold" w:hAnsi="Times New Roman" w:cs="Times New Roman"/>
                <w:b/>
                <w:lang w:val="lt-LT"/>
              </w:rPr>
              <w:t xml:space="preserve">. </w:t>
            </w:r>
            <w:r w:rsidRPr="000074E1">
              <w:rPr>
                <w:rFonts w:eastAsia="Times New Roman Bold" w:hAnsi="Times New Roman" w:cs="Times New Roman"/>
                <w:lang w:val="lt-LT"/>
              </w:rPr>
              <w:t>Buvo pakoreguotas tekstas dėl žaliojo biudžeto siekiant atliepti jo neprivalomą pobūdį. Buvo patikslintas tekstas dėl bendrų veiksmų m</w:t>
            </w:r>
            <w:r w:rsidRPr="000074E1">
              <w:rPr>
                <w:rFonts w:eastAsia="Times New Roman Bold" w:hAnsi="Times New Roman" w:cs="Times New Roman"/>
                <w:lang w:val="lt-LT"/>
              </w:rPr>
              <w:t>o</w:t>
            </w:r>
            <w:r w:rsidRPr="000074E1">
              <w:rPr>
                <w:rFonts w:eastAsia="Times New Roman Bold" w:hAnsi="Times New Roman" w:cs="Times New Roman"/>
                <w:lang w:val="lt-LT"/>
              </w:rPr>
              <w:t>kesčių srityje šiek tiek sušvelninat tekst</w:t>
            </w:r>
            <w:r w:rsidR="00B078BA" w:rsidRPr="000074E1">
              <w:rPr>
                <w:rFonts w:eastAsia="Times New Roman Bold" w:hAnsi="Times New Roman" w:cs="Times New Roman"/>
                <w:lang w:val="lt-LT"/>
              </w:rPr>
              <w:t xml:space="preserve">ą: </w:t>
            </w:r>
            <w:r w:rsidRPr="000074E1">
              <w:rPr>
                <w:rFonts w:eastAsia="Times New Roman Bold" w:hAnsi="Times New Roman" w:cs="Times New Roman"/>
                <w:lang w:val="lt-LT"/>
              </w:rPr>
              <w:t>„</w:t>
            </w:r>
            <w:r w:rsidR="00BA4C87" w:rsidRPr="000074E1">
              <w:rPr>
                <w:rFonts w:eastAsia="Times New Roman Bold" w:hAnsi="Times New Roman" w:cs="Times New Roman"/>
                <w:lang w:val="lt-LT"/>
              </w:rPr>
              <w:t>...</w:t>
            </w:r>
            <w:proofErr w:type="gramStart"/>
            <w:r w:rsidRPr="000074E1">
              <w:rPr>
                <w:rFonts w:eastAsia="Times New Roman Bold" w:hAnsi="Times New Roman" w:cs="Times New Roman"/>
                <w:i/>
                <w:lang w:val="en-GB"/>
              </w:rPr>
              <w:t>stand</w:t>
            </w:r>
            <w:proofErr w:type="gramEnd"/>
            <w:r w:rsidRPr="000074E1">
              <w:rPr>
                <w:rFonts w:eastAsia="Times New Roman Bold" w:hAnsi="Times New Roman" w:cs="Times New Roman"/>
                <w:i/>
                <w:lang w:val="en-GB"/>
              </w:rPr>
              <w:t xml:space="preserve"> ready to move ahead</w:t>
            </w:r>
            <w:r w:rsidR="00BA4C87" w:rsidRPr="000074E1">
              <w:rPr>
                <w:rFonts w:eastAsia="Times New Roman Bold" w:hAnsi="Times New Roman" w:cs="Times New Roman"/>
                <w:lang w:val="en-GB"/>
              </w:rPr>
              <w:t>...</w:t>
            </w:r>
            <w:r w:rsidRPr="000074E1">
              <w:rPr>
                <w:rFonts w:eastAsia="Times New Roman Bold" w:hAnsi="Times New Roman" w:cs="Times New Roman"/>
                <w:lang w:val="en-GB"/>
              </w:rPr>
              <w:t>“</w:t>
            </w:r>
            <w:r w:rsidR="00BA4C87" w:rsidRPr="000074E1">
              <w:rPr>
                <w:rFonts w:eastAsia="Times New Roman Bold" w:hAnsi="Times New Roman" w:cs="Times New Roman"/>
                <w:lang w:val="en-GB"/>
              </w:rPr>
              <w:t xml:space="preserve"> </w:t>
            </w:r>
            <w:r w:rsidR="00BA4C87" w:rsidRPr="000074E1">
              <w:rPr>
                <w:rFonts w:eastAsia="Times New Roman Bold" w:hAnsi="Times New Roman" w:cs="Times New Roman"/>
                <w:lang w:val="lt-LT"/>
              </w:rPr>
              <w:t>buvo pakeistas</w:t>
            </w:r>
            <w:r w:rsidRPr="000074E1">
              <w:rPr>
                <w:rFonts w:eastAsia="Times New Roman Bold" w:hAnsi="Times New Roman" w:cs="Times New Roman"/>
                <w:lang w:val="en-GB"/>
              </w:rPr>
              <w:t xml:space="preserve"> </w:t>
            </w:r>
            <w:r w:rsidR="00BA4C87" w:rsidRPr="000074E1">
              <w:rPr>
                <w:rFonts w:eastAsia="Times New Roman Bold" w:hAnsi="Times New Roman" w:cs="Times New Roman"/>
                <w:lang w:val="en-GB"/>
              </w:rPr>
              <w:t>„</w:t>
            </w:r>
            <w:r w:rsidR="00BA4C87" w:rsidRPr="000074E1">
              <w:rPr>
                <w:rFonts w:eastAsia="Times New Roman Bold" w:hAnsi="Times New Roman" w:cs="Times New Roman"/>
                <w:i/>
                <w:lang w:val="en-GB"/>
              </w:rPr>
              <w:t>Engage in the relevant preparatory work</w:t>
            </w:r>
            <w:r w:rsidR="00BA4C87" w:rsidRPr="000074E1">
              <w:rPr>
                <w:rFonts w:eastAsia="Times New Roman Bold" w:hAnsi="Times New Roman" w:cs="Times New Roman"/>
                <w:lang w:val="en-IE"/>
              </w:rPr>
              <w:t xml:space="preserve">…”. </w:t>
            </w:r>
            <w:r w:rsidR="00BA4C87" w:rsidRPr="000074E1">
              <w:rPr>
                <w:rFonts w:eastAsia="Times New Roman Bold" w:hAnsi="Times New Roman" w:cs="Times New Roman"/>
                <w:lang w:val="lt-LT"/>
              </w:rPr>
              <w:t>Papildyta 5 rekomendacija akcentuojant Europos indėlių gara</w:t>
            </w:r>
            <w:r w:rsidR="00BA4C87" w:rsidRPr="000074E1">
              <w:rPr>
                <w:rFonts w:eastAsia="Times New Roman Bold" w:hAnsi="Times New Roman" w:cs="Times New Roman"/>
                <w:lang w:val="lt-LT"/>
              </w:rPr>
              <w:t>n</w:t>
            </w:r>
            <w:r w:rsidR="00BA4C87" w:rsidRPr="000074E1">
              <w:rPr>
                <w:rFonts w:eastAsia="Times New Roman Bold" w:hAnsi="Times New Roman" w:cs="Times New Roman"/>
                <w:lang w:val="lt-LT"/>
              </w:rPr>
              <w:t>tijų sistemą, dabartinio likvidumo užtikrinimo (vykdant pertvarkymą) ribotumų įveikimą bei pinigų plovimo prevencijos užtikrinimą.</w:t>
            </w:r>
          </w:p>
          <w:p w:rsidR="00D55399" w:rsidRPr="000074E1" w:rsidRDefault="00D55399" w:rsidP="00E1240D">
            <w:pPr>
              <w:pStyle w:val="BodyA"/>
              <w:jc w:val="both"/>
              <w:rPr>
                <w:rFonts w:eastAsia="Times New Roman Bold" w:hAnsi="Times New Roman" w:cs="Times New Roman"/>
                <w:u w:val="single"/>
                <w:lang w:val="lt-LT"/>
              </w:rPr>
            </w:pPr>
          </w:p>
          <w:p w:rsidR="00E1240D" w:rsidRPr="000074E1" w:rsidRDefault="00E1240D" w:rsidP="001E6C5E">
            <w:pPr>
              <w:pStyle w:val="BodyA"/>
              <w:jc w:val="both"/>
              <w:rPr>
                <w:rFonts w:hAnsi="Times New Roman" w:cs="Times New Roman"/>
                <w:lang w:val="lt-LT"/>
              </w:rPr>
            </w:pPr>
            <w:r w:rsidRPr="000074E1">
              <w:rPr>
                <w:rFonts w:hAnsi="Times New Roman" w:cs="Times New Roman"/>
                <w:b/>
                <w:u w:val="single"/>
                <w:lang w:val="lt-LT"/>
              </w:rPr>
              <w:t>Lietuvos pozicija.</w:t>
            </w:r>
            <w:r w:rsidRPr="000074E1">
              <w:rPr>
                <w:rFonts w:hAnsi="Times New Roman" w:cs="Times New Roman"/>
                <w:lang w:val="lt-LT"/>
              </w:rPr>
              <w:t xml:space="preserve"> </w:t>
            </w:r>
            <w:r w:rsidR="00D30A9B" w:rsidRPr="000074E1">
              <w:rPr>
                <w:rFonts w:hAnsi="Times New Roman" w:cs="Times New Roman"/>
                <w:lang w:val="lt-LT"/>
              </w:rPr>
              <w:t>Pritariame kompromisiniam teksto dėl 2021 m. Euro zonos rekomendacijų v</w:t>
            </w:r>
            <w:r w:rsidR="00D30A9B" w:rsidRPr="000074E1">
              <w:rPr>
                <w:rFonts w:hAnsi="Times New Roman" w:cs="Times New Roman"/>
                <w:lang w:val="lt-LT"/>
              </w:rPr>
              <w:t>a</w:t>
            </w:r>
            <w:r w:rsidR="00D30A9B" w:rsidRPr="000074E1">
              <w:rPr>
                <w:rFonts w:hAnsi="Times New Roman" w:cs="Times New Roman"/>
                <w:lang w:val="lt-LT"/>
              </w:rPr>
              <w:t>riantui.</w:t>
            </w:r>
          </w:p>
          <w:p w:rsidR="0032625D" w:rsidRPr="000074E1" w:rsidRDefault="0032625D" w:rsidP="001E6C5E">
            <w:pPr>
              <w:pStyle w:val="BodyA"/>
              <w:jc w:val="both"/>
              <w:rPr>
                <w:rFonts w:hAnsi="Times New Roman" w:cs="Times New Roman"/>
                <w:lang w:val="lt-LT"/>
              </w:rPr>
            </w:pPr>
          </w:p>
        </w:tc>
      </w:tr>
    </w:tbl>
    <w:p w:rsidR="00EE0A8F" w:rsidRPr="000074E1" w:rsidRDefault="00EE0A8F">
      <w:pPr>
        <w:pStyle w:val="BodyA"/>
        <w:jc w:val="both"/>
        <w:rPr>
          <w:rFonts w:hAnsi="Times New Roman" w:cs="Times New Roman"/>
          <w:lang w:val="lt-LT"/>
        </w:rPr>
      </w:pPr>
    </w:p>
    <w:sectPr w:rsidR="00EE0A8F" w:rsidRPr="000074E1" w:rsidSect="003A3602">
      <w:headerReference w:type="even" r:id="rId9"/>
      <w:headerReference w:type="default" r:id="rId10"/>
      <w:footerReference w:type="even" r:id="rId11"/>
      <w:footerReference w:type="default" r:id="rId12"/>
      <w:headerReference w:type="first" r:id="rId13"/>
      <w:footerReference w:type="first" r:id="rId14"/>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61" w:rsidRDefault="00864C61" w:rsidP="001E6C5E">
      <w:r>
        <w:separator/>
      </w:r>
    </w:p>
  </w:endnote>
  <w:endnote w:type="continuationSeparator" w:id="0">
    <w:p w:rsidR="00864C61" w:rsidRDefault="00864C61" w:rsidP="001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5E" w:rsidRDefault="001E6C5E" w:rsidP="001E6C5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175322"/>
      <w:docPartObj>
        <w:docPartGallery w:val="Page Numbers (Bottom of Page)"/>
        <w:docPartUnique/>
      </w:docPartObj>
    </w:sdtPr>
    <w:sdtEndPr/>
    <w:sdtContent>
      <w:p w:rsidR="00F1429B" w:rsidRDefault="00F1429B" w:rsidP="001E6C5E">
        <w:pPr>
          <w:pStyle w:val="Porat"/>
          <w:jc w:val="right"/>
        </w:pPr>
        <w:r>
          <w:fldChar w:fldCharType="begin"/>
        </w:r>
        <w:r>
          <w:instrText>PAGE   \* MERGEFORMAT</w:instrText>
        </w:r>
        <w:r>
          <w:fldChar w:fldCharType="separate"/>
        </w:r>
        <w:r w:rsidR="006603CA" w:rsidRPr="006603CA">
          <w:rPr>
            <w:noProof/>
            <w:lang w:val="lt-LT"/>
          </w:rPr>
          <w:t>2</w:t>
        </w:r>
        <w:r>
          <w:fldChar w:fldCharType="end"/>
        </w:r>
      </w:p>
    </w:sdtContent>
  </w:sdt>
  <w:p w:rsidR="004B217F" w:rsidRDefault="004B217F" w:rsidP="001E6C5E">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5E" w:rsidRDefault="001E6C5E" w:rsidP="001E6C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61" w:rsidRDefault="00864C61" w:rsidP="001E6C5E">
      <w:r>
        <w:separator/>
      </w:r>
    </w:p>
  </w:footnote>
  <w:footnote w:type="continuationSeparator" w:id="0">
    <w:p w:rsidR="00864C61" w:rsidRDefault="00864C61" w:rsidP="001E6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5E" w:rsidRDefault="001E6C5E" w:rsidP="001E6C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F" w:rsidRDefault="004B217F" w:rsidP="001E6C5E">
    <w:pPr>
      <w:pStyle w:val="BodyA"/>
      <w:tabs>
        <w:tab w:val="center" w:pos="4153"/>
        <w:tab w:val="right"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F3" w:rsidRPr="0032625D" w:rsidRDefault="0032625D" w:rsidP="001E6C5E">
    <w:pPr>
      <w:pStyle w:val="BodyA"/>
      <w:tabs>
        <w:tab w:val="center" w:pos="4153"/>
        <w:tab w:val="right" w:pos="8306"/>
      </w:tabs>
      <w:jc w:val="right"/>
      <w:rPr>
        <w:rFonts w:hAnsi="Times New Roman" w:cs="Times New Roman"/>
        <w:i/>
        <w:iCs/>
        <w:lang w:val="lt-LT"/>
      </w:rPr>
    </w:pPr>
    <w:proofErr w:type="spellStart"/>
    <w:r w:rsidRPr="0032625D">
      <w:rPr>
        <w:rFonts w:hAnsi="Times New Roman" w:cs="Times New Roman"/>
        <w:i/>
        <w:iCs/>
      </w:rPr>
      <w:t>Finans</w:t>
    </w:r>
    <w:proofErr w:type="spellEnd"/>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EF0DF3" w:rsidRPr="0032625D" w:rsidRDefault="001E6C5E" w:rsidP="001E6C5E">
    <w:pPr>
      <w:pStyle w:val="BodyA"/>
      <w:tabs>
        <w:tab w:val="center" w:pos="4153"/>
        <w:tab w:val="right" w:pos="8306"/>
      </w:tabs>
      <w:jc w:val="right"/>
      <w:rPr>
        <w:rFonts w:hAnsi="Times New Roman" w:cs="Times New Roman"/>
      </w:rPr>
    </w:pPr>
    <w:r>
      <w:rPr>
        <w:rFonts w:hAnsi="Times New Roman" w:cs="Times New Roman"/>
        <w:i/>
        <w:iCs/>
      </w:rPr>
      <w:t>2020-12-14</w:t>
    </w:r>
  </w:p>
  <w:p w:rsidR="00EF0DF3" w:rsidRDefault="00EF0DF3" w:rsidP="001E6C5E">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nsid w:val="2EC16D5E"/>
    <w:multiLevelType w:val="hybridMultilevel"/>
    <w:tmpl w:val="C038DEC2"/>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8">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nsid w:val="38FA01D1"/>
    <w:multiLevelType w:val="hybridMultilevel"/>
    <w:tmpl w:val="CEC019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44496BC0"/>
    <w:multiLevelType w:val="hybridMultilevel"/>
    <w:tmpl w:val="1CC28A88"/>
    <w:lvl w:ilvl="0" w:tplc="01E04FA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nsid w:val="5D5D06BE"/>
    <w:multiLevelType w:val="hybridMultilevel"/>
    <w:tmpl w:val="2A160B3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659E3901"/>
    <w:multiLevelType w:val="hybridMultilevel"/>
    <w:tmpl w:val="8A8C96B2"/>
    <w:lvl w:ilvl="0" w:tplc="43A69EE6">
      <w:start w:val="2020"/>
      <w:numFmt w:val="decimal"/>
      <w:lvlText w:val="%1"/>
      <w:lvlJc w:val="left"/>
      <w:pPr>
        <w:ind w:left="7852" w:hanging="480"/>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39">
    <w:nsid w:val="68FB2294"/>
    <w:multiLevelType w:val="hybridMultilevel"/>
    <w:tmpl w:val="2BD6144A"/>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1">
    <w:nsid w:val="69B62FBC"/>
    <w:multiLevelType w:val="hybridMultilevel"/>
    <w:tmpl w:val="218093A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59A5709"/>
    <w:multiLevelType w:val="hybridMultilevel"/>
    <w:tmpl w:val="1C02C398"/>
    <w:lvl w:ilvl="0" w:tplc="3ECECC8E">
      <w:start w:val="1"/>
      <w:numFmt w:val="decimal"/>
      <w:lvlText w:val="%1."/>
      <w:lvlJc w:val="left"/>
      <w:pPr>
        <w:ind w:left="360" w:hanging="360"/>
      </w:pPr>
      <w:rPr>
        <w:rFonts w:ascii="Times New Roman" w:eastAsia="Arial Unicode MS"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24"/>
  </w:num>
  <w:num w:numId="5">
    <w:abstractNumId w:val="13"/>
  </w:num>
  <w:num w:numId="6">
    <w:abstractNumId w:val="9"/>
  </w:num>
  <w:num w:numId="7">
    <w:abstractNumId w:val="11"/>
  </w:num>
  <w:num w:numId="8">
    <w:abstractNumId w:val="18"/>
  </w:num>
  <w:num w:numId="9">
    <w:abstractNumId w:val="32"/>
  </w:num>
  <w:num w:numId="10">
    <w:abstractNumId w:val="12"/>
  </w:num>
  <w:num w:numId="11">
    <w:abstractNumId w:val="21"/>
  </w:num>
  <w:num w:numId="12">
    <w:abstractNumId w:val="2"/>
  </w:num>
  <w:num w:numId="13">
    <w:abstractNumId w:val="25"/>
  </w:num>
  <w:num w:numId="14">
    <w:abstractNumId w:val="26"/>
  </w:num>
  <w:num w:numId="15">
    <w:abstractNumId w:val="3"/>
  </w:num>
  <w:num w:numId="16">
    <w:abstractNumId w:val="27"/>
  </w:num>
  <w:num w:numId="17">
    <w:abstractNumId w:val="30"/>
  </w:num>
  <w:num w:numId="18">
    <w:abstractNumId w:val="34"/>
  </w:num>
  <w:num w:numId="19">
    <w:abstractNumId w:val="5"/>
  </w:num>
  <w:num w:numId="20">
    <w:abstractNumId w:val="4"/>
  </w:num>
  <w:num w:numId="21">
    <w:abstractNumId w:val="15"/>
  </w:num>
  <w:num w:numId="22">
    <w:abstractNumId w:val="37"/>
  </w:num>
  <w:num w:numId="23">
    <w:abstractNumId w:val="0"/>
  </w:num>
  <w:num w:numId="24">
    <w:abstractNumId w:val="29"/>
  </w:num>
  <w:num w:numId="25">
    <w:abstractNumId w:val="36"/>
  </w:num>
  <w:num w:numId="26">
    <w:abstractNumId w:val="1"/>
  </w:num>
  <w:num w:numId="27">
    <w:abstractNumId w:val="23"/>
  </w:num>
  <w:num w:numId="28">
    <w:abstractNumId w:val="14"/>
  </w:num>
  <w:num w:numId="29">
    <w:abstractNumId w:val="20"/>
  </w:num>
  <w:num w:numId="30">
    <w:abstractNumId w:val="17"/>
  </w:num>
  <w:num w:numId="31">
    <w:abstractNumId w:val="31"/>
  </w:num>
  <w:num w:numId="32">
    <w:abstractNumId w:val="10"/>
  </w:num>
  <w:num w:numId="33">
    <w:abstractNumId w:val="33"/>
  </w:num>
  <w:num w:numId="34">
    <w:abstractNumId w:val="7"/>
  </w:num>
  <w:num w:numId="35">
    <w:abstractNumId w:val="40"/>
  </w:num>
  <w:num w:numId="36">
    <w:abstractNumId w:val="42"/>
  </w:num>
  <w:num w:numId="37">
    <w:abstractNumId w:val="16"/>
  </w:num>
  <w:num w:numId="38">
    <w:abstractNumId w:val="38"/>
  </w:num>
  <w:num w:numId="39">
    <w:abstractNumId w:val="39"/>
  </w:num>
  <w:num w:numId="40">
    <w:abstractNumId w:val="41"/>
  </w:num>
  <w:num w:numId="41">
    <w:abstractNumId w:val="35"/>
  </w:num>
  <w:num w:numId="42">
    <w:abstractNumId w:val="2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74E1"/>
    <w:rsid w:val="000355E8"/>
    <w:rsid w:val="000372A7"/>
    <w:rsid w:val="00072EDE"/>
    <w:rsid w:val="000742B3"/>
    <w:rsid w:val="00080BDB"/>
    <w:rsid w:val="000A1492"/>
    <w:rsid w:val="000B653F"/>
    <w:rsid w:val="000E1C74"/>
    <w:rsid w:val="00162D47"/>
    <w:rsid w:val="0018542E"/>
    <w:rsid w:val="001C48BB"/>
    <w:rsid w:val="001D3FE0"/>
    <w:rsid w:val="001D54D3"/>
    <w:rsid w:val="001E6C5E"/>
    <w:rsid w:val="00206969"/>
    <w:rsid w:val="00230167"/>
    <w:rsid w:val="00251B2A"/>
    <w:rsid w:val="00265A54"/>
    <w:rsid w:val="00274F66"/>
    <w:rsid w:val="002C15B7"/>
    <w:rsid w:val="00312DD1"/>
    <w:rsid w:val="0031328A"/>
    <w:rsid w:val="0031589B"/>
    <w:rsid w:val="0032625D"/>
    <w:rsid w:val="00326924"/>
    <w:rsid w:val="003339B9"/>
    <w:rsid w:val="00352292"/>
    <w:rsid w:val="00357286"/>
    <w:rsid w:val="00395A7A"/>
    <w:rsid w:val="003A3602"/>
    <w:rsid w:val="003B616C"/>
    <w:rsid w:val="003C3C20"/>
    <w:rsid w:val="003C6810"/>
    <w:rsid w:val="003E2F37"/>
    <w:rsid w:val="003F3A8E"/>
    <w:rsid w:val="003F58E0"/>
    <w:rsid w:val="004339F6"/>
    <w:rsid w:val="00452B2A"/>
    <w:rsid w:val="00495B70"/>
    <w:rsid w:val="004B217F"/>
    <w:rsid w:val="004C1051"/>
    <w:rsid w:val="004D0B8E"/>
    <w:rsid w:val="00501CE5"/>
    <w:rsid w:val="00557D5B"/>
    <w:rsid w:val="00587B54"/>
    <w:rsid w:val="00592806"/>
    <w:rsid w:val="0059354C"/>
    <w:rsid w:val="005E2479"/>
    <w:rsid w:val="005F2600"/>
    <w:rsid w:val="005F59B2"/>
    <w:rsid w:val="00604E4D"/>
    <w:rsid w:val="0062431D"/>
    <w:rsid w:val="00633882"/>
    <w:rsid w:val="0063495C"/>
    <w:rsid w:val="006404C7"/>
    <w:rsid w:val="0064515B"/>
    <w:rsid w:val="0064611F"/>
    <w:rsid w:val="00646F02"/>
    <w:rsid w:val="0064735F"/>
    <w:rsid w:val="006603CA"/>
    <w:rsid w:val="00682188"/>
    <w:rsid w:val="0069002A"/>
    <w:rsid w:val="0069629B"/>
    <w:rsid w:val="006E3406"/>
    <w:rsid w:val="00704C38"/>
    <w:rsid w:val="00710ADC"/>
    <w:rsid w:val="00724748"/>
    <w:rsid w:val="00795E46"/>
    <w:rsid w:val="007A0061"/>
    <w:rsid w:val="007B6B80"/>
    <w:rsid w:val="007B6FDE"/>
    <w:rsid w:val="007C752A"/>
    <w:rsid w:val="007D2553"/>
    <w:rsid w:val="007D7FCE"/>
    <w:rsid w:val="00803ECB"/>
    <w:rsid w:val="0081679C"/>
    <w:rsid w:val="008251D0"/>
    <w:rsid w:val="00827730"/>
    <w:rsid w:val="00830485"/>
    <w:rsid w:val="00843EAA"/>
    <w:rsid w:val="00864AF3"/>
    <w:rsid w:val="00864C61"/>
    <w:rsid w:val="008775B7"/>
    <w:rsid w:val="0089499E"/>
    <w:rsid w:val="00897D86"/>
    <w:rsid w:val="008B6A7B"/>
    <w:rsid w:val="008C07C3"/>
    <w:rsid w:val="008C2331"/>
    <w:rsid w:val="008C3531"/>
    <w:rsid w:val="008E4ECC"/>
    <w:rsid w:val="008E5A20"/>
    <w:rsid w:val="008F726D"/>
    <w:rsid w:val="00901D97"/>
    <w:rsid w:val="00902CF9"/>
    <w:rsid w:val="0091393B"/>
    <w:rsid w:val="009469ED"/>
    <w:rsid w:val="00956D02"/>
    <w:rsid w:val="00997764"/>
    <w:rsid w:val="009A1AD9"/>
    <w:rsid w:val="009B2048"/>
    <w:rsid w:val="009D446E"/>
    <w:rsid w:val="009F6130"/>
    <w:rsid w:val="00A267F8"/>
    <w:rsid w:val="00A33567"/>
    <w:rsid w:val="00A45218"/>
    <w:rsid w:val="00A46E6E"/>
    <w:rsid w:val="00A61189"/>
    <w:rsid w:val="00A63AD0"/>
    <w:rsid w:val="00A84354"/>
    <w:rsid w:val="00AB3684"/>
    <w:rsid w:val="00AD7E3A"/>
    <w:rsid w:val="00AF38FC"/>
    <w:rsid w:val="00AF7A2A"/>
    <w:rsid w:val="00B03FB8"/>
    <w:rsid w:val="00B078BA"/>
    <w:rsid w:val="00B260BC"/>
    <w:rsid w:val="00B67F14"/>
    <w:rsid w:val="00B70894"/>
    <w:rsid w:val="00B841E3"/>
    <w:rsid w:val="00B94E3A"/>
    <w:rsid w:val="00BA186A"/>
    <w:rsid w:val="00BA4C87"/>
    <w:rsid w:val="00BB73F2"/>
    <w:rsid w:val="00BD2968"/>
    <w:rsid w:val="00BE69CC"/>
    <w:rsid w:val="00BF4A3E"/>
    <w:rsid w:val="00BF701E"/>
    <w:rsid w:val="00C22532"/>
    <w:rsid w:val="00C23CD5"/>
    <w:rsid w:val="00C31389"/>
    <w:rsid w:val="00C56B43"/>
    <w:rsid w:val="00C648AF"/>
    <w:rsid w:val="00C842BA"/>
    <w:rsid w:val="00CA1F7E"/>
    <w:rsid w:val="00CB7A97"/>
    <w:rsid w:val="00CC7175"/>
    <w:rsid w:val="00D30A9B"/>
    <w:rsid w:val="00D33BCF"/>
    <w:rsid w:val="00D34348"/>
    <w:rsid w:val="00D55399"/>
    <w:rsid w:val="00D8006B"/>
    <w:rsid w:val="00DC33F8"/>
    <w:rsid w:val="00DC6502"/>
    <w:rsid w:val="00DF2CDB"/>
    <w:rsid w:val="00DF463C"/>
    <w:rsid w:val="00E1240D"/>
    <w:rsid w:val="00EB63A3"/>
    <w:rsid w:val="00ED4FCE"/>
    <w:rsid w:val="00ED523A"/>
    <w:rsid w:val="00EE0782"/>
    <w:rsid w:val="00EE0A8F"/>
    <w:rsid w:val="00EE1216"/>
    <w:rsid w:val="00EF0DF3"/>
    <w:rsid w:val="00F104EB"/>
    <w:rsid w:val="00F1429B"/>
    <w:rsid w:val="00F249FC"/>
    <w:rsid w:val="00F631C4"/>
    <w:rsid w:val="00F701A2"/>
    <w:rsid w:val="00F97DFD"/>
    <w:rsid w:val="00FA10E7"/>
    <w:rsid w:val="00FC3B44"/>
    <w:rsid w:val="00FC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229C-1B31-46F1-BEAF-60634A1F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5277</Words>
  <Characters>3009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Rita Šniukienė</cp:lastModifiedBy>
  <cp:revision>25</cp:revision>
  <dcterms:created xsi:type="dcterms:W3CDTF">2020-12-12T12:52:00Z</dcterms:created>
  <dcterms:modified xsi:type="dcterms:W3CDTF">2020-12-14T08:04:00Z</dcterms:modified>
</cp:coreProperties>
</file>