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8CD6E9" w14:textId="77777777" w:rsidR="0028168E" w:rsidRDefault="00A86537">
      <w:pPr>
        <w:jc w:val="center"/>
        <w:rPr>
          <w:b/>
          <w:bCs/>
          <w:lang w:eastAsia="lt-LT"/>
        </w:rPr>
      </w:pPr>
      <w:r>
        <w:rPr>
          <w:b/>
          <w:bCs/>
          <w:lang w:eastAsia="lt-LT"/>
        </w:rPr>
        <w:t xml:space="preserve">LIETUVOS RESPUBLIKOS VYRIAUSYBĖS NUTARIMO </w:t>
      </w:r>
    </w:p>
    <w:p w14:paraId="641D6748" w14:textId="6409C4FB" w:rsidR="0028168E" w:rsidRDefault="00A86537">
      <w:pPr>
        <w:jc w:val="center"/>
        <w:rPr>
          <w:b/>
          <w:bCs/>
          <w:lang w:eastAsia="lt-LT"/>
        </w:rPr>
      </w:pPr>
      <w:r>
        <w:rPr>
          <w:b/>
          <w:bCs/>
          <w:lang w:eastAsia="lt-LT"/>
        </w:rPr>
        <w:t xml:space="preserve">„DĖL SPECIALIŲJŲ ĮPAREIGOJIMŲ </w:t>
      </w:r>
      <w:r>
        <w:rPr>
          <w:b/>
          <w:bCs/>
          <w:lang w:eastAsia="lt-LT"/>
        </w:rPr>
        <w:t>VALSTYBĖS ĮMON</w:t>
      </w:r>
      <w:r>
        <w:rPr>
          <w:b/>
          <w:bCs/>
          <w:lang w:eastAsia="lt-LT"/>
        </w:rPr>
        <w:t>EI</w:t>
      </w:r>
      <w:r>
        <w:rPr>
          <w:b/>
          <w:bCs/>
          <w:lang w:eastAsia="lt-LT"/>
        </w:rPr>
        <w:t xml:space="preserve"> KLAIPĖDOS VALSTYBINIO JŪRŲ UOSTO DIREKCIJAI NUSTATYMO“</w:t>
      </w:r>
    </w:p>
    <w:p w14:paraId="57102FAA" w14:textId="77777777" w:rsidR="0028168E" w:rsidRDefault="00A86537">
      <w:pPr>
        <w:jc w:val="center"/>
        <w:rPr>
          <w:b/>
          <w:color w:val="000000" w:themeColor="text1"/>
          <w:lang w:eastAsia="lt-LT"/>
        </w:rPr>
      </w:pPr>
      <w:r>
        <w:rPr>
          <w:b/>
          <w:bCs/>
          <w:color w:val="000000" w:themeColor="text1"/>
          <w:lang w:eastAsia="lt-LT"/>
        </w:rPr>
        <w:t xml:space="preserve"> PROJEKTO</w:t>
      </w:r>
      <w:r>
        <w:rPr>
          <w:rFonts w:eastAsia="Calibri"/>
          <w:b/>
          <w:color w:val="000000" w:themeColor="text1"/>
          <w:lang w:eastAsia="lt-LT"/>
        </w:rPr>
        <w:t xml:space="preserve"> </w:t>
      </w:r>
      <w:r>
        <w:rPr>
          <w:b/>
          <w:color w:val="000000" w:themeColor="text1"/>
        </w:rPr>
        <w:t>DERINIMO PAŽYMA</w:t>
      </w:r>
    </w:p>
    <w:p w14:paraId="230165ED" w14:textId="77777777" w:rsidR="0028168E" w:rsidRDefault="0028168E">
      <w:pPr>
        <w:jc w:val="center"/>
        <w:rPr>
          <w:rFonts w:eastAsia="Calibri"/>
          <w:b/>
          <w:lang w:eastAsia="lt-LT"/>
        </w:rPr>
      </w:pPr>
    </w:p>
    <w:p w14:paraId="07AFEE6C" w14:textId="77777777" w:rsidR="0028168E" w:rsidRDefault="0028168E">
      <w:pPr>
        <w:ind w:firstLine="709"/>
        <w:jc w:val="center"/>
        <w:rPr>
          <w:b/>
          <w:color w:val="000000" w:themeColor="text1"/>
        </w:rPr>
      </w:pPr>
    </w:p>
    <w:tbl>
      <w:tblPr>
        <w:tblW w:w="15134" w:type="dxa"/>
        <w:tblLook w:val="0000" w:firstRow="0" w:lastRow="0" w:firstColumn="0" w:lastColumn="0" w:noHBand="0" w:noVBand="0"/>
      </w:tblPr>
      <w:tblGrid>
        <w:gridCol w:w="1837"/>
        <w:gridCol w:w="6635"/>
        <w:gridCol w:w="6662"/>
      </w:tblGrid>
      <w:tr w:rsidR="0028168E" w14:paraId="20149BCD" w14:textId="77777777"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A56FE" w14:textId="77777777" w:rsidR="0028168E" w:rsidRDefault="00A8653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Institucijos pavadinimas,</w:t>
            </w:r>
          </w:p>
          <w:p w14:paraId="3BC7F2C4" w14:textId="77777777" w:rsidR="0028168E" w:rsidRDefault="00A8653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rašto data ir numeris</w:t>
            </w: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90E4B" w14:textId="77777777" w:rsidR="0028168E" w:rsidRDefault="00A8653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Pastabos ir pasiūlymai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5F27D" w14:textId="77777777" w:rsidR="0028168E" w:rsidRDefault="00A8653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Argumentai, kodėl neatsižvelgta arba atsižvelgta iš dalies į pastabas ir pasiūlymus</w:t>
            </w:r>
          </w:p>
        </w:tc>
      </w:tr>
      <w:tr w:rsidR="0028168E" w14:paraId="11A0CDCF" w14:textId="77777777"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9C61D" w14:textId="77777777" w:rsidR="0028168E" w:rsidRDefault="00A86537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Ekonomikos ir inovacijų ministerijos </w:t>
            </w:r>
            <w:r>
              <w:rPr>
                <w:color w:val="000000" w:themeColor="text1"/>
                <w:lang w:val="en-US"/>
              </w:rPr>
              <w:t>2020-10-23 ra</w:t>
            </w:r>
            <w:r>
              <w:rPr>
                <w:color w:val="000000" w:themeColor="text1"/>
              </w:rPr>
              <w:t>štas Nr. 3-4317</w:t>
            </w: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21AAD" w14:textId="77777777" w:rsidR="0028168E" w:rsidRDefault="00A86537">
            <w:pPr>
              <w:ind w:firstLine="720"/>
              <w:rPr>
                <w:lang w:eastAsia="lt-LT"/>
              </w:rPr>
            </w:pPr>
            <w:r>
              <w:rPr>
                <w:lang w:eastAsia="lt-LT"/>
              </w:rPr>
              <w:t>Taip pat svarstytinas Nutarimo projekto 2 punkto tikslingumas ir galimybė šiame punkte suformuluotą paved</w:t>
            </w:r>
            <w:r>
              <w:rPr>
                <w:lang w:eastAsia="lt-LT"/>
              </w:rPr>
              <w:t>imą įtvirtinti Vyriausybės pasitarimo protokole.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65E61" w14:textId="77777777" w:rsidR="0028168E" w:rsidRDefault="00A86537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Neatsižvelgta</w:t>
            </w:r>
          </w:p>
          <w:p w14:paraId="6E3F68B5" w14:textId="77777777" w:rsidR="0028168E" w:rsidRDefault="00A8653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Įvertinus tai, kad Ekonomikos ir inovacijų ministerija nepateikia argumentų, kuriais grindžiamas siūlymas Nutarimo </w:t>
            </w:r>
            <w:r>
              <w:rPr>
                <w:color w:val="000000" w:themeColor="text1"/>
                <w:lang w:val="en-US"/>
              </w:rPr>
              <w:t xml:space="preserve">2 punkto nuostatas </w:t>
            </w:r>
            <w:r>
              <w:rPr>
                <w:color w:val="000000" w:themeColor="text1"/>
              </w:rPr>
              <w:t>įtvirtinti ne Nutarimo projekte, o Vyriausybės pasitarimo protokole, siūloma, siekiant išsaugoti reguliavimo vientisumą ir</w:t>
            </w:r>
            <w:r>
              <w:rPr>
                <w:color w:val="000000" w:themeColor="text1"/>
              </w:rPr>
              <w:t xml:space="preserve"> sistemiškumą, specialiuosius įpareigojimus valstybės įmonei Klaipėdos valstybinio jūrų uosto direkcijai (toliau – Uosto direkcija) statyti, modernizuoti ir plėtoti laivų statybai ir remontui bei vėjo elektrinių ir jų komponentų gamybai, surinkimui ir (ar)</w:t>
            </w:r>
            <w:r>
              <w:rPr>
                <w:color w:val="000000" w:themeColor="text1"/>
              </w:rPr>
              <w:t xml:space="preserve"> sandėliavimui reikalingą infrastruktūrą ir  vidutinės nuosavo kapitalo grąžos iš žemės nuomos ir infrastruktūros, naudojamos šiai veiklai, rodiklius nustatyti viename teisės akte.  </w:t>
            </w:r>
          </w:p>
        </w:tc>
      </w:tr>
      <w:tr w:rsidR="0028168E" w14:paraId="08EE6F78" w14:textId="77777777"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440F5" w14:textId="77777777" w:rsidR="0028168E" w:rsidRDefault="00A86537">
            <w:pPr>
              <w:pStyle w:val="Default"/>
            </w:pPr>
            <w:r>
              <w:rPr>
                <w:color w:val="000000" w:themeColor="text1"/>
              </w:rPr>
              <w:t>Lietuvos jūrų krovos kompanijų asociacijos  2020-</w:t>
            </w:r>
            <w:r>
              <w:rPr>
                <w:color w:val="000000" w:themeColor="text1"/>
                <w:lang w:val="en-US"/>
              </w:rPr>
              <w:t>10</w:t>
            </w:r>
            <w:r>
              <w:rPr>
                <w:color w:val="000000" w:themeColor="text1"/>
              </w:rPr>
              <w:t xml:space="preserve">-16 raštas </w:t>
            </w:r>
            <w:r>
              <w:rPr>
                <w:color w:val="000000" w:themeColor="text1"/>
              </w:rPr>
              <w:br/>
              <w:t xml:space="preserve">Nr. </w:t>
            </w:r>
            <w:r>
              <w:t>018</w:t>
            </w: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CF122" w14:textId="77777777" w:rsidR="0028168E" w:rsidRDefault="00A86537">
            <w:pPr>
              <w:ind w:firstLine="720"/>
              <w:rPr>
                <w:lang w:eastAsia="lt-LT"/>
              </w:rPr>
            </w:pPr>
            <w:r>
              <w:rPr>
                <w:lang w:eastAsia="lt-LT"/>
              </w:rPr>
              <w:t xml:space="preserve">„Siūlome kartu su visomis suinteresuotomis šalimis apsvarstyti šią Nutarimo projekto </w:t>
            </w:r>
            <w:r>
              <w:rPr>
                <w:lang w:val="en-US" w:eastAsia="lt-LT"/>
              </w:rPr>
              <w:t xml:space="preserve">2 </w:t>
            </w:r>
            <w:r>
              <w:rPr>
                <w:lang w:eastAsia="lt-LT"/>
              </w:rPr>
              <w:t>punkto redakciją (Asociacijos siūlomi papildymai paryškinti</w:t>
            </w:r>
            <w:r>
              <w:rPr>
                <w:lang w:val="en-US" w:eastAsia="lt-LT"/>
              </w:rPr>
              <w:t>):</w:t>
            </w:r>
          </w:p>
          <w:p w14:paraId="6BFBA866" w14:textId="77777777" w:rsidR="0028168E" w:rsidRDefault="00A86537">
            <w:pPr>
              <w:ind w:firstLine="720"/>
              <w:rPr>
                <w:lang w:eastAsia="lt-LT"/>
              </w:rPr>
            </w:pPr>
            <w:r>
              <w:rPr>
                <w:lang w:eastAsia="lt-LT"/>
              </w:rPr>
              <w:t xml:space="preserve">2. Pavesti </w:t>
            </w:r>
            <w:bookmarkStart w:id="0" w:name="_Hlk49206979"/>
            <w:r>
              <w:rPr>
                <w:lang w:eastAsia="lt-LT"/>
              </w:rPr>
              <w:t>Susisiekimo ministerijai kartu su VĮ Klaipėdos valstybinio jūrų uosto direkcija:</w:t>
            </w:r>
          </w:p>
          <w:p w14:paraId="3078456B" w14:textId="77777777" w:rsidR="0028168E" w:rsidRDefault="00A86537">
            <w:pPr>
              <w:ind w:firstLine="720"/>
              <w:rPr>
                <w:lang w:eastAsia="lt-LT"/>
              </w:rPr>
            </w:pPr>
            <w:r>
              <w:rPr>
                <w:lang w:val="en-US" w:eastAsia="lt-LT"/>
              </w:rPr>
              <w:t>2.1.</w:t>
            </w:r>
            <w:r>
              <w:rPr>
                <w:lang w:eastAsia="lt-LT"/>
              </w:rPr>
              <w:t xml:space="preserve"> </w:t>
            </w:r>
            <w:bookmarkEnd w:id="0"/>
            <w:r>
              <w:rPr>
                <w:lang w:eastAsia="lt-LT"/>
              </w:rPr>
              <w:t>peržiūrėti</w:t>
            </w:r>
            <w:r>
              <w:rPr>
                <w:lang w:eastAsia="lt-LT"/>
              </w:rPr>
              <w:t xml:space="preserve"> </w:t>
            </w:r>
            <w:r>
              <w:rPr>
                <w:spacing w:val="-4"/>
              </w:rPr>
              <w:t>Klaipėdos valstybinio jūrų uosto žemės nuomos mokesčio apskaičiavimo tvarkos aprašą, Klaipėdos valstybinio jūrų uosto žemės nuomos mokesčio dydžius ir</w:t>
            </w:r>
            <w:r>
              <w:rPr>
                <w:lang w:eastAsia="lt-LT"/>
              </w:rPr>
              <w:t xml:space="preserve"> laivų savininkų (valdytojų) mokamų uosto rinkliavų rūšis, jų maksimalius dydžius, rinkliavų taikymo prin</w:t>
            </w:r>
            <w:r>
              <w:rPr>
                <w:lang w:eastAsia="lt-LT"/>
              </w:rPr>
              <w:t xml:space="preserve">cipus, </w:t>
            </w:r>
            <w:r>
              <w:rPr>
                <w:b/>
                <w:bCs/>
                <w:lang w:eastAsia="lt-LT"/>
              </w:rPr>
              <w:t xml:space="preserve">paraiškų infrastruktūros objektų sukūrimui ar pagerinimui vertinimo tvarką ir paraiškų vertinimo kriterijus, </w:t>
            </w:r>
            <w:r>
              <w:rPr>
                <w:lang w:eastAsia="lt-LT"/>
              </w:rPr>
              <w:t>siekiant, kad VĮ Klaipėdos valstybinio jūrų uosto direkcijos vidutinė metinė nuosavo kapitalo grąža iš uosto infrastruktūros ir žemės, naudo</w:t>
            </w:r>
            <w:r>
              <w:rPr>
                <w:lang w:eastAsia="lt-LT"/>
              </w:rPr>
              <w:t>jamos šio nutarimo 1 punkte nurodytai veiklai, būtų ne mažesnė nei 2 procentai.</w:t>
            </w:r>
          </w:p>
          <w:p w14:paraId="110BF729" w14:textId="77777777" w:rsidR="0028168E" w:rsidRDefault="00A86537">
            <w:pPr>
              <w:ind w:firstLine="720"/>
              <w:rPr>
                <w:lang w:eastAsia="lt-LT"/>
              </w:rPr>
            </w:pPr>
            <w:r>
              <w:rPr>
                <w:b/>
                <w:bCs/>
                <w:lang w:eastAsia="lt-LT"/>
              </w:rPr>
              <w:lastRenderedPageBreak/>
              <w:t>2.2. įvertinti naujų specialiųjų įpareigojimų įtaką Uosto direkcijos finansinei padėčiai ir nustatytų Uosto direkcijos nuosavo kapitalo grąžos rodiklių peržiūrėjimo poreikį, už</w:t>
            </w:r>
            <w:r>
              <w:rPr>
                <w:b/>
                <w:bCs/>
                <w:lang w:eastAsia="lt-LT"/>
              </w:rPr>
              <w:t>tikrinant uosto konkurencingumą</w:t>
            </w:r>
            <w:r>
              <w:rPr>
                <w:lang w:eastAsia="lt-LT"/>
              </w:rPr>
              <w:t>.“</w:t>
            </w:r>
          </w:p>
          <w:p w14:paraId="131598D8" w14:textId="77777777" w:rsidR="0028168E" w:rsidRDefault="0028168E">
            <w:pPr>
              <w:tabs>
                <w:tab w:val="left" w:pos="360"/>
                <w:tab w:val="left" w:pos="603"/>
              </w:tabs>
              <w:rPr>
                <w:color w:val="000000" w:themeColor="text1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4BBE" w14:textId="3B4D7B52" w:rsidR="0028168E" w:rsidRDefault="007123D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Neatsižvelgta</w:t>
            </w:r>
          </w:p>
          <w:p w14:paraId="0087977C" w14:textId="74C28D69" w:rsidR="0028168E" w:rsidRDefault="00A8653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Dėl </w:t>
            </w:r>
            <w:r>
              <w:rPr>
                <w:color w:val="000000" w:themeColor="text1"/>
                <w:lang w:val="en-US"/>
              </w:rPr>
              <w:t>2.1</w:t>
            </w:r>
            <w:r>
              <w:rPr>
                <w:color w:val="000000" w:themeColor="text1"/>
                <w:lang w:val="en-US"/>
              </w:rPr>
              <w:t xml:space="preserve"> pa</w:t>
            </w:r>
            <w:r>
              <w:rPr>
                <w:color w:val="000000" w:themeColor="text1"/>
              </w:rPr>
              <w:t>punkči</w:t>
            </w:r>
            <w:r>
              <w:rPr>
                <w:color w:val="000000" w:themeColor="text1"/>
              </w:rPr>
              <w:t xml:space="preserve">o pildymo: </w:t>
            </w:r>
          </w:p>
          <w:p w14:paraId="6CCB3341" w14:textId="66B7E9BB" w:rsidR="0028168E" w:rsidRDefault="00A8653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Lietuvos Respublikos Vyriausybei priėmus Nutarimo projektą, Uosto direkcija turės peržiūrėti paraiškų infrastruktūros objektų sukūrimui ar pagerinimui </w:t>
            </w:r>
            <w:r>
              <w:rPr>
                <w:color w:val="000000" w:themeColor="text1"/>
              </w:rPr>
              <w:t>vertinimo tvarką ir paraiškų vertinimo kriterijus, kaip ir siūloma Lietuvos jūrų krovos kompanijų asociacijos (toliau – Asociacija) rašte, siekdama, kad būtų užtikrinta atitiktis Uosto direkcijai nustatytų specialiųjų įpareigojimų reguliavimo srityje. P</w:t>
            </w:r>
            <w:r>
              <w:rPr>
                <w:lang w:eastAsia="lt-LT"/>
              </w:rPr>
              <w:t>ara</w:t>
            </w:r>
            <w:r>
              <w:rPr>
                <w:lang w:eastAsia="lt-LT"/>
              </w:rPr>
              <w:t>iškų infrastruktūros objektų sukūrimui ar pagerinimui vertinimo tvarką ir paraiškų vertinimo kriterijus tvirtina Uosto direkcija, todėl siūlymas Nutarimo projekte nurodyti Susisiekimo ministerijai kartu su Uosto direkcija peržiūrėti minėtuosius teisės aktu</w:t>
            </w:r>
            <w:r>
              <w:rPr>
                <w:lang w:eastAsia="lt-LT"/>
              </w:rPr>
              <w:t>s ir (ar) kriterijus</w:t>
            </w:r>
            <w:r>
              <w:rPr>
                <w:lang w:eastAsia="lt-LT"/>
              </w:rPr>
              <w:t xml:space="preserve"> neatitinka institucijų kompetencijų pasiskirstymo ir yra perteklinis.</w:t>
            </w:r>
            <w:r>
              <w:rPr>
                <w:b/>
                <w:bCs/>
                <w:lang w:eastAsia="lt-LT"/>
              </w:rPr>
              <w:t xml:space="preserve"> </w:t>
            </w:r>
          </w:p>
          <w:p w14:paraId="4A7A4232" w14:textId="77777777" w:rsidR="0028168E" w:rsidRDefault="0028168E">
            <w:pPr>
              <w:rPr>
                <w:color w:val="000000" w:themeColor="text1"/>
              </w:rPr>
            </w:pPr>
          </w:p>
          <w:p w14:paraId="4F4A47AA" w14:textId="77777777" w:rsidR="0028168E" w:rsidRDefault="0028168E">
            <w:pPr>
              <w:rPr>
                <w:color w:val="000000" w:themeColor="text1"/>
              </w:rPr>
            </w:pPr>
          </w:p>
          <w:p w14:paraId="6FAC13E1" w14:textId="77777777" w:rsidR="0028168E" w:rsidRDefault="0028168E">
            <w:pPr>
              <w:rPr>
                <w:color w:val="000000" w:themeColor="text1"/>
              </w:rPr>
            </w:pPr>
          </w:p>
          <w:p w14:paraId="378397C0" w14:textId="4A107EC1" w:rsidR="0028168E" w:rsidRDefault="00A8653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Dėl </w:t>
            </w:r>
            <w:r>
              <w:rPr>
                <w:color w:val="000000" w:themeColor="text1"/>
                <w:lang w:val="en-US"/>
              </w:rPr>
              <w:t>2.</w:t>
            </w:r>
            <w:r w:rsidR="007123DB">
              <w:rPr>
                <w:color w:val="000000" w:themeColor="text1"/>
                <w:lang w:val="en-US"/>
              </w:rPr>
              <w:t>2</w:t>
            </w:r>
            <w:r>
              <w:rPr>
                <w:color w:val="000000" w:themeColor="text1"/>
                <w:lang w:val="en-US"/>
              </w:rPr>
              <w:t xml:space="preserve"> pa</w:t>
            </w:r>
            <w:r>
              <w:rPr>
                <w:color w:val="000000" w:themeColor="text1"/>
              </w:rPr>
              <w:t>punkči</w:t>
            </w:r>
            <w:r>
              <w:rPr>
                <w:color w:val="000000" w:themeColor="text1"/>
              </w:rPr>
              <w:t xml:space="preserve">o </w:t>
            </w:r>
            <w:r>
              <w:rPr>
                <w:color w:val="000000" w:themeColor="text1"/>
              </w:rPr>
              <w:t xml:space="preserve">pildymo: </w:t>
            </w:r>
          </w:p>
          <w:p w14:paraId="4E6161B6" w14:textId="7498FEE8" w:rsidR="0028168E" w:rsidRDefault="00A8653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Pavedimas Susisiekimo ministerijai kartu su Uosto direkcija įvertinti naujų specialiųjų įpareigojimų įtaką Uosto direkcijos fin</w:t>
            </w:r>
            <w:r>
              <w:rPr>
                <w:color w:val="000000" w:themeColor="text1"/>
              </w:rPr>
              <w:t>ansinei padėčiai ir nustatytų Uosto direkcijos nuosavo kapitalo grąžos rodiklių peržiūrėjimo poreikį prieštarautų teisiniam reguliavimui ir institucijų kompetencijos paskirstymui šioje srityje. Valstybės valdomų įmonių siektinas vidutines metines nuosavo k</w:t>
            </w:r>
            <w:r>
              <w:rPr>
                <w:color w:val="000000" w:themeColor="text1"/>
              </w:rPr>
              <w:t>apitalo kainas 3 metų laikotarpiui tvirtina Lietuvos Respublikos Vyriausybė Lietuvos Respublikos ekonomikos ir inovacijų ministro teikimu, o Uosto direkcijos kapitalo grąžos rodikliai yra nustatyti Lietuvos Respublikos Vyriausybės 2019 m. sausio 9 d. nutar</w:t>
            </w:r>
            <w:r>
              <w:rPr>
                <w:color w:val="000000" w:themeColor="text1"/>
              </w:rPr>
              <w:t>imu Nr. 12 „Dėl valstybės valdomų įmonių siektinų pelningumo rodiklių 2019–</w:t>
            </w:r>
            <w:r>
              <w:rPr>
                <w:color w:val="000000" w:themeColor="text1"/>
              </w:rPr>
              <w:t>2021 metams nustatymo“.</w:t>
            </w:r>
          </w:p>
        </w:tc>
      </w:tr>
    </w:tbl>
    <w:p w14:paraId="438C5A8B" w14:textId="77777777" w:rsidR="0028168E" w:rsidRDefault="00A86537">
      <w:pPr>
        <w:ind w:left="5040" w:firstLine="720"/>
      </w:pPr>
      <w:r>
        <w:rPr>
          <w:color w:val="000000" w:themeColor="text1"/>
        </w:rPr>
        <w:lastRenderedPageBreak/>
        <w:t>_____________________________</w:t>
      </w:r>
    </w:p>
    <w:sectPr w:rsidR="0028168E">
      <w:headerReference w:type="default" r:id="rId6"/>
      <w:pgSz w:w="16838" w:h="11906" w:orient="landscape"/>
      <w:pgMar w:top="624" w:right="567" w:bottom="567" w:left="1134" w:header="567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0423E4" w14:textId="77777777" w:rsidR="00000000" w:rsidRDefault="00A86537">
      <w:r>
        <w:separator/>
      </w:r>
    </w:p>
  </w:endnote>
  <w:endnote w:type="continuationSeparator" w:id="0">
    <w:p w14:paraId="1A25E997" w14:textId="77777777" w:rsidR="00000000" w:rsidRDefault="00A86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20002A87" w:usb1="00000000" w:usb2="00000000" w:usb3="00000000" w:csb0="000001FF" w:csb1="00000000"/>
  </w:font>
  <w:font w:name="Andale Sans UI">
    <w:altName w:val="Arial"/>
    <w:charset w:val="BA"/>
    <w:family w:val="swiss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0703F9" w14:textId="77777777" w:rsidR="00000000" w:rsidRDefault="00A86537">
      <w:r>
        <w:separator/>
      </w:r>
    </w:p>
  </w:footnote>
  <w:footnote w:type="continuationSeparator" w:id="0">
    <w:p w14:paraId="52F32412" w14:textId="77777777" w:rsidR="00000000" w:rsidRDefault="00A86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DF3028" w14:textId="77777777" w:rsidR="0028168E" w:rsidRDefault="00A8653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1" allowOverlap="1" wp14:anchorId="78AD4170" wp14:editId="29B468A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92008B8" w14:textId="77777777" w:rsidR="0028168E" w:rsidRDefault="00A86537">
                          <w:pPr>
                            <w:pStyle w:val="Head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PAGE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3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6.05pt;height:13.8pt;mso-wrap-distance-left:0pt;mso-wrap-distance-right:0pt;mso-wrap-distance-top:0pt;mso-wrap-distance-bottom:0pt;margin-top:0.05pt;mso-position-vertical-relative:text;margin-left:375.4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3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68E"/>
    <w:rsid w:val="0028168E"/>
    <w:rsid w:val="007123DB"/>
    <w:rsid w:val="00A8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164A0"/>
  <w15:docId w15:val="{9977D0E5-D532-4281-A5F0-501DA5015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94D"/>
    <w:pPr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qFormat/>
    <w:rsid w:val="00C1694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qFormat/>
    <w:rsid w:val="00C1694D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93E03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593E03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593E0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DefaultParagraphFont"/>
    <w:rsid w:val="00E614BF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qFormat/>
    <w:rsid w:val="005227F3"/>
    <w:rPr>
      <w:rFonts w:ascii="Times New Roman" w:eastAsia="Andale Sans UI" w:hAnsi="Times New Roman" w:cs="Tahoma"/>
      <w:sz w:val="24"/>
      <w:szCs w:val="24"/>
      <w:lang w:bidi="en-US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5227F3"/>
    <w:rPr>
      <w:rFonts w:ascii="Times New Roman" w:eastAsia="Andale Sans UI" w:hAnsi="Times New Roman" w:cs="Tahoma"/>
      <w:sz w:val="20"/>
      <w:szCs w:val="20"/>
      <w:lang w:bidi="en-US"/>
    </w:rPr>
  </w:style>
  <w:style w:type="character" w:customStyle="1" w:styleId="FootnoteCharacters">
    <w:name w:val="Footnote Characters"/>
    <w:basedOn w:val="DefaultParagraphFont"/>
    <w:uiPriority w:val="99"/>
    <w:semiHidden/>
    <w:unhideWhenUsed/>
    <w:qFormat/>
    <w:rsid w:val="005227F3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C26C4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rsid w:val="005227F3"/>
    <w:pPr>
      <w:widowControl w:val="0"/>
      <w:ind w:firstLine="567"/>
    </w:pPr>
    <w:rPr>
      <w:rFonts w:eastAsia="Andale Sans UI" w:cs="Tahoma"/>
      <w:lang w:bidi="en-US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rsid w:val="00C1694D"/>
    <w:pPr>
      <w:tabs>
        <w:tab w:val="center" w:pos="4819"/>
        <w:tab w:val="right" w:pos="9638"/>
      </w:tabs>
    </w:pPr>
  </w:style>
  <w:style w:type="paragraph" w:customStyle="1" w:styleId="Default">
    <w:name w:val="Default"/>
    <w:qFormat/>
    <w:rsid w:val="00EB7185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65A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93E03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593E03"/>
    <w:pPr>
      <w:jc w:val="left"/>
    </w:pPr>
    <w:rPr>
      <w:sz w:val="20"/>
      <w:szCs w:val="20"/>
      <w:lang w:eastAsia="ar-SA"/>
    </w:rPr>
  </w:style>
  <w:style w:type="paragraph" w:styleId="FootnoteText">
    <w:name w:val="footnote text"/>
    <w:basedOn w:val="Normal"/>
    <w:link w:val="FootnoteTextChar"/>
    <w:uiPriority w:val="99"/>
    <w:unhideWhenUsed/>
    <w:rsid w:val="005227F3"/>
    <w:pPr>
      <w:widowControl w:val="0"/>
      <w:jc w:val="left"/>
    </w:pPr>
    <w:rPr>
      <w:rFonts w:eastAsia="Andale Sans UI" w:cs="Tahoma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C26C44"/>
    <w:pPr>
      <w:suppressAutoHyphens w:val="0"/>
      <w:jc w:val="both"/>
    </w:pPr>
    <w:rPr>
      <w:b/>
      <w:bCs/>
      <w:lang w:eastAsia="en-US"/>
    </w:r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webSettings.xml" Type="http://schemas.openxmlformats.org/officeDocument/2006/relationships/webSettings"/>
<Relationship Id="rId4" Target="footnotes.xml" Type="http://schemas.openxmlformats.org/officeDocument/2006/relationships/footnotes"/>
<Relationship Id="rId5" Target="endnotes.xml" Type="http://schemas.openxmlformats.org/officeDocument/2006/relationships/endnotes"/>
<Relationship Id="rId6" Target="header1.xml" Type="http://schemas.openxmlformats.org/officeDocument/2006/relationships/header"/>
<Relationship Id="rId7" Target="fontTable.xml" Type="http://schemas.openxmlformats.org/officeDocument/2006/relationships/fontTable"/>
<Relationship Id="rId8" Target="theme/theme1.xml" Type="http://schemas.openxmlformats.org/officeDocument/2006/relationships/theme"/>
</Relationships>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2538</Words>
  <Characters>1448</Characters>
  <Application>Microsoft Office Word</Application>
  <DocSecurity>0</DocSecurity>
  <Lines>12</Lines>
  <Paragraphs>7</Paragraphs>
  <ScaleCrop>false</ScaleCrop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2020-10-27T16:07:00Z</dcterms:created>
  <dc:creator>Virginija Šomkienė</dc:creator>
  <dc:language>lt-LT</dc:language>
  <cp:lastModifiedBy>Eglė Vyšniauskaitė</cp:lastModifiedBy>
  <dcterms:modified xsi:type="dcterms:W3CDTF">2020-10-27T16:08:00Z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