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459D" w14:textId="77777777" w:rsidR="00717D4B" w:rsidRDefault="00717D4B">
      <w:pPr>
        <w:tabs>
          <w:tab w:val="center" w:pos="4680"/>
          <w:tab w:val="right" w:pos="9360"/>
        </w:tabs>
      </w:pPr>
    </w:p>
    <w:p w14:paraId="559994DD" w14:textId="77777777" w:rsidR="00717D4B" w:rsidRDefault="00C40A38">
      <w:pPr>
        <w:ind w:left="7088"/>
        <w:jc w:val="right"/>
        <w:rPr>
          <w:b/>
          <w:lang w:eastAsia="lt-LT"/>
        </w:rPr>
      </w:pPr>
      <w:r>
        <w:rPr>
          <w:b/>
          <w:caps/>
          <w:lang w:eastAsia="lt-LT"/>
        </w:rPr>
        <w:t>P</w:t>
      </w:r>
      <w:r>
        <w:rPr>
          <w:b/>
          <w:lang w:eastAsia="lt-LT"/>
        </w:rPr>
        <w:t>rojektas</w:t>
      </w:r>
    </w:p>
    <w:p w14:paraId="7FF0D3CC" w14:textId="77777777" w:rsidR="00717D4B" w:rsidRDefault="00717D4B">
      <w:pPr>
        <w:spacing w:line="360" w:lineRule="auto"/>
        <w:rPr>
          <w:caps/>
          <w:szCs w:val="24"/>
        </w:rPr>
      </w:pPr>
    </w:p>
    <w:p w14:paraId="54FA406E" w14:textId="77777777" w:rsidR="00717D4B" w:rsidRDefault="00C40A38">
      <w:pPr>
        <w:spacing w:line="276" w:lineRule="auto"/>
        <w:jc w:val="center"/>
        <w:rPr>
          <w:b/>
          <w:caps/>
        </w:rPr>
      </w:pPr>
      <w:r>
        <w:rPr>
          <w:b/>
          <w:caps/>
        </w:rPr>
        <w:t>LIETUVOS RESPUBLIKOS</w:t>
      </w:r>
    </w:p>
    <w:p w14:paraId="1F86979A" w14:textId="77777777" w:rsidR="00717D4B" w:rsidRDefault="00C40A38">
      <w:pPr>
        <w:spacing w:line="276" w:lineRule="auto"/>
        <w:jc w:val="center"/>
        <w:rPr>
          <w:b/>
          <w:bCs/>
          <w:color w:val="000000"/>
          <w:szCs w:val="24"/>
          <w:shd w:val="clear" w:color="auto" w:fill="FFFFFF"/>
          <w:lang w:eastAsia="lt-LT"/>
        </w:rPr>
      </w:pPr>
      <w:r>
        <w:rPr>
          <w:b/>
          <w:bCs/>
          <w:color w:val="000000"/>
          <w:szCs w:val="24"/>
          <w:shd w:val="clear" w:color="auto" w:fill="FFFFFF"/>
          <w:lang w:eastAsia="lt-LT"/>
        </w:rPr>
        <w:t>LOTERIJŲ ĮSTATYMO NR. IX-1661 18 IR 31 STRAIPSNIŲ PAKEITIMO IR 19 STRAIPSNIO PRIPAŽINIMO NETEKUSIU GALIOS</w:t>
      </w:r>
    </w:p>
    <w:p w14:paraId="0972A80B" w14:textId="77777777" w:rsidR="00717D4B" w:rsidRDefault="00C40A38">
      <w:pPr>
        <w:spacing w:line="276" w:lineRule="auto"/>
        <w:jc w:val="center"/>
        <w:rPr>
          <w:color w:val="000000"/>
          <w:szCs w:val="24"/>
          <w:lang w:eastAsia="lt-LT"/>
        </w:rPr>
      </w:pPr>
      <w:r>
        <w:rPr>
          <w:b/>
          <w:caps/>
        </w:rPr>
        <w:t>ĮSTATYMAS</w:t>
      </w:r>
    </w:p>
    <w:p w14:paraId="0EA57136" w14:textId="77777777" w:rsidR="00717D4B" w:rsidRDefault="00717D4B">
      <w:pPr>
        <w:spacing w:line="276" w:lineRule="auto"/>
        <w:jc w:val="center"/>
        <w:rPr>
          <w:b/>
          <w:caps/>
        </w:rPr>
      </w:pPr>
    </w:p>
    <w:p w14:paraId="7BF4D578" w14:textId="77777777" w:rsidR="00717D4B" w:rsidRDefault="00C40A38">
      <w:pPr>
        <w:jc w:val="center"/>
        <w:rPr>
          <w:szCs w:val="24"/>
        </w:rPr>
      </w:pPr>
      <w:r>
        <w:rPr>
          <w:szCs w:val="24"/>
        </w:rPr>
        <w:t>2021 m.          d. Nr.      </w:t>
      </w:r>
    </w:p>
    <w:p w14:paraId="7AAE46EA" w14:textId="77777777" w:rsidR="00717D4B" w:rsidRDefault="00C40A38">
      <w:pPr>
        <w:jc w:val="center"/>
        <w:rPr>
          <w:b/>
          <w:szCs w:val="24"/>
        </w:rPr>
      </w:pPr>
      <w:r>
        <w:rPr>
          <w:szCs w:val="24"/>
        </w:rPr>
        <w:t>Vilnius</w:t>
      </w:r>
    </w:p>
    <w:p w14:paraId="0AE3759F" w14:textId="77777777" w:rsidR="00717D4B" w:rsidRDefault="00717D4B">
      <w:pPr>
        <w:spacing w:line="360" w:lineRule="auto"/>
        <w:rPr>
          <w:sz w:val="16"/>
          <w:szCs w:val="16"/>
        </w:rPr>
      </w:pPr>
    </w:p>
    <w:p w14:paraId="53241CEB" w14:textId="77777777" w:rsidR="00717D4B" w:rsidRDefault="00C40A38">
      <w:pPr>
        <w:spacing w:line="360" w:lineRule="auto"/>
        <w:ind w:firstLine="709"/>
        <w:rPr>
          <w:color w:val="000000"/>
          <w:sz w:val="28"/>
          <w:szCs w:val="24"/>
          <w:lang w:val="en-US"/>
        </w:rPr>
      </w:pPr>
      <w:r>
        <w:rPr>
          <w:rFonts w:eastAsia="Calibri"/>
          <w:b/>
          <w:szCs w:val="22"/>
        </w:rPr>
        <w:t>1 straipsnis. 18 straipsnio pakeitimas</w:t>
      </w:r>
    </w:p>
    <w:p w14:paraId="2B763A24" w14:textId="77777777" w:rsidR="00717D4B" w:rsidRDefault="00C40A38">
      <w:pPr>
        <w:spacing w:line="360" w:lineRule="auto"/>
        <w:ind w:firstLine="709"/>
        <w:rPr>
          <w:rFonts w:eastAsia="Calibri"/>
          <w:szCs w:val="24"/>
        </w:rPr>
      </w:pPr>
      <w:r>
        <w:rPr>
          <w:color w:val="000000"/>
        </w:rPr>
        <w:t xml:space="preserve">Pripažinti </w:t>
      </w:r>
      <w:r>
        <w:rPr>
          <w:color w:val="000000"/>
        </w:rPr>
        <w:t>netekusiu galios 18 straipsnio 2 dalies 4 punktą.</w:t>
      </w:r>
    </w:p>
    <w:p w14:paraId="71A13797" w14:textId="77777777" w:rsidR="00717D4B" w:rsidRDefault="00717D4B">
      <w:pPr>
        <w:spacing w:line="360" w:lineRule="auto"/>
        <w:ind w:firstLine="709"/>
        <w:rPr>
          <w:rFonts w:eastAsia="Calibri"/>
          <w:b/>
          <w:szCs w:val="22"/>
        </w:rPr>
      </w:pPr>
    </w:p>
    <w:p w14:paraId="50DE84C1" w14:textId="77777777" w:rsidR="00717D4B" w:rsidRDefault="00C40A38">
      <w:pPr>
        <w:spacing w:line="360" w:lineRule="auto"/>
        <w:ind w:firstLine="709"/>
        <w:rPr>
          <w:rFonts w:eastAsia="Calibri"/>
          <w:b/>
          <w:szCs w:val="22"/>
        </w:rPr>
      </w:pPr>
      <w:r>
        <w:rPr>
          <w:rFonts w:eastAsia="Calibri"/>
          <w:b/>
          <w:szCs w:val="22"/>
        </w:rPr>
        <w:t>2 straipsnis. 19 straipsnio pripažinimas netekusiu galios</w:t>
      </w:r>
    </w:p>
    <w:p w14:paraId="0397C558" w14:textId="77777777" w:rsidR="00717D4B" w:rsidRDefault="00C40A38">
      <w:pPr>
        <w:spacing w:line="360" w:lineRule="auto"/>
        <w:ind w:firstLine="709"/>
        <w:rPr>
          <w:color w:val="000000"/>
          <w:szCs w:val="24"/>
        </w:rPr>
      </w:pPr>
      <w:r>
        <w:rPr>
          <w:color w:val="000000"/>
        </w:rPr>
        <w:t>Pripažinti netekusiu galios 19 straipsnį.</w:t>
      </w:r>
    </w:p>
    <w:p w14:paraId="707A83A7" w14:textId="77777777" w:rsidR="00717D4B" w:rsidRDefault="00717D4B">
      <w:pPr>
        <w:spacing w:line="360" w:lineRule="auto"/>
        <w:ind w:firstLine="709"/>
        <w:rPr>
          <w:color w:val="000000"/>
          <w:szCs w:val="24"/>
        </w:rPr>
      </w:pPr>
    </w:p>
    <w:p w14:paraId="271990D6" w14:textId="77777777" w:rsidR="00717D4B" w:rsidRDefault="00C40A38">
      <w:pPr>
        <w:spacing w:line="360" w:lineRule="auto"/>
        <w:ind w:firstLine="709"/>
        <w:rPr>
          <w:rFonts w:eastAsia="Calibri"/>
          <w:b/>
          <w:szCs w:val="22"/>
        </w:rPr>
      </w:pPr>
      <w:r>
        <w:rPr>
          <w:rFonts w:eastAsia="Calibri"/>
          <w:b/>
          <w:szCs w:val="22"/>
        </w:rPr>
        <w:t>3 straipsnis. 31 straipsnio pakeitimas</w:t>
      </w:r>
    </w:p>
    <w:p w14:paraId="1AD61C44" w14:textId="77777777" w:rsidR="00717D4B" w:rsidRDefault="00C40A38">
      <w:pPr>
        <w:spacing w:line="360" w:lineRule="auto"/>
        <w:ind w:firstLine="709"/>
      </w:pPr>
      <w:r>
        <w:rPr>
          <w:color w:val="000000"/>
        </w:rPr>
        <w:t>Pakeisti 31 straipsnį ir jį išdėstyti taip:</w:t>
      </w:r>
    </w:p>
    <w:p w14:paraId="23070ADC" w14:textId="77777777" w:rsidR="00717D4B" w:rsidRDefault="00C40A38">
      <w:pPr>
        <w:spacing w:line="360" w:lineRule="auto"/>
        <w:ind w:firstLine="709"/>
        <w:jc w:val="both"/>
      </w:pPr>
      <w:r>
        <w:t xml:space="preserve">„Kiekvienam </w:t>
      </w:r>
      <w:r>
        <w:t>kalendorinių metų ketvirčiui pasibaigus, ne vėliau kaip iki kito kalendorinių metų ketvirčio pirmo mėnesio 25 dienos, ir kalendoriniams metams pasibaigus, ne vėliau kaip per 4 mėnesius nuo kalendorinių metų pabaigos, didžiųjų loterijų organizatorius prival</w:t>
      </w:r>
      <w:r>
        <w:t>o pateikti priežiūros institucijai loterijų ataskaitas apie išplatintų loterijos bilietų skaičių, loterijos bilietų apyvartą ir išmokėtus laimėjimus už praėjusius ketvirčius ir už metus. Ataskaitų formas, pildymo ir pateikimo tvarką nustato priežiūros inst</w:t>
      </w:r>
      <w:r>
        <w:t>itucija.“</w:t>
      </w:r>
    </w:p>
    <w:p w14:paraId="60386F90" w14:textId="77777777" w:rsidR="00717D4B" w:rsidRDefault="00717D4B">
      <w:pPr>
        <w:spacing w:line="360" w:lineRule="auto"/>
        <w:ind w:firstLine="709"/>
        <w:jc w:val="both"/>
        <w:rPr>
          <w:rFonts w:eastAsia="Calibri"/>
          <w:szCs w:val="24"/>
        </w:rPr>
      </w:pPr>
    </w:p>
    <w:p w14:paraId="701CD8C0" w14:textId="77777777" w:rsidR="00717D4B" w:rsidRDefault="00C40A38">
      <w:pPr>
        <w:spacing w:line="360" w:lineRule="auto"/>
        <w:ind w:firstLine="720"/>
        <w:jc w:val="both"/>
        <w:rPr>
          <w:szCs w:val="24"/>
        </w:rPr>
      </w:pPr>
      <w:r>
        <w:rPr>
          <w:rFonts w:eastAsia="Calibri"/>
          <w:b/>
          <w:szCs w:val="24"/>
        </w:rPr>
        <w:t>4</w:t>
      </w:r>
      <w:r>
        <w:rPr>
          <w:b/>
          <w:szCs w:val="24"/>
        </w:rPr>
        <w:t>. Įstatymo įsigaliojimas</w:t>
      </w:r>
    </w:p>
    <w:p w14:paraId="1DB43E1B" w14:textId="77777777" w:rsidR="00717D4B" w:rsidRDefault="00C40A38">
      <w:pPr>
        <w:tabs>
          <w:tab w:val="left" w:pos="993"/>
        </w:tabs>
        <w:spacing w:line="360" w:lineRule="auto"/>
        <w:ind w:firstLine="709"/>
        <w:jc w:val="both"/>
        <w:rPr>
          <w:szCs w:val="24"/>
        </w:rPr>
      </w:pPr>
      <w:r>
        <w:rPr>
          <w:szCs w:val="24"/>
        </w:rPr>
        <w:t>1.</w:t>
      </w:r>
      <w:r>
        <w:rPr>
          <w:szCs w:val="24"/>
        </w:rPr>
        <w:tab/>
      </w:r>
      <w:r>
        <w:rPr>
          <w:szCs w:val="24"/>
          <w:lang w:eastAsia="lt-LT"/>
        </w:rPr>
        <w:t>Šis įstatymas, išskyrus šio straipsnio 2 dalį, įsigalioja 2023 m. sausio 1 d.</w:t>
      </w:r>
    </w:p>
    <w:p w14:paraId="26BF4B21" w14:textId="77777777" w:rsidR="00717D4B" w:rsidRDefault="00C40A38">
      <w:pPr>
        <w:tabs>
          <w:tab w:val="left" w:pos="993"/>
        </w:tabs>
        <w:spacing w:line="360" w:lineRule="auto"/>
        <w:ind w:firstLine="709"/>
        <w:jc w:val="both"/>
        <w:rPr>
          <w:szCs w:val="24"/>
        </w:rPr>
      </w:pPr>
      <w:r>
        <w:rPr>
          <w:szCs w:val="24"/>
        </w:rPr>
        <w:t>2.</w:t>
      </w:r>
      <w:r>
        <w:rPr>
          <w:szCs w:val="24"/>
        </w:rPr>
        <w:tab/>
        <w:t xml:space="preserve">Lietuvos Respublikos Vyriausybė ar jos įgaliota institucija iki šio įstatymo įsigaliojimo dienos priima šio įstatymo </w:t>
      </w:r>
      <w:r>
        <w:rPr>
          <w:szCs w:val="24"/>
        </w:rPr>
        <w:t>įgyvendinamuosius teisės aktus.</w:t>
      </w:r>
    </w:p>
    <w:p w14:paraId="13B2091B" w14:textId="77777777" w:rsidR="00717D4B" w:rsidRDefault="00717D4B">
      <w:pPr>
        <w:spacing w:line="360" w:lineRule="auto"/>
        <w:jc w:val="both"/>
        <w:rPr>
          <w:i/>
          <w:iCs/>
          <w:szCs w:val="24"/>
        </w:rPr>
      </w:pPr>
    </w:p>
    <w:p w14:paraId="30141BAA" w14:textId="77777777" w:rsidR="00717D4B" w:rsidRDefault="00C40A38">
      <w:pPr>
        <w:ind w:left="627"/>
        <w:jc w:val="both"/>
        <w:rPr>
          <w:szCs w:val="24"/>
          <w:lang w:val="en-US"/>
        </w:rPr>
      </w:pPr>
      <w:r>
        <w:rPr>
          <w:i/>
          <w:iCs/>
          <w:szCs w:val="24"/>
        </w:rPr>
        <w:t>Skelbiu šį Lietuvos Respublikos Seimo priimtą įstatymą</w:t>
      </w:r>
    </w:p>
    <w:p w14:paraId="0E760DD8" w14:textId="77777777" w:rsidR="00717D4B" w:rsidRDefault="00717D4B">
      <w:pPr>
        <w:ind w:left="627" w:firstLine="62"/>
        <w:jc w:val="both"/>
        <w:rPr>
          <w:szCs w:val="24"/>
          <w:lang w:val="en-US"/>
        </w:rPr>
      </w:pPr>
    </w:p>
    <w:p w14:paraId="61FDDD13" w14:textId="77777777" w:rsidR="00717D4B" w:rsidRDefault="00C40A38">
      <w:pPr>
        <w:ind w:left="627"/>
        <w:jc w:val="both"/>
        <w:rPr>
          <w:szCs w:val="24"/>
          <w:lang w:val="en-US"/>
        </w:rPr>
      </w:pPr>
      <w:r>
        <w:rPr>
          <w:szCs w:val="24"/>
        </w:rPr>
        <w:t>Respublikos Prezidentas</w:t>
      </w:r>
    </w:p>
    <w:p w14:paraId="6317184A" w14:textId="77777777" w:rsidR="00717D4B" w:rsidRDefault="00717D4B">
      <w:pPr>
        <w:spacing w:line="360" w:lineRule="auto"/>
        <w:ind w:firstLine="720"/>
        <w:jc w:val="both"/>
        <w:rPr>
          <w:rFonts w:eastAsia="Calibri"/>
          <w:szCs w:val="22"/>
        </w:rPr>
      </w:pPr>
    </w:p>
    <w:p w14:paraId="080BA86D" w14:textId="77777777" w:rsidR="00717D4B" w:rsidRDefault="00C40A38">
      <w:pPr>
        <w:spacing w:line="276" w:lineRule="auto"/>
        <w:jc w:val="both"/>
        <w:rPr>
          <w:szCs w:val="24"/>
          <w:lang w:val="en-US" w:eastAsia="lt-LT"/>
        </w:rPr>
      </w:pPr>
      <w:r>
        <w:rPr>
          <w:szCs w:val="24"/>
          <w:lang w:eastAsia="lt-LT"/>
        </w:rPr>
        <w:t>Teikia</w:t>
      </w:r>
    </w:p>
    <w:p w14:paraId="42491365" w14:textId="77777777" w:rsidR="00717D4B" w:rsidRDefault="00C40A38">
      <w:pPr>
        <w:tabs>
          <w:tab w:val="left" w:pos="709"/>
        </w:tabs>
        <w:spacing w:line="276" w:lineRule="auto"/>
        <w:jc w:val="both"/>
        <w:rPr>
          <w:szCs w:val="24"/>
          <w:lang w:eastAsia="lt-LT"/>
        </w:rPr>
      </w:pPr>
      <w:r>
        <w:rPr>
          <w:szCs w:val="24"/>
          <w:lang w:eastAsia="lt-LT"/>
        </w:rPr>
        <w:lastRenderedPageBreak/>
        <w:t>Seimo nariai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0"/>
      </w:tblGrid>
      <w:tr w:rsidR="00717D4B" w14:paraId="13D81F43" w14:textId="77777777">
        <w:tc>
          <w:tcPr>
            <w:tcW w:w="6091" w:type="dxa"/>
          </w:tcPr>
          <w:p w14:paraId="0879F392" w14:textId="77777777" w:rsidR="00717D4B" w:rsidRDefault="00C40A38">
            <w:pPr>
              <w:spacing w:line="360" w:lineRule="auto"/>
              <w:jc w:val="center"/>
              <w:rPr>
                <w:szCs w:val="24"/>
              </w:rPr>
            </w:pPr>
            <w:r>
              <w:rPr>
                <w:szCs w:val="24"/>
              </w:rPr>
              <w:t>Vardas, pavardė</w:t>
            </w:r>
          </w:p>
        </w:tc>
        <w:tc>
          <w:tcPr>
            <w:tcW w:w="3260" w:type="dxa"/>
          </w:tcPr>
          <w:p w14:paraId="4981CE67" w14:textId="77777777" w:rsidR="00717D4B" w:rsidRDefault="00C40A38">
            <w:pPr>
              <w:spacing w:line="360" w:lineRule="auto"/>
              <w:jc w:val="center"/>
              <w:rPr>
                <w:szCs w:val="24"/>
              </w:rPr>
            </w:pPr>
            <w:r>
              <w:rPr>
                <w:szCs w:val="24"/>
              </w:rPr>
              <w:t>Parašas</w:t>
            </w:r>
          </w:p>
        </w:tc>
      </w:tr>
      <w:tr w:rsidR="00717D4B" w14:paraId="6D3767E3" w14:textId="77777777">
        <w:tc>
          <w:tcPr>
            <w:tcW w:w="6091" w:type="dxa"/>
          </w:tcPr>
          <w:p w14:paraId="6533F8A5" w14:textId="77777777" w:rsidR="00717D4B" w:rsidRDefault="00C40A38">
            <w:pPr>
              <w:spacing w:line="360" w:lineRule="auto"/>
              <w:jc w:val="both"/>
              <w:rPr>
                <w:szCs w:val="24"/>
              </w:rPr>
            </w:pPr>
            <w:r>
              <w:rPr>
                <w:szCs w:val="24"/>
              </w:rPr>
              <w:t>Mykolas Majauskas</w:t>
            </w:r>
          </w:p>
        </w:tc>
        <w:tc>
          <w:tcPr>
            <w:tcW w:w="3260" w:type="dxa"/>
          </w:tcPr>
          <w:p w14:paraId="15D6D1B2" w14:textId="77777777" w:rsidR="00717D4B" w:rsidRDefault="00717D4B">
            <w:pPr>
              <w:spacing w:line="360" w:lineRule="auto"/>
              <w:jc w:val="both"/>
              <w:rPr>
                <w:szCs w:val="24"/>
              </w:rPr>
            </w:pPr>
          </w:p>
        </w:tc>
      </w:tr>
      <w:tr w:rsidR="00717D4B" w14:paraId="0AA09591" w14:textId="77777777">
        <w:tc>
          <w:tcPr>
            <w:tcW w:w="6091" w:type="dxa"/>
          </w:tcPr>
          <w:p w14:paraId="01996196" w14:textId="77777777" w:rsidR="00717D4B" w:rsidRDefault="00C40A38">
            <w:pPr>
              <w:spacing w:line="360" w:lineRule="auto"/>
              <w:jc w:val="both"/>
              <w:rPr>
                <w:szCs w:val="24"/>
              </w:rPr>
            </w:pPr>
            <w:r>
              <w:rPr>
                <w:szCs w:val="24"/>
              </w:rPr>
              <w:t>Liudas Jonaitis</w:t>
            </w:r>
          </w:p>
        </w:tc>
        <w:tc>
          <w:tcPr>
            <w:tcW w:w="3260" w:type="dxa"/>
          </w:tcPr>
          <w:p w14:paraId="74415D2E" w14:textId="77777777" w:rsidR="00717D4B" w:rsidRDefault="00717D4B">
            <w:pPr>
              <w:spacing w:line="360" w:lineRule="auto"/>
              <w:jc w:val="both"/>
              <w:rPr>
                <w:szCs w:val="24"/>
              </w:rPr>
            </w:pPr>
          </w:p>
        </w:tc>
      </w:tr>
      <w:tr w:rsidR="00717D4B" w14:paraId="09875270" w14:textId="77777777">
        <w:tc>
          <w:tcPr>
            <w:tcW w:w="6091" w:type="dxa"/>
          </w:tcPr>
          <w:p w14:paraId="4D969140" w14:textId="77777777" w:rsidR="00717D4B" w:rsidRDefault="00C40A38">
            <w:pPr>
              <w:spacing w:line="360" w:lineRule="auto"/>
              <w:jc w:val="both"/>
              <w:rPr>
                <w:szCs w:val="24"/>
              </w:rPr>
            </w:pPr>
            <w:r>
              <w:rPr>
                <w:szCs w:val="24"/>
              </w:rPr>
              <w:t>Edmundas Pupinis</w:t>
            </w:r>
          </w:p>
        </w:tc>
        <w:tc>
          <w:tcPr>
            <w:tcW w:w="3260" w:type="dxa"/>
          </w:tcPr>
          <w:p w14:paraId="244F1938" w14:textId="77777777" w:rsidR="00717D4B" w:rsidRDefault="00717D4B">
            <w:pPr>
              <w:spacing w:line="360" w:lineRule="auto"/>
              <w:jc w:val="both"/>
              <w:rPr>
                <w:szCs w:val="24"/>
              </w:rPr>
            </w:pPr>
          </w:p>
        </w:tc>
      </w:tr>
      <w:tr w:rsidR="00717D4B" w14:paraId="6190717D" w14:textId="77777777">
        <w:tc>
          <w:tcPr>
            <w:tcW w:w="6091" w:type="dxa"/>
          </w:tcPr>
          <w:p w14:paraId="2772450B" w14:textId="77777777" w:rsidR="00717D4B" w:rsidRDefault="00C40A38">
            <w:pPr>
              <w:spacing w:line="360" w:lineRule="auto"/>
              <w:jc w:val="both"/>
              <w:rPr>
                <w:szCs w:val="24"/>
              </w:rPr>
            </w:pPr>
            <w:r>
              <w:rPr>
                <w:szCs w:val="24"/>
              </w:rPr>
              <w:t>Silva Lengvinienė</w:t>
            </w:r>
          </w:p>
        </w:tc>
        <w:tc>
          <w:tcPr>
            <w:tcW w:w="3260" w:type="dxa"/>
          </w:tcPr>
          <w:p w14:paraId="65CF6CDE" w14:textId="77777777" w:rsidR="00717D4B" w:rsidRDefault="00717D4B">
            <w:pPr>
              <w:spacing w:line="360" w:lineRule="auto"/>
              <w:jc w:val="both"/>
              <w:rPr>
                <w:szCs w:val="24"/>
              </w:rPr>
            </w:pPr>
          </w:p>
        </w:tc>
      </w:tr>
      <w:tr w:rsidR="00717D4B" w14:paraId="6A3BD64A" w14:textId="77777777">
        <w:tc>
          <w:tcPr>
            <w:tcW w:w="6091" w:type="dxa"/>
          </w:tcPr>
          <w:p w14:paraId="7D5EB760" w14:textId="77777777" w:rsidR="00717D4B" w:rsidRDefault="00C40A38">
            <w:pPr>
              <w:spacing w:line="360" w:lineRule="auto"/>
              <w:jc w:val="both"/>
              <w:rPr>
                <w:szCs w:val="24"/>
              </w:rPr>
            </w:pPr>
            <w:r>
              <w:rPr>
                <w:szCs w:val="24"/>
              </w:rPr>
              <w:t>Vytautas Bakas</w:t>
            </w:r>
          </w:p>
        </w:tc>
        <w:tc>
          <w:tcPr>
            <w:tcW w:w="3260" w:type="dxa"/>
          </w:tcPr>
          <w:p w14:paraId="35ADDE74" w14:textId="77777777" w:rsidR="00717D4B" w:rsidRDefault="00717D4B">
            <w:pPr>
              <w:spacing w:line="360" w:lineRule="auto"/>
              <w:jc w:val="both"/>
              <w:rPr>
                <w:szCs w:val="24"/>
              </w:rPr>
            </w:pPr>
          </w:p>
        </w:tc>
      </w:tr>
      <w:tr w:rsidR="00717D4B" w14:paraId="3544DDDF" w14:textId="77777777">
        <w:tc>
          <w:tcPr>
            <w:tcW w:w="6091" w:type="dxa"/>
          </w:tcPr>
          <w:p w14:paraId="1498C009" w14:textId="77777777" w:rsidR="00717D4B" w:rsidRDefault="00C40A38">
            <w:pPr>
              <w:spacing w:line="360" w:lineRule="auto"/>
              <w:jc w:val="both"/>
              <w:rPr>
                <w:szCs w:val="24"/>
              </w:rPr>
            </w:pPr>
            <w:r>
              <w:rPr>
                <w:szCs w:val="24"/>
              </w:rPr>
              <w:t>Andrius Mazuronis</w:t>
            </w:r>
          </w:p>
        </w:tc>
        <w:tc>
          <w:tcPr>
            <w:tcW w:w="3260" w:type="dxa"/>
          </w:tcPr>
          <w:p w14:paraId="430BC301" w14:textId="77777777" w:rsidR="00717D4B" w:rsidRDefault="00717D4B">
            <w:pPr>
              <w:spacing w:line="360" w:lineRule="auto"/>
              <w:jc w:val="both"/>
              <w:rPr>
                <w:szCs w:val="24"/>
              </w:rPr>
            </w:pPr>
          </w:p>
        </w:tc>
      </w:tr>
      <w:tr w:rsidR="00717D4B" w14:paraId="1E09F1AA" w14:textId="77777777">
        <w:tc>
          <w:tcPr>
            <w:tcW w:w="6091" w:type="dxa"/>
          </w:tcPr>
          <w:p w14:paraId="2E008C0E" w14:textId="77777777" w:rsidR="00717D4B" w:rsidRDefault="00C40A38">
            <w:pPr>
              <w:spacing w:line="360" w:lineRule="auto"/>
              <w:jc w:val="both"/>
              <w:rPr>
                <w:szCs w:val="24"/>
              </w:rPr>
            </w:pPr>
            <w:r>
              <w:rPr>
                <w:szCs w:val="24"/>
              </w:rPr>
              <w:t>Valentinas Bukauskas</w:t>
            </w:r>
          </w:p>
        </w:tc>
        <w:tc>
          <w:tcPr>
            <w:tcW w:w="3260" w:type="dxa"/>
          </w:tcPr>
          <w:p w14:paraId="6609B8F8" w14:textId="77777777" w:rsidR="00717D4B" w:rsidRDefault="00717D4B">
            <w:pPr>
              <w:spacing w:line="360" w:lineRule="auto"/>
              <w:jc w:val="both"/>
              <w:rPr>
                <w:szCs w:val="24"/>
              </w:rPr>
            </w:pPr>
          </w:p>
        </w:tc>
      </w:tr>
      <w:tr w:rsidR="00717D4B" w14:paraId="56A11A25" w14:textId="77777777">
        <w:tc>
          <w:tcPr>
            <w:tcW w:w="6091" w:type="dxa"/>
          </w:tcPr>
          <w:p w14:paraId="7E88CBFD" w14:textId="77777777" w:rsidR="00717D4B" w:rsidRDefault="00C40A38">
            <w:pPr>
              <w:spacing w:line="360" w:lineRule="auto"/>
              <w:jc w:val="both"/>
              <w:rPr>
                <w:szCs w:val="24"/>
              </w:rPr>
            </w:pPr>
            <w:r>
              <w:rPr>
                <w:szCs w:val="24"/>
              </w:rPr>
              <w:t>Virgilijus Alekna</w:t>
            </w:r>
          </w:p>
        </w:tc>
        <w:tc>
          <w:tcPr>
            <w:tcW w:w="3260" w:type="dxa"/>
          </w:tcPr>
          <w:p w14:paraId="6106A2D1" w14:textId="77777777" w:rsidR="00717D4B" w:rsidRDefault="00717D4B">
            <w:pPr>
              <w:spacing w:line="360" w:lineRule="auto"/>
              <w:jc w:val="both"/>
              <w:rPr>
                <w:szCs w:val="24"/>
              </w:rPr>
            </w:pPr>
          </w:p>
        </w:tc>
      </w:tr>
      <w:tr w:rsidR="00717D4B" w14:paraId="4574AFA8" w14:textId="77777777">
        <w:tc>
          <w:tcPr>
            <w:tcW w:w="6091" w:type="dxa"/>
          </w:tcPr>
          <w:p w14:paraId="7D74DEB2" w14:textId="77777777" w:rsidR="00717D4B" w:rsidRDefault="00C40A38">
            <w:pPr>
              <w:spacing w:line="360" w:lineRule="auto"/>
              <w:jc w:val="both"/>
              <w:rPr>
                <w:szCs w:val="24"/>
              </w:rPr>
            </w:pPr>
            <w:r>
              <w:rPr>
                <w:szCs w:val="24"/>
              </w:rPr>
              <w:t>Vytautas Gapšys</w:t>
            </w:r>
          </w:p>
        </w:tc>
        <w:tc>
          <w:tcPr>
            <w:tcW w:w="3260" w:type="dxa"/>
          </w:tcPr>
          <w:p w14:paraId="07904A07" w14:textId="77777777" w:rsidR="00717D4B" w:rsidRDefault="00717D4B">
            <w:pPr>
              <w:spacing w:line="360" w:lineRule="auto"/>
              <w:jc w:val="both"/>
              <w:rPr>
                <w:szCs w:val="24"/>
              </w:rPr>
            </w:pPr>
          </w:p>
        </w:tc>
      </w:tr>
      <w:tr w:rsidR="00717D4B" w14:paraId="6E685299" w14:textId="77777777">
        <w:tc>
          <w:tcPr>
            <w:tcW w:w="6091" w:type="dxa"/>
          </w:tcPr>
          <w:p w14:paraId="288393F4" w14:textId="77777777" w:rsidR="00717D4B" w:rsidRDefault="00C40A38">
            <w:pPr>
              <w:spacing w:line="360" w:lineRule="auto"/>
              <w:jc w:val="both"/>
              <w:rPr>
                <w:szCs w:val="24"/>
              </w:rPr>
            </w:pPr>
            <w:r>
              <w:rPr>
                <w:szCs w:val="24"/>
              </w:rPr>
              <w:t>Valius Ąžuolas</w:t>
            </w:r>
          </w:p>
        </w:tc>
        <w:tc>
          <w:tcPr>
            <w:tcW w:w="3260" w:type="dxa"/>
          </w:tcPr>
          <w:p w14:paraId="5ACFBBE6" w14:textId="77777777" w:rsidR="00717D4B" w:rsidRDefault="00717D4B">
            <w:pPr>
              <w:spacing w:line="360" w:lineRule="auto"/>
              <w:jc w:val="both"/>
              <w:rPr>
                <w:szCs w:val="24"/>
              </w:rPr>
            </w:pPr>
          </w:p>
        </w:tc>
      </w:tr>
      <w:tr w:rsidR="00717D4B" w14:paraId="613766B7" w14:textId="77777777">
        <w:tc>
          <w:tcPr>
            <w:tcW w:w="6091" w:type="dxa"/>
          </w:tcPr>
          <w:p w14:paraId="3335B4F0" w14:textId="77777777" w:rsidR="00717D4B" w:rsidRDefault="00C40A38">
            <w:pPr>
              <w:spacing w:line="360" w:lineRule="auto"/>
              <w:jc w:val="both"/>
              <w:rPr>
                <w:szCs w:val="24"/>
              </w:rPr>
            </w:pPr>
            <w:r>
              <w:rPr>
                <w:szCs w:val="24"/>
              </w:rPr>
              <w:t>Jonas Pinskus</w:t>
            </w:r>
          </w:p>
        </w:tc>
        <w:tc>
          <w:tcPr>
            <w:tcW w:w="3260" w:type="dxa"/>
          </w:tcPr>
          <w:p w14:paraId="2E6B30AF" w14:textId="77777777" w:rsidR="00717D4B" w:rsidRDefault="00717D4B">
            <w:pPr>
              <w:spacing w:line="360" w:lineRule="auto"/>
              <w:jc w:val="both"/>
              <w:rPr>
                <w:szCs w:val="24"/>
              </w:rPr>
            </w:pPr>
          </w:p>
        </w:tc>
      </w:tr>
      <w:tr w:rsidR="00717D4B" w14:paraId="741F9F02" w14:textId="77777777">
        <w:tc>
          <w:tcPr>
            <w:tcW w:w="6091" w:type="dxa"/>
          </w:tcPr>
          <w:p w14:paraId="256C5CB7" w14:textId="77777777" w:rsidR="00717D4B" w:rsidRDefault="00C40A38">
            <w:pPr>
              <w:spacing w:line="360" w:lineRule="auto"/>
              <w:jc w:val="both"/>
              <w:rPr>
                <w:szCs w:val="24"/>
              </w:rPr>
            </w:pPr>
            <w:r>
              <w:rPr>
                <w:szCs w:val="24"/>
              </w:rPr>
              <w:t>Andrius Kupčinskas</w:t>
            </w:r>
          </w:p>
        </w:tc>
        <w:tc>
          <w:tcPr>
            <w:tcW w:w="3260" w:type="dxa"/>
          </w:tcPr>
          <w:p w14:paraId="492D90FA" w14:textId="77777777" w:rsidR="00717D4B" w:rsidRDefault="00717D4B">
            <w:pPr>
              <w:spacing w:line="360" w:lineRule="auto"/>
              <w:jc w:val="both"/>
              <w:rPr>
                <w:szCs w:val="24"/>
              </w:rPr>
            </w:pPr>
          </w:p>
        </w:tc>
      </w:tr>
      <w:tr w:rsidR="00717D4B" w14:paraId="5F0B8283" w14:textId="77777777">
        <w:tc>
          <w:tcPr>
            <w:tcW w:w="6091" w:type="dxa"/>
          </w:tcPr>
          <w:p w14:paraId="7C2407E8" w14:textId="77777777" w:rsidR="00717D4B" w:rsidRDefault="00C40A38">
            <w:pPr>
              <w:spacing w:line="360" w:lineRule="auto"/>
              <w:jc w:val="both"/>
              <w:rPr>
                <w:szCs w:val="24"/>
              </w:rPr>
            </w:pPr>
            <w:r>
              <w:rPr>
                <w:szCs w:val="24"/>
              </w:rPr>
              <w:t>Kęstutis Masiulis</w:t>
            </w:r>
          </w:p>
        </w:tc>
        <w:tc>
          <w:tcPr>
            <w:tcW w:w="3260" w:type="dxa"/>
          </w:tcPr>
          <w:p w14:paraId="0D505CF9" w14:textId="77777777" w:rsidR="00717D4B" w:rsidRDefault="00717D4B">
            <w:pPr>
              <w:spacing w:line="360" w:lineRule="auto"/>
              <w:jc w:val="both"/>
              <w:rPr>
                <w:szCs w:val="24"/>
              </w:rPr>
            </w:pPr>
          </w:p>
        </w:tc>
      </w:tr>
      <w:tr w:rsidR="00717D4B" w14:paraId="48C3D58E" w14:textId="77777777">
        <w:tc>
          <w:tcPr>
            <w:tcW w:w="6091" w:type="dxa"/>
          </w:tcPr>
          <w:p w14:paraId="579AD56C" w14:textId="77777777" w:rsidR="00717D4B" w:rsidRDefault="00C40A38">
            <w:pPr>
              <w:spacing w:line="360" w:lineRule="auto"/>
              <w:jc w:val="both"/>
              <w:rPr>
                <w:szCs w:val="24"/>
              </w:rPr>
            </w:pPr>
            <w:r>
              <w:rPr>
                <w:szCs w:val="24"/>
              </w:rPr>
              <w:t>Eugenijus Jovaiša</w:t>
            </w:r>
          </w:p>
        </w:tc>
        <w:tc>
          <w:tcPr>
            <w:tcW w:w="3260" w:type="dxa"/>
          </w:tcPr>
          <w:p w14:paraId="69FA7769" w14:textId="77777777" w:rsidR="00717D4B" w:rsidRDefault="00717D4B">
            <w:pPr>
              <w:spacing w:line="360" w:lineRule="auto"/>
              <w:jc w:val="both"/>
              <w:rPr>
                <w:szCs w:val="24"/>
              </w:rPr>
            </w:pPr>
          </w:p>
        </w:tc>
      </w:tr>
      <w:tr w:rsidR="00717D4B" w14:paraId="16284CE5" w14:textId="77777777">
        <w:tc>
          <w:tcPr>
            <w:tcW w:w="6091" w:type="dxa"/>
          </w:tcPr>
          <w:p w14:paraId="1BE47D55" w14:textId="77777777" w:rsidR="00717D4B" w:rsidRDefault="00C40A38">
            <w:pPr>
              <w:spacing w:line="360" w:lineRule="auto"/>
              <w:jc w:val="both"/>
              <w:rPr>
                <w:szCs w:val="24"/>
              </w:rPr>
            </w:pPr>
            <w:r>
              <w:rPr>
                <w:szCs w:val="24"/>
              </w:rPr>
              <w:t>Laurynas Kasčiūnas</w:t>
            </w:r>
          </w:p>
        </w:tc>
        <w:tc>
          <w:tcPr>
            <w:tcW w:w="3260" w:type="dxa"/>
          </w:tcPr>
          <w:p w14:paraId="27A8EA11" w14:textId="77777777" w:rsidR="00717D4B" w:rsidRDefault="00717D4B">
            <w:pPr>
              <w:spacing w:line="360" w:lineRule="auto"/>
              <w:jc w:val="both"/>
              <w:rPr>
                <w:szCs w:val="24"/>
              </w:rPr>
            </w:pPr>
          </w:p>
        </w:tc>
      </w:tr>
      <w:tr w:rsidR="00717D4B" w14:paraId="179CFA48" w14:textId="77777777">
        <w:tc>
          <w:tcPr>
            <w:tcW w:w="6091" w:type="dxa"/>
          </w:tcPr>
          <w:p w14:paraId="231AA1F1" w14:textId="77777777" w:rsidR="00717D4B" w:rsidRDefault="00C40A38">
            <w:pPr>
              <w:spacing w:line="360" w:lineRule="auto"/>
              <w:jc w:val="both"/>
              <w:rPr>
                <w:szCs w:val="24"/>
              </w:rPr>
            </w:pPr>
            <w:r>
              <w:rPr>
                <w:szCs w:val="24"/>
              </w:rPr>
              <w:t>Vytautas Mitalas</w:t>
            </w:r>
          </w:p>
        </w:tc>
        <w:tc>
          <w:tcPr>
            <w:tcW w:w="3260" w:type="dxa"/>
          </w:tcPr>
          <w:p w14:paraId="4FC36F98" w14:textId="77777777" w:rsidR="00717D4B" w:rsidRDefault="00717D4B">
            <w:pPr>
              <w:spacing w:line="360" w:lineRule="auto"/>
              <w:jc w:val="both"/>
              <w:rPr>
                <w:szCs w:val="24"/>
              </w:rPr>
            </w:pPr>
          </w:p>
        </w:tc>
      </w:tr>
      <w:tr w:rsidR="00717D4B" w14:paraId="5904B8B9" w14:textId="77777777">
        <w:tc>
          <w:tcPr>
            <w:tcW w:w="6091" w:type="dxa"/>
          </w:tcPr>
          <w:p w14:paraId="7C3A4A62" w14:textId="77777777" w:rsidR="00717D4B" w:rsidRDefault="00C40A38">
            <w:pPr>
              <w:spacing w:line="360" w:lineRule="auto"/>
              <w:jc w:val="both"/>
              <w:rPr>
                <w:szCs w:val="24"/>
              </w:rPr>
            </w:pPr>
            <w:r>
              <w:rPr>
                <w:szCs w:val="24"/>
              </w:rPr>
              <w:t>Audrius Petrošius</w:t>
            </w:r>
          </w:p>
        </w:tc>
        <w:tc>
          <w:tcPr>
            <w:tcW w:w="3260" w:type="dxa"/>
          </w:tcPr>
          <w:p w14:paraId="63449493" w14:textId="77777777" w:rsidR="00717D4B" w:rsidRDefault="00717D4B">
            <w:pPr>
              <w:spacing w:line="360" w:lineRule="auto"/>
              <w:jc w:val="both"/>
              <w:rPr>
                <w:szCs w:val="24"/>
              </w:rPr>
            </w:pPr>
          </w:p>
        </w:tc>
      </w:tr>
      <w:tr w:rsidR="00717D4B" w14:paraId="27F85A88" w14:textId="77777777">
        <w:tc>
          <w:tcPr>
            <w:tcW w:w="6091" w:type="dxa"/>
          </w:tcPr>
          <w:p w14:paraId="252F6B93" w14:textId="77777777" w:rsidR="00717D4B" w:rsidRDefault="00C40A38">
            <w:pPr>
              <w:spacing w:line="360" w:lineRule="auto"/>
              <w:jc w:val="both"/>
              <w:rPr>
                <w:szCs w:val="24"/>
              </w:rPr>
            </w:pPr>
            <w:r>
              <w:rPr>
                <w:szCs w:val="24"/>
              </w:rPr>
              <w:t xml:space="preserve">Andrius </w:t>
            </w:r>
            <w:r>
              <w:rPr>
                <w:szCs w:val="24"/>
              </w:rPr>
              <w:t>Bagdonas</w:t>
            </w:r>
          </w:p>
        </w:tc>
        <w:tc>
          <w:tcPr>
            <w:tcW w:w="3260" w:type="dxa"/>
          </w:tcPr>
          <w:p w14:paraId="273E9C21" w14:textId="77777777" w:rsidR="00717D4B" w:rsidRDefault="00717D4B">
            <w:pPr>
              <w:spacing w:line="360" w:lineRule="auto"/>
              <w:jc w:val="both"/>
              <w:rPr>
                <w:szCs w:val="24"/>
              </w:rPr>
            </w:pPr>
          </w:p>
        </w:tc>
      </w:tr>
      <w:tr w:rsidR="00717D4B" w14:paraId="65D2B39B" w14:textId="77777777">
        <w:tc>
          <w:tcPr>
            <w:tcW w:w="6091" w:type="dxa"/>
          </w:tcPr>
          <w:p w14:paraId="7DB5E440" w14:textId="77777777" w:rsidR="00717D4B" w:rsidRDefault="00C40A38">
            <w:pPr>
              <w:spacing w:line="360" w:lineRule="auto"/>
              <w:jc w:val="both"/>
              <w:rPr>
                <w:szCs w:val="24"/>
              </w:rPr>
            </w:pPr>
            <w:r>
              <w:rPr>
                <w:szCs w:val="24"/>
              </w:rPr>
              <w:t>Linas Kukuraitis</w:t>
            </w:r>
          </w:p>
        </w:tc>
        <w:tc>
          <w:tcPr>
            <w:tcW w:w="3260" w:type="dxa"/>
          </w:tcPr>
          <w:p w14:paraId="46026B14" w14:textId="77777777" w:rsidR="00717D4B" w:rsidRDefault="00717D4B">
            <w:pPr>
              <w:spacing w:line="360" w:lineRule="auto"/>
              <w:jc w:val="both"/>
              <w:rPr>
                <w:szCs w:val="24"/>
              </w:rPr>
            </w:pPr>
          </w:p>
        </w:tc>
      </w:tr>
      <w:tr w:rsidR="00717D4B" w14:paraId="2F7E1FF6" w14:textId="77777777">
        <w:tc>
          <w:tcPr>
            <w:tcW w:w="6091" w:type="dxa"/>
          </w:tcPr>
          <w:p w14:paraId="5F413D3D" w14:textId="77777777" w:rsidR="00717D4B" w:rsidRDefault="00C40A38">
            <w:pPr>
              <w:spacing w:line="360" w:lineRule="auto"/>
              <w:jc w:val="both"/>
              <w:rPr>
                <w:szCs w:val="24"/>
              </w:rPr>
            </w:pPr>
            <w:r>
              <w:rPr>
                <w:szCs w:val="24"/>
              </w:rPr>
              <w:t>Tomas Tomilinas</w:t>
            </w:r>
          </w:p>
        </w:tc>
        <w:tc>
          <w:tcPr>
            <w:tcW w:w="3260" w:type="dxa"/>
          </w:tcPr>
          <w:p w14:paraId="64D737A2" w14:textId="77777777" w:rsidR="00717D4B" w:rsidRDefault="00717D4B">
            <w:pPr>
              <w:spacing w:line="360" w:lineRule="auto"/>
              <w:jc w:val="both"/>
              <w:rPr>
                <w:szCs w:val="24"/>
              </w:rPr>
            </w:pPr>
          </w:p>
        </w:tc>
      </w:tr>
      <w:tr w:rsidR="00717D4B" w14:paraId="2426E99E" w14:textId="77777777">
        <w:tc>
          <w:tcPr>
            <w:tcW w:w="6091" w:type="dxa"/>
          </w:tcPr>
          <w:p w14:paraId="149CFF9B" w14:textId="77777777" w:rsidR="00717D4B" w:rsidRDefault="00C40A38">
            <w:pPr>
              <w:spacing w:line="360" w:lineRule="auto"/>
              <w:jc w:val="both"/>
              <w:rPr>
                <w:szCs w:val="24"/>
              </w:rPr>
            </w:pPr>
            <w:r>
              <w:rPr>
                <w:szCs w:val="24"/>
              </w:rPr>
              <w:t>Tomas Bičiūnas</w:t>
            </w:r>
          </w:p>
        </w:tc>
        <w:tc>
          <w:tcPr>
            <w:tcW w:w="3260" w:type="dxa"/>
          </w:tcPr>
          <w:p w14:paraId="66068B9D" w14:textId="77777777" w:rsidR="00717D4B" w:rsidRDefault="00717D4B">
            <w:pPr>
              <w:spacing w:line="360" w:lineRule="auto"/>
              <w:jc w:val="both"/>
              <w:rPr>
                <w:szCs w:val="24"/>
              </w:rPr>
            </w:pPr>
          </w:p>
        </w:tc>
      </w:tr>
      <w:tr w:rsidR="00717D4B" w14:paraId="1C375556" w14:textId="77777777">
        <w:tc>
          <w:tcPr>
            <w:tcW w:w="6091" w:type="dxa"/>
          </w:tcPr>
          <w:p w14:paraId="03DD153D" w14:textId="77777777" w:rsidR="00717D4B" w:rsidRDefault="00C40A38">
            <w:pPr>
              <w:spacing w:line="360" w:lineRule="auto"/>
              <w:jc w:val="both"/>
              <w:rPr>
                <w:szCs w:val="24"/>
              </w:rPr>
            </w:pPr>
            <w:r>
              <w:rPr>
                <w:szCs w:val="24"/>
              </w:rPr>
              <w:t>Eugenijus Gentvilas</w:t>
            </w:r>
          </w:p>
        </w:tc>
        <w:tc>
          <w:tcPr>
            <w:tcW w:w="3260" w:type="dxa"/>
          </w:tcPr>
          <w:p w14:paraId="53847989" w14:textId="77777777" w:rsidR="00717D4B" w:rsidRDefault="00717D4B">
            <w:pPr>
              <w:spacing w:line="360" w:lineRule="auto"/>
              <w:jc w:val="both"/>
              <w:rPr>
                <w:szCs w:val="24"/>
              </w:rPr>
            </w:pPr>
          </w:p>
        </w:tc>
      </w:tr>
      <w:tr w:rsidR="00717D4B" w14:paraId="196E7934" w14:textId="77777777">
        <w:tc>
          <w:tcPr>
            <w:tcW w:w="6091" w:type="dxa"/>
          </w:tcPr>
          <w:p w14:paraId="11D1928C" w14:textId="77777777" w:rsidR="00717D4B" w:rsidRDefault="00C40A38">
            <w:pPr>
              <w:spacing w:line="360" w:lineRule="auto"/>
              <w:jc w:val="both"/>
              <w:rPr>
                <w:szCs w:val="24"/>
              </w:rPr>
            </w:pPr>
            <w:r>
              <w:rPr>
                <w:szCs w:val="24"/>
              </w:rPr>
              <w:t>Dovilė Šakalienė</w:t>
            </w:r>
          </w:p>
        </w:tc>
        <w:tc>
          <w:tcPr>
            <w:tcW w:w="3260" w:type="dxa"/>
          </w:tcPr>
          <w:p w14:paraId="2FEFB138" w14:textId="77777777" w:rsidR="00717D4B" w:rsidRDefault="00717D4B">
            <w:pPr>
              <w:spacing w:line="360" w:lineRule="auto"/>
              <w:jc w:val="both"/>
              <w:rPr>
                <w:szCs w:val="24"/>
              </w:rPr>
            </w:pPr>
          </w:p>
        </w:tc>
      </w:tr>
      <w:tr w:rsidR="00717D4B" w14:paraId="06447ADC" w14:textId="77777777">
        <w:tc>
          <w:tcPr>
            <w:tcW w:w="6091" w:type="dxa"/>
          </w:tcPr>
          <w:p w14:paraId="3E2C7AC9" w14:textId="77777777" w:rsidR="00717D4B" w:rsidRDefault="00717D4B">
            <w:pPr>
              <w:spacing w:line="360" w:lineRule="auto"/>
              <w:jc w:val="both"/>
              <w:rPr>
                <w:szCs w:val="24"/>
              </w:rPr>
            </w:pPr>
          </w:p>
        </w:tc>
        <w:tc>
          <w:tcPr>
            <w:tcW w:w="3260" w:type="dxa"/>
          </w:tcPr>
          <w:p w14:paraId="4B6F4204" w14:textId="77777777" w:rsidR="00717D4B" w:rsidRDefault="00717D4B">
            <w:pPr>
              <w:spacing w:line="360" w:lineRule="auto"/>
              <w:jc w:val="both"/>
              <w:rPr>
                <w:szCs w:val="24"/>
              </w:rPr>
            </w:pPr>
          </w:p>
        </w:tc>
      </w:tr>
      <w:tr w:rsidR="00717D4B" w14:paraId="58ABAAC4" w14:textId="77777777">
        <w:tc>
          <w:tcPr>
            <w:tcW w:w="6091" w:type="dxa"/>
          </w:tcPr>
          <w:p w14:paraId="0C29F083" w14:textId="77777777" w:rsidR="00717D4B" w:rsidRDefault="00717D4B">
            <w:pPr>
              <w:spacing w:line="360" w:lineRule="auto"/>
              <w:jc w:val="both"/>
              <w:rPr>
                <w:szCs w:val="24"/>
              </w:rPr>
            </w:pPr>
          </w:p>
        </w:tc>
        <w:tc>
          <w:tcPr>
            <w:tcW w:w="3260" w:type="dxa"/>
          </w:tcPr>
          <w:p w14:paraId="3FFC99F9" w14:textId="77777777" w:rsidR="00717D4B" w:rsidRDefault="00717D4B">
            <w:pPr>
              <w:spacing w:line="360" w:lineRule="auto"/>
              <w:jc w:val="both"/>
              <w:rPr>
                <w:szCs w:val="24"/>
              </w:rPr>
            </w:pPr>
          </w:p>
        </w:tc>
      </w:tr>
      <w:tr w:rsidR="00717D4B" w14:paraId="72F18086" w14:textId="77777777">
        <w:tc>
          <w:tcPr>
            <w:tcW w:w="6091" w:type="dxa"/>
          </w:tcPr>
          <w:p w14:paraId="4CC2FBB7" w14:textId="77777777" w:rsidR="00717D4B" w:rsidRDefault="00717D4B">
            <w:pPr>
              <w:spacing w:line="360" w:lineRule="auto"/>
              <w:jc w:val="both"/>
              <w:rPr>
                <w:szCs w:val="24"/>
              </w:rPr>
            </w:pPr>
          </w:p>
        </w:tc>
        <w:tc>
          <w:tcPr>
            <w:tcW w:w="3260" w:type="dxa"/>
          </w:tcPr>
          <w:p w14:paraId="6F3F8580" w14:textId="77777777" w:rsidR="00717D4B" w:rsidRDefault="00717D4B">
            <w:pPr>
              <w:spacing w:line="360" w:lineRule="auto"/>
              <w:jc w:val="both"/>
              <w:rPr>
                <w:szCs w:val="24"/>
              </w:rPr>
            </w:pPr>
          </w:p>
        </w:tc>
      </w:tr>
      <w:tr w:rsidR="00717D4B" w14:paraId="72DC7FFF" w14:textId="77777777">
        <w:tc>
          <w:tcPr>
            <w:tcW w:w="6091" w:type="dxa"/>
          </w:tcPr>
          <w:p w14:paraId="35DC8CCA" w14:textId="77777777" w:rsidR="00717D4B" w:rsidRDefault="00717D4B">
            <w:pPr>
              <w:spacing w:line="360" w:lineRule="auto"/>
              <w:jc w:val="both"/>
              <w:rPr>
                <w:szCs w:val="24"/>
              </w:rPr>
            </w:pPr>
          </w:p>
        </w:tc>
        <w:tc>
          <w:tcPr>
            <w:tcW w:w="3260" w:type="dxa"/>
          </w:tcPr>
          <w:p w14:paraId="691201D0" w14:textId="77777777" w:rsidR="00717D4B" w:rsidRDefault="00717D4B">
            <w:pPr>
              <w:spacing w:line="360" w:lineRule="auto"/>
              <w:jc w:val="both"/>
              <w:rPr>
                <w:szCs w:val="24"/>
              </w:rPr>
            </w:pPr>
          </w:p>
        </w:tc>
      </w:tr>
      <w:tr w:rsidR="00717D4B" w14:paraId="47033F93" w14:textId="77777777">
        <w:tc>
          <w:tcPr>
            <w:tcW w:w="6091" w:type="dxa"/>
          </w:tcPr>
          <w:p w14:paraId="10274802" w14:textId="77777777" w:rsidR="00717D4B" w:rsidRDefault="00717D4B">
            <w:pPr>
              <w:spacing w:line="360" w:lineRule="auto"/>
              <w:jc w:val="both"/>
              <w:rPr>
                <w:szCs w:val="24"/>
              </w:rPr>
            </w:pPr>
          </w:p>
        </w:tc>
        <w:tc>
          <w:tcPr>
            <w:tcW w:w="3260" w:type="dxa"/>
          </w:tcPr>
          <w:p w14:paraId="4E023DA2" w14:textId="77777777" w:rsidR="00717D4B" w:rsidRDefault="00717D4B">
            <w:pPr>
              <w:spacing w:line="360" w:lineRule="auto"/>
              <w:jc w:val="both"/>
              <w:rPr>
                <w:szCs w:val="24"/>
              </w:rPr>
            </w:pPr>
          </w:p>
        </w:tc>
      </w:tr>
      <w:tr w:rsidR="00717D4B" w14:paraId="1674A8B0" w14:textId="77777777">
        <w:tc>
          <w:tcPr>
            <w:tcW w:w="6091" w:type="dxa"/>
          </w:tcPr>
          <w:p w14:paraId="62AACE6E" w14:textId="77777777" w:rsidR="00717D4B" w:rsidRDefault="00717D4B">
            <w:pPr>
              <w:spacing w:line="360" w:lineRule="auto"/>
              <w:jc w:val="both"/>
              <w:rPr>
                <w:szCs w:val="24"/>
              </w:rPr>
            </w:pPr>
          </w:p>
        </w:tc>
        <w:tc>
          <w:tcPr>
            <w:tcW w:w="3260" w:type="dxa"/>
          </w:tcPr>
          <w:p w14:paraId="4DBE3E9B" w14:textId="77777777" w:rsidR="00717D4B" w:rsidRDefault="00717D4B">
            <w:pPr>
              <w:spacing w:line="360" w:lineRule="auto"/>
              <w:jc w:val="both"/>
              <w:rPr>
                <w:szCs w:val="24"/>
              </w:rPr>
            </w:pPr>
          </w:p>
        </w:tc>
      </w:tr>
    </w:tbl>
    <w:p w14:paraId="14781C64" w14:textId="77777777" w:rsidR="00717D4B" w:rsidRDefault="00717D4B">
      <w:pPr>
        <w:spacing w:line="259" w:lineRule="auto"/>
        <w:rPr>
          <w:szCs w:val="24"/>
          <w:lang w:eastAsia="lt-LT"/>
        </w:rPr>
      </w:pPr>
    </w:p>
    <w:sectPr w:rsidR="00717D4B">
      <w:headerReference w:type="even" r:id="rId6"/>
      <w:headerReference w:type="default" r:id="rId7"/>
      <w:footerReference w:type="even" r:id="rId8"/>
      <w:footerReference w:type="default" r:id="rId9"/>
      <w:headerReference w:type="first" r:id="rId10"/>
      <w:footerReference w:type="first" r:id="rId11"/>
      <w:pgSz w:w="12240" w:h="15840"/>
      <w:pgMar w:top="993" w:right="7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93EC" w14:textId="77777777" w:rsidR="00717D4B" w:rsidRDefault="00C40A38">
      <w:r>
        <w:separator/>
      </w:r>
    </w:p>
  </w:endnote>
  <w:endnote w:type="continuationSeparator" w:id="0">
    <w:p w14:paraId="170BEB1B" w14:textId="77777777" w:rsidR="00717D4B" w:rsidRDefault="00C4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0BAD" w14:textId="77777777" w:rsidR="00717D4B" w:rsidRDefault="00717D4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8890" w14:textId="77777777" w:rsidR="00717D4B" w:rsidRDefault="00717D4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3340" w14:textId="77777777" w:rsidR="00717D4B" w:rsidRDefault="00717D4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E17F" w14:textId="77777777" w:rsidR="00717D4B" w:rsidRDefault="00C40A38">
      <w:r>
        <w:separator/>
      </w:r>
    </w:p>
  </w:footnote>
  <w:footnote w:type="continuationSeparator" w:id="0">
    <w:p w14:paraId="4D2EA74E" w14:textId="77777777" w:rsidR="00717D4B" w:rsidRDefault="00C4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099E" w14:textId="77777777" w:rsidR="00717D4B" w:rsidRDefault="00717D4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68CB" w14:textId="77777777" w:rsidR="00717D4B" w:rsidRDefault="00C40A38">
    <w:pPr>
      <w:tabs>
        <w:tab w:val="center" w:pos="4680"/>
        <w:tab w:val="right" w:pos="9360"/>
      </w:tabs>
      <w:jc w:val="center"/>
    </w:pPr>
    <w:r>
      <w:fldChar w:fldCharType="begin"/>
    </w:r>
    <w:r>
      <w:instrText xml:space="preserve"> PAGE   \* MERGEFORMAT </w:instrText>
    </w:r>
    <w:r>
      <w:fldChar w:fldCharType="separate"/>
    </w:r>
    <w:r>
      <w:t>3</w:t>
    </w:r>
    <w:r>
      <w:fldChar w:fldCharType="end"/>
    </w:r>
  </w:p>
  <w:p w14:paraId="634A263C" w14:textId="77777777" w:rsidR="00717D4B" w:rsidRDefault="00717D4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2EB6" w14:textId="77777777" w:rsidR="00717D4B" w:rsidRDefault="00717D4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B5"/>
    <w:rsid w:val="005C0AB5"/>
    <w:rsid w:val="00717D4B"/>
    <w:rsid w:val="00C4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9DBE"/>
  <w15:docId w15:val="{A90A6CF7-42AA-45E0-99CE-396C2B8E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29696">
      <w:bodyDiv w:val="1"/>
      <w:marLeft w:val="0"/>
      <w:marRight w:val="0"/>
      <w:marTop w:val="0"/>
      <w:marBottom w:val="0"/>
      <w:divBdr>
        <w:top w:val="none" w:sz="0" w:space="0" w:color="auto"/>
        <w:left w:val="none" w:sz="0" w:space="0" w:color="auto"/>
        <w:bottom w:val="none" w:sz="0" w:space="0" w:color="auto"/>
        <w:right w:val="none" w:sz="0" w:space="0" w:color="auto"/>
      </w:divBdr>
    </w:div>
    <w:div w:id="1071580471">
      <w:bodyDiv w:val="1"/>
      <w:marLeft w:val="0"/>
      <w:marRight w:val="0"/>
      <w:marTop w:val="0"/>
      <w:marBottom w:val="0"/>
      <w:divBdr>
        <w:top w:val="none" w:sz="0" w:space="0" w:color="auto"/>
        <w:left w:val="none" w:sz="0" w:space="0" w:color="auto"/>
        <w:bottom w:val="none" w:sz="0" w:space="0" w:color="auto"/>
        <w:right w:val="none" w:sz="0" w:space="0" w:color="auto"/>
      </w:divBdr>
    </w:div>
    <w:div w:id="1294293231">
      <w:bodyDiv w:val="1"/>
      <w:marLeft w:val="0"/>
      <w:marRight w:val="0"/>
      <w:marTop w:val="0"/>
      <w:marBottom w:val="0"/>
      <w:divBdr>
        <w:top w:val="none" w:sz="0" w:space="0" w:color="auto"/>
        <w:left w:val="none" w:sz="0" w:space="0" w:color="auto"/>
        <w:bottom w:val="none" w:sz="0" w:space="0" w:color="auto"/>
        <w:right w:val="none" w:sz="0" w:space="0" w:color="auto"/>
      </w:divBdr>
      <w:divsChild>
        <w:div w:id="1321271368">
          <w:marLeft w:val="0"/>
          <w:marRight w:val="0"/>
          <w:marTop w:val="0"/>
          <w:marBottom w:val="0"/>
          <w:divBdr>
            <w:top w:val="none" w:sz="0" w:space="0" w:color="auto"/>
            <w:left w:val="none" w:sz="0" w:space="0" w:color="auto"/>
            <w:bottom w:val="none" w:sz="0" w:space="0" w:color="auto"/>
            <w:right w:val="none" w:sz="0" w:space="0" w:color="auto"/>
          </w:divBdr>
        </w:div>
      </w:divsChild>
    </w:div>
    <w:div w:id="1351950745">
      <w:bodyDiv w:val="1"/>
      <w:marLeft w:val="0"/>
      <w:marRight w:val="0"/>
      <w:marTop w:val="0"/>
      <w:marBottom w:val="0"/>
      <w:divBdr>
        <w:top w:val="none" w:sz="0" w:space="0" w:color="auto"/>
        <w:left w:val="none" w:sz="0" w:space="0" w:color="auto"/>
        <w:bottom w:val="none" w:sz="0" w:space="0" w:color="auto"/>
        <w:right w:val="none" w:sz="0" w:space="0" w:color="auto"/>
      </w:divBdr>
    </w:div>
    <w:div w:id="1988583619">
      <w:bodyDiv w:val="1"/>
      <w:marLeft w:val="0"/>
      <w:marRight w:val="0"/>
      <w:marTop w:val="0"/>
      <w:marBottom w:val="0"/>
      <w:divBdr>
        <w:top w:val="none" w:sz="0" w:space="0" w:color="auto"/>
        <w:left w:val="none" w:sz="0" w:space="0" w:color="auto"/>
        <w:bottom w:val="none" w:sz="0" w:space="0" w:color="auto"/>
        <w:right w:val="none" w:sz="0" w:space="0" w:color="auto"/>
      </w:divBdr>
      <w:divsChild>
        <w:div w:id="1127510634">
          <w:marLeft w:val="0"/>
          <w:marRight w:val="0"/>
          <w:marTop w:val="0"/>
          <w:marBottom w:val="0"/>
          <w:divBdr>
            <w:top w:val="none" w:sz="0" w:space="0" w:color="auto"/>
            <w:left w:val="none" w:sz="0" w:space="0" w:color="auto"/>
            <w:bottom w:val="none" w:sz="0" w:space="0" w:color="auto"/>
            <w:right w:val="none" w:sz="0" w:space="0" w:color="auto"/>
          </w:divBdr>
        </w:div>
      </w:divsChild>
    </w:div>
    <w:div w:id="2047367697">
      <w:bodyDiv w:val="1"/>
      <w:marLeft w:val="0"/>
      <w:marRight w:val="0"/>
      <w:marTop w:val="0"/>
      <w:marBottom w:val="0"/>
      <w:divBdr>
        <w:top w:val="none" w:sz="0" w:space="0" w:color="auto"/>
        <w:left w:val="none" w:sz="0" w:space="0" w:color="auto"/>
        <w:bottom w:val="none" w:sz="0" w:space="0" w:color="auto"/>
        <w:right w:val="none" w:sz="0" w:space="0" w:color="auto"/>
      </w:divBdr>
      <w:divsChild>
        <w:div w:id="1872836677">
          <w:marLeft w:val="0"/>
          <w:marRight w:val="0"/>
          <w:marTop w:val="0"/>
          <w:marBottom w:val="0"/>
          <w:divBdr>
            <w:top w:val="none" w:sz="0" w:space="0" w:color="auto"/>
            <w:left w:val="none" w:sz="0" w:space="0" w:color="auto"/>
            <w:bottom w:val="none" w:sz="0" w:space="0" w:color="auto"/>
            <w:right w:val="none" w:sz="0" w:space="0" w:color="auto"/>
          </w:divBdr>
        </w:div>
        <w:div w:id="1449929196">
          <w:marLeft w:val="0"/>
          <w:marRight w:val="0"/>
          <w:marTop w:val="0"/>
          <w:marBottom w:val="0"/>
          <w:divBdr>
            <w:top w:val="none" w:sz="0" w:space="0" w:color="auto"/>
            <w:left w:val="none" w:sz="0" w:space="0" w:color="auto"/>
            <w:bottom w:val="none" w:sz="0" w:space="0" w:color="auto"/>
            <w:right w:val="none" w:sz="0" w:space="0" w:color="auto"/>
          </w:divBdr>
        </w:div>
        <w:div w:id="1389567486">
          <w:marLeft w:val="0"/>
          <w:marRight w:val="0"/>
          <w:marTop w:val="0"/>
          <w:marBottom w:val="0"/>
          <w:divBdr>
            <w:top w:val="none" w:sz="0" w:space="0" w:color="auto"/>
            <w:left w:val="none" w:sz="0" w:space="0" w:color="auto"/>
            <w:bottom w:val="none" w:sz="0" w:space="0" w:color="auto"/>
            <w:right w:val="none" w:sz="0" w:space="0" w:color="auto"/>
          </w:divBdr>
        </w:div>
        <w:div w:id="763917790">
          <w:marLeft w:val="0"/>
          <w:marRight w:val="0"/>
          <w:marTop w:val="0"/>
          <w:marBottom w:val="0"/>
          <w:divBdr>
            <w:top w:val="none" w:sz="0" w:space="0" w:color="auto"/>
            <w:left w:val="none" w:sz="0" w:space="0" w:color="auto"/>
            <w:bottom w:val="none" w:sz="0" w:space="0" w:color="auto"/>
            <w:right w:val="none" w:sz="0" w:space="0" w:color="auto"/>
          </w:divBdr>
        </w:div>
      </w:divsChild>
    </w:div>
    <w:div w:id="2062560970">
      <w:bodyDiv w:val="1"/>
      <w:marLeft w:val="0"/>
      <w:marRight w:val="0"/>
      <w:marTop w:val="0"/>
      <w:marBottom w:val="0"/>
      <w:divBdr>
        <w:top w:val="none" w:sz="0" w:space="0" w:color="auto"/>
        <w:left w:val="none" w:sz="0" w:space="0" w:color="auto"/>
        <w:bottom w:val="none" w:sz="0" w:space="0" w:color="auto"/>
        <w:right w:val="none" w:sz="0" w:space="0" w:color="auto"/>
      </w:divBdr>
      <w:divsChild>
        <w:div w:id="376198903">
          <w:marLeft w:val="0"/>
          <w:marRight w:val="0"/>
          <w:marTop w:val="0"/>
          <w:marBottom w:val="0"/>
          <w:divBdr>
            <w:top w:val="none" w:sz="0" w:space="0" w:color="auto"/>
            <w:left w:val="none" w:sz="0" w:space="0" w:color="auto"/>
            <w:bottom w:val="none" w:sz="0" w:space="0" w:color="auto"/>
            <w:right w:val="none" w:sz="0" w:space="0" w:color="auto"/>
          </w:divBdr>
        </w:div>
        <w:div w:id="1731685630">
          <w:marLeft w:val="0"/>
          <w:marRight w:val="0"/>
          <w:marTop w:val="0"/>
          <w:marBottom w:val="0"/>
          <w:divBdr>
            <w:top w:val="none" w:sz="0" w:space="0" w:color="auto"/>
            <w:left w:val="none" w:sz="0" w:space="0" w:color="auto"/>
            <w:bottom w:val="none" w:sz="0" w:space="0" w:color="auto"/>
            <w:right w:val="none" w:sz="0" w:space="0" w:color="auto"/>
          </w:divBdr>
        </w:div>
      </w:divsChild>
    </w:div>
    <w:div w:id="212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20131545">
          <w:marLeft w:val="0"/>
          <w:marRight w:val="0"/>
          <w:marTop w:val="0"/>
          <w:marBottom w:val="0"/>
          <w:divBdr>
            <w:top w:val="none" w:sz="0" w:space="0" w:color="auto"/>
            <w:left w:val="none" w:sz="0" w:space="0" w:color="auto"/>
            <w:bottom w:val="none" w:sz="0" w:space="0" w:color="auto"/>
            <w:right w:val="none" w:sz="0" w:space="0" w:color="auto"/>
          </w:divBdr>
        </w:div>
        <w:div w:id="1296906056">
          <w:marLeft w:val="0"/>
          <w:marRight w:val="0"/>
          <w:marTop w:val="0"/>
          <w:marBottom w:val="0"/>
          <w:divBdr>
            <w:top w:val="none" w:sz="0" w:space="0" w:color="auto"/>
            <w:left w:val="none" w:sz="0" w:space="0" w:color="auto"/>
            <w:bottom w:val="none" w:sz="0" w:space="0" w:color="auto"/>
            <w:right w:val="none" w:sz="0" w:space="0" w:color="auto"/>
          </w:divBdr>
        </w:div>
        <w:div w:id="1839686862">
          <w:marLeft w:val="0"/>
          <w:marRight w:val="0"/>
          <w:marTop w:val="0"/>
          <w:marBottom w:val="0"/>
          <w:divBdr>
            <w:top w:val="none" w:sz="0" w:space="0" w:color="auto"/>
            <w:left w:val="none" w:sz="0" w:space="0" w:color="auto"/>
            <w:bottom w:val="none" w:sz="0" w:space="0" w:color="auto"/>
            <w:right w:val="none" w:sz="0" w:space="0" w:color="auto"/>
          </w:divBdr>
        </w:div>
        <w:div w:id="1527716430">
          <w:marLeft w:val="0"/>
          <w:marRight w:val="0"/>
          <w:marTop w:val="0"/>
          <w:marBottom w:val="0"/>
          <w:divBdr>
            <w:top w:val="none" w:sz="0" w:space="0" w:color="auto"/>
            <w:left w:val="none" w:sz="0" w:space="0" w:color="auto"/>
            <w:bottom w:val="none" w:sz="0" w:space="0" w:color="auto"/>
            <w:right w:val="none" w:sz="0" w:space="0" w:color="auto"/>
          </w:divBdr>
        </w:div>
        <w:div w:id="61860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dc:creator>
  <cp:lastModifiedBy>Piotr Gerasimovič</cp:lastModifiedBy>
  <cp:revision>2</cp:revision>
  <cp:lastPrinted>2021-05-13T10:54:00Z</cp:lastPrinted>
  <dcterms:created xsi:type="dcterms:W3CDTF">2021-10-12T11:10:00Z</dcterms:created>
  <dcterms:modified xsi:type="dcterms:W3CDTF">2021-10-12T11:10:00Z</dcterms:modified>
</cp:coreProperties>
</file>