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BB89" w14:textId="77777777" w:rsidR="00866C9C" w:rsidRPr="00984B8E" w:rsidRDefault="00866C9C" w:rsidP="00866C9C">
      <w:pPr>
        <w:widowControl w:val="0"/>
        <w:autoSpaceDE w:val="0"/>
        <w:autoSpaceDN w:val="0"/>
        <w:adjustRightInd w:val="0"/>
        <w:ind w:firstLine="0"/>
        <w:jc w:val="center"/>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 xml:space="preserve">NUMATOMO TEISINIO REGULIAVIMO POVEIKIO VERTINIMO PAŽYMA </w:t>
      </w:r>
    </w:p>
    <w:p w14:paraId="57BD3CFA" w14:textId="77777777" w:rsidR="00866C9C" w:rsidRPr="00984B8E" w:rsidRDefault="00866C9C" w:rsidP="00866C9C">
      <w:pPr>
        <w:widowControl w:val="0"/>
        <w:autoSpaceDE w:val="0"/>
        <w:autoSpaceDN w:val="0"/>
        <w:adjustRightInd w:val="0"/>
        <w:rPr>
          <w:rFonts w:ascii="Times New Roman" w:hAnsi="Times New Roman" w:cs="Times New Roman"/>
          <w:b/>
          <w:color w:val="000000"/>
          <w:sz w:val="24"/>
          <w:szCs w:val="24"/>
          <w:lang w:eastAsia="lt-LT"/>
        </w:rPr>
      </w:pPr>
    </w:p>
    <w:tbl>
      <w:tblPr>
        <w:tblW w:w="9639" w:type="dxa"/>
        <w:tblLayout w:type="fixed"/>
        <w:tblCellMar>
          <w:left w:w="0" w:type="dxa"/>
          <w:right w:w="0" w:type="dxa"/>
        </w:tblCellMar>
        <w:tblLook w:val="00A0" w:firstRow="1" w:lastRow="0" w:firstColumn="1" w:lastColumn="0" w:noHBand="0" w:noVBand="0"/>
      </w:tblPr>
      <w:tblGrid>
        <w:gridCol w:w="2251"/>
        <w:gridCol w:w="7388"/>
      </w:tblGrid>
      <w:tr w:rsidR="00866C9C" w:rsidRPr="00984B8E" w14:paraId="54539985" w14:textId="77777777" w:rsidTr="00841C47">
        <w:tc>
          <w:tcPr>
            <w:tcW w:w="2235" w:type="dxa"/>
            <w:shd w:val="clear" w:color="auto" w:fill="DBE5F1"/>
          </w:tcPr>
          <w:p w14:paraId="11D9243B" w14:textId="77777777" w:rsidR="00866C9C" w:rsidRPr="00984B8E" w:rsidRDefault="00866C9C" w:rsidP="00841C47">
            <w:pPr>
              <w:widowControl w:val="0"/>
              <w:autoSpaceDE w:val="0"/>
              <w:autoSpaceDN w:val="0"/>
              <w:adjustRightInd w:val="0"/>
              <w:ind w:firstLine="0"/>
              <w:rPr>
                <w:rFonts w:ascii="Times New Roman" w:hAnsi="Times New Roman" w:cs="Times New Roman"/>
                <w:color w:val="000000"/>
                <w:sz w:val="24"/>
                <w:szCs w:val="24"/>
                <w:shd w:val="clear" w:color="auto" w:fill="DBE5F1"/>
                <w:lang w:eastAsia="lt-LT"/>
              </w:rPr>
            </w:pPr>
            <w:r w:rsidRPr="00984B8E">
              <w:rPr>
                <w:rFonts w:ascii="Times New Roman" w:hAnsi="Times New Roman" w:cs="Times New Roman"/>
                <w:b/>
                <w:color w:val="000000"/>
                <w:sz w:val="24"/>
                <w:szCs w:val="24"/>
                <w:shd w:val="clear" w:color="auto" w:fill="DBE5F1"/>
                <w:lang w:eastAsia="lt-LT"/>
              </w:rPr>
              <w:t>Projekto pavadinimas</w:t>
            </w:r>
          </w:p>
        </w:tc>
        <w:tc>
          <w:tcPr>
            <w:tcW w:w="7337" w:type="dxa"/>
            <w:shd w:val="clear" w:color="auto" w:fill="auto"/>
          </w:tcPr>
          <w:p w14:paraId="524FA401" w14:textId="77777777" w:rsidR="00866C9C" w:rsidRPr="00984B8E" w:rsidRDefault="00866C9C" w:rsidP="00841C47">
            <w:pPr>
              <w:widowControl w:val="0"/>
              <w:autoSpaceDE w:val="0"/>
              <w:autoSpaceDN w:val="0"/>
              <w:adjustRightInd w:val="0"/>
              <w:ind w:firstLine="0"/>
              <w:jc w:val="both"/>
              <w:rPr>
                <w:rFonts w:ascii="Times New Roman" w:hAnsi="Times New Roman" w:cs="Times New Roman"/>
                <w:color w:val="000000"/>
                <w:sz w:val="24"/>
                <w:szCs w:val="24"/>
                <w:lang w:eastAsia="lt-LT"/>
              </w:rPr>
            </w:pPr>
            <w:r w:rsidRPr="00984B8E">
              <w:rPr>
                <w:rFonts w:ascii="Times New Roman" w:hAnsi="Times New Roman" w:cs="Times New Roman"/>
                <w:bCs/>
                <w:color w:val="000000"/>
                <w:sz w:val="24"/>
                <w:szCs w:val="24"/>
              </w:rPr>
              <w:t>Lietuvos Respublikos pranešėjų apsaugos įstatymo Nr.XIII-804 pakeitimo ir papildymo priedu įstatymo projektas (toliau – Įstatymo projektas)</w:t>
            </w:r>
          </w:p>
        </w:tc>
      </w:tr>
    </w:tbl>
    <w:p w14:paraId="26357762" w14:textId="77777777" w:rsidR="00866C9C" w:rsidRPr="00984B8E" w:rsidRDefault="00866C9C" w:rsidP="00866C9C">
      <w:pPr>
        <w:widowControl w:val="0"/>
        <w:autoSpaceDE w:val="0"/>
        <w:autoSpaceDN w:val="0"/>
        <w:adjustRightInd w:val="0"/>
        <w:rPr>
          <w:rFonts w:ascii="Times New Roman" w:hAnsi="Times New Roman" w:cs="Times New Roman"/>
          <w:color w:val="000000"/>
          <w:sz w:val="24"/>
          <w:szCs w:val="24"/>
          <w:lang w:eastAsia="lt-LT"/>
        </w:rPr>
      </w:pPr>
    </w:p>
    <w:tbl>
      <w:tblPr>
        <w:tblW w:w="9639" w:type="dxa"/>
        <w:tblLayout w:type="fixed"/>
        <w:tblCellMar>
          <w:left w:w="0" w:type="dxa"/>
          <w:right w:w="0" w:type="dxa"/>
        </w:tblCellMar>
        <w:tblLook w:val="00A0" w:firstRow="1" w:lastRow="0" w:firstColumn="1" w:lastColumn="0" w:noHBand="0" w:noVBand="0"/>
      </w:tblPr>
      <w:tblGrid>
        <w:gridCol w:w="2251"/>
        <w:gridCol w:w="7388"/>
      </w:tblGrid>
      <w:tr w:rsidR="00866C9C" w:rsidRPr="00984B8E" w14:paraId="704CF46C" w14:textId="77777777" w:rsidTr="00841C47">
        <w:trPr>
          <w:trHeight w:val="138"/>
        </w:trPr>
        <w:tc>
          <w:tcPr>
            <w:tcW w:w="2235" w:type="dxa"/>
            <w:shd w:val="clear" w:color="auto" w:fill="DBE5F1"/>
          </w:tcPr>
          <w:p w14:paraId="6C31ABF0" w14:textId="77777777" w:rsidR="00866C9C" w:rsidRPr="00984B8E" w:rsidRDefault="00866C9C" w:rsidP="00841C47">
            <w:pPr>
              <w:widowControl w:val="0"/>
              <w:autoSpaceDE w:val="0"/>
              <w:autoSpaceDN w:val="0"/>
              <w:adjustRightInd w:val="0"/>
              <w:ind w:firstLine="0"/>
              <w:rPr>
                <w:rFonts w:ascii="Times New Roman" w:hAnsi="Times New Roman" w:cs="Times New Roman"/>
                <w:color w:val="000000"/>
                <w:sz w:val="24"/>
                <w:szCs w:val="24"/>
                <w:lang w:eastAsia="lt-LT"/>
              </w:rPr>
            </w:pPr>
            <w:r w:rsidRPr="00984B8E">
              <w:rPr>
                <w:rFonts w:ascii="Times New Roman" w:hAnsi="Times New Roman" w:cs="Times New Roman"/>
                <w:b/>
                <w:color w:val="000000"/>
                <w:sz w:val="24"/>
                <w:szCs w:val="24"/>
                <w:shd w:val="clear" w:color="auto" w:fill="DBE5F1"/>
                <w:lang w:eastAsia="lt-LT"/>
              </w:rPr>
              <w:t>Projekto rengėjas</w:t>
            </w:r>
          </w:p>
        </w:tc>
        <w:tc>
          <w:tcPr>
            <w:tcW w:w="7337" w:type="dxa"/>
            <w:shd w:val="clear" w:color="auto" w:fill="auto"/>
          </w:tcPr>
          <w:p w14:paraId="489DFF03" w14:textId="77777777" w:rsidR="00866C9C" w:rsidRPr="00984B8E" w:rsidRDefault="00866C9C" w:rsidP="00841C47">
            <w:pPr>
              <w:widowControl w:val="0"/>
              <w:autoSpaceDE w:val="0"/>
              <w:autoSpaceDN w:val="0"/>
              <w:adjustRightInd w:val="0"/>
              <w:ind w:firstLine="0"/>
              <w:jc w:val="both"/>
              <w:rPr>
                <w:rFonts w:ascii="Times New Roman" w:hAnsi="Times New Roman" w:cs="Times New Roman"/>
                <w:b/>
                <w:color w:val="000000"/>
                <w:sz w:val="24"/>
                <w:szCs w:val="24"/>
                <w:lang w:eastAsia="lt-LT"/>
              </w:rPr>
            </w:pPr>
            <w:r w:rsidRPr="00984B8E">
              <w:rPr>
                <w:rFonts w:ascii="Times New Roman" w:hAnsi="Times New Roman" w:cs="Times New Roman"/>
                <w:color w:val="000000"/>
                <w:sz w:val="24"/>
                <w:szCs w:val="24"/>
                <w:lang w:eastAsia="lt-LT"/>
              </w:rPr>
              <w:t>Lietuvos Respublikos teisingumo ministerija</w:t>
            </w:r>
          </w:p>
        </w:tc>
      </w:tr>
    </w:tbl>
    <w:p w14:paraId="5349C75F" w14:textId="77777777" w:rsidR="00866C9C" w:rsidRPr="00984B8E" w:rsidRDefault="00866C9C" w:rsidP="00866C9C">
      <w:pPr>
        <w:widowControl w:val="0"/>
        <w:autoSpaceDE w:val="0"/>
        <w:autoSpaceDN w:val="0"/>
        <w:adjustRightInd w:val="0"/>
        <w:rPr>
          <w:rFonts w:ascii="Times New Roman" w:hAnsi="Times New Roman" w:cs="Times New Roman"/>
          <w:color w:val="000000"/>
          <w:sz w:val="24"/>
          <w:szCs w:val="24"/>
          <w:lang w:eastAsia="lt-LT"/>
        </w:rPr>
      </w:pPr>
    </w:p>
    <w:tbl>
      <w:tblPr>
        <w:tblW w:w="9639" w:type="dxa"/>
        <w:tblLayout w:type="fixed"/>
        <w:tblCellMar>
          <w:left w:w="0" w:type="dxa"/>
          <w:right w:w="0" w:type="dxa"/>
        </w:tblCellMar>
        <w:tblLook w:val="00A0" w:firstRow="1" w:lastRow="0" w:firstColumn="1" w:lastColumn="0" w:noHBand="0" w:noVBand="0"/>
      </w:tblPr>
      <w:tblGrid>
        <w:gridCol w:w="2268"/>
        <w:gridCol w:w="7371"/>
      </w:tblGrid>
      <w:tr w:rsidR="00866C9C" w:rsidRPr="00984B8E" w14:paraId="070FC4C6" w14:textId="77777777" w:rsidTr="00841C47">
        <w:tc>
          <w:tcPr>
            <w:tcW w:w="2268" w:type="dxa"/>
            <w:shd w:val="clear" w:color="auto" w:fill="DBE5F1"/>
          </w:tcPr>
          <w:p w14:paraId="50727654" w14:textId="77777777" w:rsidR="00866C9C" w:rsidRPr="00984B8E" w:rsidRDefault="00866C9C" w:rsidP="00841C47">
            <w:pPr>
              <w:widowControl w:val="0"/>
              <w:autoSpaceDE w:val="0"/>
              <w:autoSpaceDN w:val="0"/>
              <w:adjustRightInd w:val="0"/>
              <w:ind w:firstLine="0"/>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Projekto tikslas</w:t>
            </w:r>
          </w:p>
        </w:tc>
        <w:tc>
          <w:tcPr>
            <w:tcW w:w="7371" w:type="dxa"/>
            <w:shd w:val="clear" w:color="auto" w:fill="auto"/>
          </w:tcPr>
          <w:p w14:paraId="52326728" w14:textId="77777777" w:rsidR="00866C9C" w:rsidRPr="00984B8E" w:rsidRDefault="00866C9C" w:rsidP="00841C47">
            <w:pPr>
              <w:widowControl w:val="0"/>
              <w:autoSpaceDE w:val="0"/>
              <w:autoSpaceDN w:val="0"/>
              <w:adjustRightInd w:val="0"/>
              <w:ind w:firstLine="0"/>
              <w:jc w:val="both"/>
              <w:rPr>
                <w:rFonts w:ascii="Times New Roman" w:hAnsi="Times New Roman" w:cs="Times New Roman"/>
                <w:color w:val="000000"/>
                <w:sz w:val="24"/>
                <w:szCs w:val="24"/>
              </w:rPr>
            </w:pPr>
            <w:r w:rsidRPr="00984B8E">
              <w:rPr>
                <w:rFonts w:ascii="Times New Roman" w:hAnsi="Times New Roman" w:cs="Times New Roman"/>
                <w:color w:val="000000"/>
                <w:sz w:val="24"/>
                <w:szCs w:val="24"/>
              </w:rPr>
              <w:t xml:space="preserve">Įstatymo pakeitimo projekto tikslas – į Lietuvos nacionalinę teisę perkelti 2019 m. spalio 23 d. Europos Parlamento ir Tarybos direktyvos (ES) 2019/1937 dėl asmenų, pranešančių apie Sąjungos teisės pažeidimus, apsaugos (toliau – Direktyva (ES) 2019/1937) nuostatas. </w:t>
            </w:r>
          </w:p>
          <w:p w14:paraId="72AC3FEC" w14:textId="77777777" w:rsidR="00866C9C" w:rsidRPr="00984B8E" w:rsidRDefault="00866C9C" w:rsidP="00841C47">
            <w:pPr>
              <w:pStyle w:val="Style32"/>
              <w:widowControl/>
              <w:tabs>
                <w:tab w:val="left" w:pos="1134"/>
              </w:tabs>
              <w:spacing w:line="240" w:lineRule="auto"/>
              <w:ind w:firstLine="0"/>
              <w:rPr>
                <w:color w:val="000000"/>
              </w:rPr>
            </w:pPr>
            <w:r w:rsidRPr="00984B8E">
              <w:rPr>
                <w:color w:val="000000"/>
              </w:rPr>
              <w:t>Įstatymo projektu siekiama ne tik įgyvendinti Direktyvą (ES) 2019/1937, bet ir išplėsti direktyvoje numatytus reikalavimus siekiant geresnės asmenų apsaugos. Direktyva (ES) 2019/1937 nustato bendrus minimalius standartus, kuriais užtikrinama, kad pranešėjai būtų veiksmingai apsaugoti, todėl šiuo įstatymo projektu nuspręsta išplėsti nacionalinių nuostatų taikymą, kad būtų užtikrinta išsami ir nuosekli pranešėjų apsaugos sistema nacionaliniu lygmeniu.</w:t>
            </w:r>
          </w:p>
          <w:p w14:paraId="551D2B22" w14:textId="77777777" w:rsidR="00866C9C" w:rsidRPr="00984B8E" w:rsidRDefault="00866C9C" w:rsidP="00841C47">
            <w:pPr>
              <w:pStyle w:val="Style32"/>
              <w:widowControl/>
              <w:tabs>
                <w:tab w:val="left" w:pos="1134"/>
              </w:tabs>
              <w:spacing w:line="240" w:lineRule="auto"/>
              <w:ind w:firstLine="0"/>
              <w:rPr>
                <w:color w:val="000000"/>
              </w:rPr>
            </w:pPr>
            <w:r w:rsidRPr="00984B8E">
              <w:rPr>
                <w:color w:val="000000"/>
              </w:rPr>
              <w:t>Perkeliant Direktyvos (ES) 2019/1937 nuostatas siekiama:</w:t>
            </w:r>
          </w:p>
          <w:p w14:paraId="5B0C8E7E"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Įtvirtinti naujas sąvokas ir jų apibrėžtis bei patikslinti esamų sąvokų apibrėžtis;</w:t>
            </w:r>
          </w:p>
          <w:p w14:paraId="0BC35B22"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Išplėsti pažeidimų, patenkančių į įstatymo reguliavimo sritį, sąrašą;</w:t>
            </w:r>
          </w:p>
          <w:p w14:paraId="608BD548"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Išplėsti asmenų, pateikiančių informaciją apie pažeidimus, teisę rinktis kur kreiptis ne tik nacionaliniu lygmeniu, bet įtraukiant ir Europos Sąjungos institucijas;</w:t>
            </w:r>
          </w:p>
          <w:p w14:paraId="6F821241"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Išplėsti subjektų, kuriems užtikrinama apsauga nuo neigiamo poveikio priemonių, ratą;</w:t>
            </w:r>
          </w:p>
          <w:p w14:paraId="6C03456A"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Išplėsti subjektų, kuriems užtikrinamas konfidencialumas, ratą;</w:t>
            </w:r>
          </w:p>
          <w:p w14:paraId="548AF2CF"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Išplėsti neigiamo poveikio priemonių sąrašą;</w:t>
            </w:r>
          </w:p>
          <w:p w14:paraId="7191E06A"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Įtvirtinti griežtesnę įstaigų pareigą reaguoti ir imtis tolimesnių veiksmų;</w:t>
            </w:r>
          </w:p>
          <w:p w14:paraId="045B2DF5"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Išplėsti informacijos apie pažeidimus teikimo galimybes;</w:t>
            </w:r>
          </w:p>
          <w:p w14:paraId="38FED5C3" w14:textId="77777777" w:rsidR="00866C9C" w:rsidRPr="00984B8E" w:rsidRDefault="00866C9C" w:rsidP="00866C9C">
            <w:pPr>
              <w:pStyle w:val="Style32"/>
              <w:widowControl/>
              <w:numPr>
                <w:ilvl w:val="0"/>
                <w:numId w:val="1"/>
              </w:numPr>
              <w:spacing w:line="240" w:lineRule="auto"/>
              <w:ind w:left="428"/>
              <w:rPr>
                <w:color w:val="000000"/>
              </w:rPr>
            </w:pPr>
            <w:r w:rsidRPr="00984B8E">
              <w:rPr>
                <w:color w:val="000000"/>
              </w:rPr>
              <w:t>Įtvirtinti nuostatas dėl informacijos apie pažeidimus saugojimo;</w:t>
            </w:r>
          </w:p>
          <w:p w14:paraId="235B77CD" w14:textId="77777777" w:rsidR="00866C9C" w:rsidRPr="00984B8E" w:rsidRDefault="00866C9C" w:rsidP="00866C9C">
            <w:pPr>
              <w:pStyle w:val="Style32"/>
              <w:widowControl/>
              <w:numPr>
                <w:ilvl w:val="0"/>
                <w:numId w:val="1"/>
              </w:numPr>
              <w:spacing w:line="240" w:lineRule="auto"/>
              <w:ind w:left="428" w:hanging="425"/>
              <w:rPr>
                <w:color w:val="000000"/>
              </w:rPr>
            </w:pPr>
            <w:r w:rsidRPr="00984B8E">
              <w:rPr>
                <w:color w:val="000000"/>
              </w:rPr>
              <w:t>Įstatymo projektu taip pat siekiama atlikti kitus reikiamus įstatymų nuostatas patikslinančius įstatymų pakeitimus.</w:t>
            </w:r>
          </w:p>
        </w:tc>
      </w:tr>
    </w:tbl>
    <w:p w14:paraId="02FC967B" w14:textId="77777777" w:rsidR="00866C9C" w:rsidRPr="00984B8E" w:rsidRDefault="00866C9C" w:rsidP="00866C9C">
      <w:pPr>
        <w:widowControl w:val="0"/>
        <w:autoSpaceDE w:val="0"/>
        <w:autoSpaceDN w:val="0"/>
        <w:adjustRightInd w:val="0"/>
        <w:rPr>
          <w:rFonts w:ascii="Times New Roman" w:hAnsi="Times New Roman" w:cs="Times New Roman"/>
          <w:color w:val="000000"/>
          <w:sz w:val="24"/>
          <w:szCs w:val="24"/>
          <w:lang w:eastAsia="lt-LT"/>
        </w:rPr>
      </w:pPr>
    </w:p>
    <w:tbl>
      <w:tblPr>
        <w:tblW w:w="9639" w:type="dxa"/>
        <w:tblLayout w:type="fixed"/>
        <w:tblCellMar>
          <w:left w:w="0" w:type="dxa"/>
          <w:right w:w="0" w:type="dxa"/>
        </w:tblCellMar>
        <w:tblLook w:val="00A0" w:firstRow="1" w:lastRow="0" w:firstColumn="1" w:lastColumn="0" w:noHBand="0" w:noVBand="0"/>
      </w:tblPr>
      <w:tblGrid>
        <w:gridCol w:w="2246"/>
        <w:gridCol w:w="7393"/>
      </w:tblGrid>
      <w:tr w:rsidR="00866C9C" w:rsidRPr="00984B8E" w14:paraId="240C7508" w14:textId="77777777" w:rsidTr="00841C47">
        <w:trPr>
          <w:trHeight w:val="415"/>
        </w:trPr>
        <w:tc>
          <w:tcPr>
            <w:tcW w:w="2164" w:type="dxa"/>
            <w:shd w:val="clear" w:color="auto" w:fill="DBE5F1"/>
          </w:tcPr>
          <w:p w14:paraId="2F25A927" w14:textId="77777777" w:rsidR="00866C9C" w:rsidRPr="00984B8E" w:rsidRDefault="00866C9C" w:rsidP="00841C47">
            <w:pPr>
              <w:widowControl w:val="0"/>
              <w:autoSpaceDE w:val="0"/>
              <w:autoSpaceDN w:val="0"/>
              <w:adjustRightInd w:val="0"/>
              <w:ind w:firstLine="0"/>
              <w:rPr>
                <w:rFonts w:ascii="Times New Roman" w:hAnsi="Times New Roman" w:cs="Times New Roman"/>
                <w:color w:val="000000"/>
                <w:sz w:val="24"/>
                <w:szCs w:val="24"/>
                <w:lang w:eastAsia="lt-LT"/>
              </w:rPr>
            </w:pPr>
          </w:p>
        </w:tc>
        <w:tc>
          <w:tcPr>
            <w:tcW w:w="7123" w:type="dxa"/>
            <w:shd w:val="clear" w:color="auto" w:fill="DBE5F1"/>
          </w:tcPr>
          <w:p w14:paraId="52D7070C" w14:textId="77777777" w:rsidR="00866C9C" w:rsidRPr="00984B8E" w:rsidRDefault="00866C9C" w:rsidP="00841C47">
            <w:pPr>
              <w:widowControl w:val="0"/>
              <w:autoSpaceDE w:val="0"/>
              <w:autoSpaceDN w:val="0"/>
              <w:adjustRightInd w:val="0"/>
              <w:ind w:firstLine="0"/>
              <w:jc w:val="center"/>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 xml:space="preserve">Siūlomo projekto poveikio įvertinimas </w:t>
            </w:r>
          </w:p>
          <w:p w14:paraId="1E364BF3" w14:textId="77777777" w:rsidR="00866C9C" w:rsidRPr="00984B8E" w:rsidRDefault="00866C9C" w:rsidP="00841C47">
            <w:pPr>
              <w:widowControl w:val="0"/>
              <w:autoSpaceDE w:val="0"/>
              <w:autoSpaceDN w:val="0"/>
              <w:adjustRightInd w:val="0"/>
              <w:ind w:firstLine="0"/>
              <w:jc w:val="center"/>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w:t>
            </w:r>
            <w:r w:rsidRPr="00984B8E">
              <w:rPr>
                <w:rFonts w:ascii="Times New Roman" w:hAnsi="Times New Roman" w:cs="Times New Roman"/>
                <w:b/>
                <w:bCs/>
                <w:color w:val="000000"/>
                <w:sz w:val="24"/>
                <w:szCs w:val="24"/>
                <w:lang w:eastAsia="lt-LT"/>
              </w:rPr>
              <w:t>teigiamos ir (ar) neigiamos pasekmės)*</w:t>
            </w:r>
          </w:p>
        </w:tc>
      </w:tr>
    </w:tbl>
    <w:p w14:paraId="0CF27FE3" w14:textId="77777777" w:rsidR="00866C9C" w:rsidRPr="00984B8E" w:rsidRDefault="00866C9C" w:rsidP="00866C9C">
      <w:pPr>
        <w:widowControl w:val="0"/>
        <w:autoSpaceDE w:val="0"/>
        <w:autoSpaceDN w:val="0"/>
        <w:adjustRightInd w:val="0"/>
        <w:rPr>
          <w:rFonts w:ascii="Times New Roman" w:hAnsi="Times New Roman" w:cs="Times New Roman"/>
          <w:color w:val="000000"/>
          <w:sz w:val="24"/>
          <w:szCs w:val="24"/>
          <w:lang w:eastAsia="lt-LT"/>
        </w:rPr>
      </w:pPr>
    </w:p>
    <w:tbl>
      <w:tblPr>
        <w:tblW w:w="9639" w:type="dxa"/>
        <w:tblLayout w:type="fixed"/>
        <w:tblCellMar>
          <w:left w:w="0" w:type="dxa"/>
          <w:right w:w="0" w:type="dxa"/>
        </w:tblCellMar>
        <w:tblLook w:val="00A0" w:firstRow="1" w:lastRow="0" w:firstColumn="1" w:lastColumn="0" w:noHBand="0" w:noVBand="0"/>
      </w:tblPr>
      <w:tblGrid>
        <w:gridCol w:w="2347"/>
        <w:gridCol w:w="7292"/>
      </w:tblGrid>
      <w:tr w:rsidR="00866C9C" w:rsidRPr="00984B8E" w14:paraId="61B2167F" w14:textId="77777777" w:rsidTr="00841C47">
        <w:tc>
          <w:tcPr>
            <w:tcW w:w="2235" w:type="dxa"/>
            <w:shd w:val="clear" w:color="auto" w:fill="DBE5F1"/>
          </w:tcPr>
          <w:p w14:paraId="4E20E1FC" w14:textId="77777777" w:rsidR="00866C9C" w:rsidRPr="00984B8E" w:rsidRDefault="00866C9C" w:rsidP="00841C47">
            <w:pPr>
              <w:widowControl w:val="0"/>
              <w:autoSpaceDE w:val="0"/>
              <w:autoSpaceDN w:val="0"/>
              <w:adjustRightInd w:val="0"/>
              <w:ind w:firstLine="0"/>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 xml:space="preserve">Poveikis atitinkamai </w:t>
            </w:r>
          </w:p>
          <w:p w14:paraId="5E8A5510" w14:textId="77777777" w:rsidR="00866C9C" w:rsidRPr="00984B8E" w:rsidRDefault="00866C9C" w:rsidP="00841C47">
            <w:pPr>
              <w:widowControl w:val="0"/>
              <w:autoSpaceDE w:val="0"/>
              <w:autoSpaceDN w:val="0"/>
              <w:adjustRightInd w:val="0"/>
              <w:ind w:firstLine="0"/>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sričiai</w:t>
            </w:r>
          </w:p>
        </w:tc>
        <w:tc>
          <w:tcPr>
            <w:tcW w:w="6945" w:type="dxa"/>
          </w:tcPr>
          <w:p w14:paraId="7BEE42D1" w14:textId="77777777" w:rsidR="00866C9C" w:rsidRPr="00984B8E" w:rsidRDefault="00866C9C" w:rsidP="00841C47">
            <w:pPr>
              <w:ind w:firstLine="772"/>
              <w:jc w:val="both"/>
              <w:rPr>
                <w:rFonts w:ascii="Times New Roman" w:hAnsi="Times New Roman" w:cs="Times New Roman"/>
                <w:color w:val="000000"/>
                <w:sz w:val="24"/>
                <w:szCs w:val="24"/>
                <w:lang w:eastAsia="lt-LT"/>
              </w:rPr>
            </w:pPr>
            <w:r w:rsidRPr="00984B8E">
              <w:rPr>
                <w:rFonts w:ascii="Times New Roman" w:hAnsi="Times New Roman" w:cs="Times New Roman"/>
                <w:color w:val="000000"/>
                <w:sz w:val="24"/>
                <w:szCs w:val="24"/>
                <w:lang w:eastAsia="lt-LT"/>
              </w:rPr>
              <w:t>Numatomas reguliavimas užtikrins kokybišką teisinių santykių sritį – pranešėjų apsaugą</w:t>
            </w:r>
            <w:r w:rsidRPr="00984B8E">
              <w:rPr>
                <w:rFonts w:ascii="Times New Roman" w:hAnsi="Times New Roman" w:cs="Times New Roman"/>
                <w:caps/>
                <w:color w:val="000000"/>
                <w:sz w:val="24"/>
                <w:szCs w:val="24"/>
                <w:lang w:eastAsia="lt-LT"/>
              </w:rPr>
              <w:t xml:space="preserve">. </w:t>
            </w:r>
            <w:r w:rsidRPr="00984B8E">
              <w:rPr>
                <w:rFonts w:ascii="Times New Roman" w:hAnsi="Times New Roman" w:cs="Times New Roman"/>
                <w:color w:val="000000"/>
                <w:sz w:val="24"/>
                <w:szCs w:val="24"/>
              </w:rPr>
              <w:t xml:space="preserve">Įstatymo projektas pateikiamas nauja redakcija, </w:t>
            </w:r>
            <w:r w:rsidRPr="00984B8E">
              <w:rPr>
                <w:rFonts w:ascii="Times New Roman" w:hAnsi="Times New Roman" w:cs="Times New Roman"/>
                <w:color w:val="000000"/>
                <w:sz w:val="24"/>
                <w:szCs w:val="24"/>
                <w:lang w:eastAsia="lt-LT"/>
              </w:rPr>
              <w:t>planuojami esminiai pakeitimai pranešėjų apsaugos srityje remiantis Direktyva (ES) 2019/1937.</w:t>
            </w:r>
          </w:p>
          <w:p w14:paraId="7E863D5D" w14:textId="3A5BB73A" w:rsidR="00866C9C" w:rsidRPr="00984B8E" w:rsidRDefault="00866C9C" w:rsidP="00841C47">
            <w:pPr>
              <w:widowControl w:val="0"/>
              <w:autoSpaceDE w:val="0"/>
              <w:autoSpaceDN w:val="0"/>
              <w:adjustRightInd w:val="0"/>
              <w:ind w:firstLine="772"/>
              <w:jc w:val="both"/>
              <w:rPr>
                <w:rFonts w:ascii="Times New Roman" w:hAnsi="Times New Roman" w:cs="Times New Roman"/>
                <w:color w:val="000000"/>
                <w:sz w:val="24"/>
                <w:szCs w:val="24"/>
                <w:lang w:eastAsia="lt-LT"/>
              </w:rPr>
            </w:pPr>
            <w:r w:rsidRPr="00984B8E">
              <w:rPr>
                <w:rFonts w:ascii="Times New Roman" w:hAnsi="Times New Roman" w:cs="Times New Roman"/>
                <w:color w:val="000000"/>
                <w:sz w:val="24"/>
                <w:szCs w:val="24"/>
                <w:lang w:eastAsia="lt-LT"/>
              </w:rPr>
              <w:t xml:space="preserve">Kalbant apie gyventojų pilietiškumo ir antikorupcinio aktyvumo skatinimą, vienas efektyviausių būdų prisidėti prie korupcijos užkardymo – pranešti apie korupcijos apraiškas. </w:t>
            </w:r>
            <w:r w:rsidRPr="00984B8E">
              <w:rPr>
                <w:rFonts w:ascii="Times New Roman" w:hAnsi="Times New Roman" w:cs="Times New Roman"/>
                <w:color w:val="000000"/>
                <w:sz w:val="24"/>
                <w:szCs w:val="24"/>
                <w:shd w:val="clear" w:color="auto" w:fill="FFFFFF"/>
              </w:rPr>
              <w:t xml:space="preserve">Pranešėjų apsauga yra būtina siekiant gerinti viešuosius pirkimus, užkirsti kelią su viešaisiais pirkimais susijusiam sukčiavimui ir korupcijai. Pranešėjų apsauga </w:t>
            </w:r>
            <w:r w:rsidR="002D264A">
              <w:rPr>
                <w:rFonts w:ascii="Times New Roman" w:hAnsi="Times New Roman" w:cs="Times New Roman"/>
                <w:color w:val="000000"/>
                <w:sz w:val="24"/>
                <w:szCs w:val="24"/>
                <w:shd w:val="clear" w:color="auto" w:fill="FFFFFF"/>
              </w:rPr>
              <w:t>taip pa</w:t>
            </w:r>
            <w:r w:rsidR="00B16272">
              <w:rPr>
                <w:rFonts w:ascii="Times New Roman" w:hAnsi="Times New Roman" w:cs="Times New Roman"/>
                <w:color w:val="000000"/>
                <w:sz w:val="24"/>
                <w:szCs w:val="24"/>
                <w:shd w:val="clear" w:color="auto" w:fill="FFFFFF"/>
              </w:rPr>
              <w:t>t</w:t>
            </w:r>
            <w:r w:rsidR="002D264A">
              <w:rPr>
                <w:rFonts w:ascii="Times New Roman" w:hAnsi="Times New Roman" w:cs="Times New Roman"/>
                <w:color w:val="000000"/>
                <w:sz w:val="24"/>
                <w:szCs w:val="24"/>
                <w:shd w:val="clear" w:color="auto" w:fill="FFFFFF"/>
              </w:rPr>
              <w:t xml:space="preserve"> </w:t>
            </w:r>
            <w:r w:rsidRPr="00984B8E">
              <w:rPr>
                <w:rFonts w:ascii="Times New Roman" w:hAnsi="Times New Roman" w:cs="Times New Roman"/>
                <w:color w:val="000000"/>
                <w:sz w:val="24"/>
                <w:szCs w:val="24"/>
                <w:shd w:val="clear" w:color="auto" w:fill="FFFFFF"/>
              </w:rPr>
              <w:t>yra svarbi ir finansinių paslaugų srityje, užkertant kelią transporto saugą reglamentuojančių taisyklių pažeidimams, kurie gali kelti pavojų žmonių gyvyb</w:t>
            </w:r>
            <w:r w:rsidR="002D264A">
              <w:rPr>
                <w:rFonts w:ascii="Times New Roman" w:hAnsi="Times New Roman" w:cs="Times New Roman"/>
                <w:color w:val="000000"/>
                <w:sz w:val="24"/>
                <w:szCs w:val="24"/>
                <w:shd w:val="clear" w:color="auto" w:fill="FFFFFF"/>
              </w:rPr>
              <w:t>ei</w:t>
            </w:r>
            <w:r w:rsidRPr="00984B8E">
              <w:rPr>
                <w:rFonts w:ascii="Times New Roman" w:hAnsi="Times New Roman" w:cs="Times New Roman"/>
                <w:color w:val="000000"/>
                <w:sz w:val="24"/>
                <w:szCs w:val="24"/>
                <w:shd w:val="clear" w:color="auto" w:fill="FFFFFF"/>
              </w:rPr>
              <w:t xml:space="preserve">, ir nuo jų atgraso, aviacijos saugos, aplinkos apsaugos srityje, nusikaltimų aplinkai ir neteisėto elgesio prevencijoje, pranešėjų apsaugos stiprinimu taip pat prisidedama užkertant kelią Europos atominės energijos bendrijos taisyklių </w:t>
            </w:r>
            <w:r w:rsidRPr="00984B8E">
              <w:rPr>
                <w:rFonts w:ascii="Times New Roman" w:hAnsi="Times New Roman" w:cs="Times New Roman"/>
                <w:color w:val="000000"/>
                <w:sz w:val="24"/>
                <w:szCs w:val="24"/>
                <w:shd w:val="clear" w:color="auto" w:fill="FFFFFF"/>
              </w:rPr>
              <w:lastRenderedPageBreak/>
              <w:t>dėl branduolinės saugos, radiacinės saugos ir panaudoto kuro bei radioaktyviųjų atliekų atsakingo ir saugaus tvarkymo pažeidimams ir nuo jų atgrasant. Pranešėjų apsaugos sistemos nustatymas taip pat prisidėtų stiprinant galiojančių nuostatų vykdymo užtikrinimą ir užkirstų kelią maisto grandinės srityje galiojančių taisyklių, visų pirma susijusių su maisto ir pašarų sauga ir gyvūnų sveikata, apsauga ir gerove, pažeidimams. Pranešėjų teikiami pranešimai gali būti labai svarbūs nustatant  taisyklių pažeidim</w:t>
            </w:r>
            <w:r w:rsidR="0076590F">
              <w:rPr>
                <w:rFonts w:ascii="Times New Roman" w:hAnsi="Times New Roman" w:cs="Times New Roman"/>
                <w:color w:val="000000"/>
                <w:sz w:val="24"/>
                <w:szCs w:val="24"/>
                <w:shd w:val="clear" w:color="auto" w:fill="FFFFFF"/>
              </w:rPr>
              <w:t>us</w:t>
            </w:r>
            <w:r w:rsidRPr="00984B8E">
              <w:rPr>
                <w:rFonts w:ascii="Times New Roman" w:hAnsi="Times New Roman" w:cs="Times New Roman"/>
                <w:color w:val="000000"/>
                <w:sz w:val="24"/>
                <w:szCs w:val="24"/>
                <w:shd w:val="clear" w:color="auto" w:fill="FFFFFF"/>
              </w:rPr>
              <w:t>, kurie kitaip liktų neatskleisti, kylančią riziką visuomenės sveikatai ir vartotojų apsaugai, užkertant jai kelią, ją mažinant ar šalinant. Vartotojų apsauga taip pat yra glaudžiai susijusi su atvejais, kai nesaugūs produktai gali padaryti didelę žalą vartotojams; privatumo gerbimas ir asmens duomenų apsauga, kurie yra įtvirtinti Europos Sąjungos pagrindinių teisių chartijos 7 ir 8 straipsniuose kaip pagrindinės teisės, yra kitos sritys, kuriose pranešėjai gali padėti atskleisti pažeidimus, dėl kurių gali būti daroma žala viešajam interesui.  Pranešėjų apsauga siekiant sustiprinti konkurencijos teisės, įskaitant valstybės pagalbos sritį, vykdymo užtikrinimą padėtų apsaugoti veiksmingą rinkų veikimą, sudaryti vienodas sąlygas verslui ir užtikrinti naudą vartotojams. Pelno mokesčio teisės pažeidimai ir susitarimai, kuriais siekiama įgyti mokestinę naudą ir išvengti teisinių prievolių, taip pakenkiant taikytinos pelno mokesčio teisės dalykui ar tikslui, daro neigiamą poveikį tinkamam vidaus rinkos veikimui. Tokie pažeidimai ir susitarimai gali lemti nesąžiningą mokesčių konkurenciją ir plataus masto mokesčių slėpimą, dėl kurio iškraipomos vienodos veiklos sąlygos verslui, o valstybės biudžetas praranda mokestines pajamas. </w:t>
            </w:r>
          </w:p>
          <w:p w14:paraId="7EED1949" w14:textId="173986A3" w:rsidR="00866C9C" w:rsidRPr="00984B8E" w:rsidRDefault="00866C9C" w:rsidP="00841C47">
            <w:pPr>
              <w:ind w:firstLine="772"/>
              <w:jc w:val="both"/>
              <w:rPr>
                <w:rFonts w:ascii="Times New Roman" w:hAnsi="Times New Roman" w:cs="Times New Roman"/>
                <w:color w:val="000000"/>
                <w:sz w:val="24"/>
                <w:szCs w:val="24"/>
                <w:shd w:val="clear" w:color="auto" w:fill="FFFFFF"/>
              </w:rPr>
            </w:pPr>
            <w:r w:rsidRPr="00984B8E">
              <w:rPr>
                <w:rFonts w:ascii="Times New Roman" w:hAnsi="Times New Roman" w:cs="Times New Roman"/>
                <w:color w:val="000000"/>
                <w:sz w:val="24"/>
                <w:szCs w:val="24"/>
                <w:lang w:eastAsia="lt-LT"/>
              </w:rPr>
              <w:t xml:space="preserve">Įgyvendinus Direktyvą (ES) 2019/1937 tikimasi paskatinti asmenis teikti informaciją apie pažeidimą nepriklausomai </w:t>
            </w:r>
            <w:r w:rsidRPr="00984B8E">
              <w:rPr>
                <w:rFonts w:ascii="Times New Roman" w:hAnsi="Times New Roman" w:cs="Times New Roman"/>
                <w:color w:val="000000"/>
                <w:sz w:val="24"/>
                <w:szCs w:val="24"/>
                <w:shd w:val="clear" w:color="auto" w:fill="FFFFFF"/>
              </w:rPr>
              <w:t> ar vykdydami su savo darbu susijusią veiklą, nepaisant tos veiklos pobūdžio ir to, ar ji yra apmokama, ar ne, turi išskirtinę prieigą prie informacijos apie pažeidimus ir pranešimas apie tokius pažeidimus atitiktų viešąjį interesą ir kurie, jei pateiktų pranešimą, gali sulaukti atsakomųjų veiksmų. Priėmus įstatymo projektą tikimasi, kad informaciją apie pažeidimą pateikiantie</w:t>
            </w:r>
            <w:r w:rsidR="002D264A">
              <w:rPr>
                <w:rFonts w:ascii="Times New Roman" w:hAnsi="Times New Roman" w:cs="Times New Roman"/>
                <w:color w:val="000000"/>
                <w:sz w:val="24"/>
                <w:szCs w:val="24"/>
                <w:shd w:val="clear" w:color="auto" w:fill="FFFFFF"/>
              </w:rPr>
              <w:t>m</w:t>
            </w:r>
            <w:r w:rsidRPr="00984B8E">
              <w:rPr>
                <w:rFonts w:ascii="Times New Roman" w:hAnsi="Times New Roman" w:cs="Times New Roman"/>
                <w:color w:val="000000"/>
                <w:sz w:val="24"/>
                <w:szCs w:val="24"/>
                <w:shd w:val="clear" w:color="auto" w:fill="FFFFFF"/>
              </w:rPr>
              <w:t xml:space="preserve">s asmenims bus užtikrinta konkreti teisinė apsauga reikalinga tais atvejais, kai informaciją, kurią praneša, jie sužino vykdydami su savo darbu susijusią veiklą, todėl jiems kyla rizika sulaukti su darbu susijusių atsakomųjų veiksmų. Pagrindinė priežastis, dėl kurios tokiems asmenims reikia suteikti apsaugą, yra jų ekonominis pažeidžiamumas asmens, kuriam jie </w:t>
            </w:r>
            <w:r w:rsidRPr="00984B8E">
              <w:rPr>
                <w:rFonts w:ascii="Times New Roman" w:hAnsi="Times New Roman" w:cs="Times New Roman"/>
                <w:i/>
                <w:color w:val="000000"/>
                <w:sz w:val="24"/>
                <w:szCs w:val="24"/>
                <w:shd w:val="clear" w:color="auto" w:fill="FFFFFF"/>
              </w:rPr>
              <w:t>de facto</w:t>
            </w:r>
            <w:r w:rsidRPr="00984B8E">
              <w:rPr>
                <w:rFonts w:ascii="Times New Roman" w:hAnsi="Times New Roman" w:cs="Times New Roman"/>
                <w:color w:val="000000"/>
                <w:sz w:val="24"/>
                <w:szCs w:val="24"/>
                <w:shd w:val="clear" w:color="auto" w:fill="FFFFFF"/>
              </w:rPr>
              <w:t xml:space="preserve"> dirba, atžvilgiu. </w:t>
            </w:r>
            <w:r w:rsidRPr="00984B8E">
              <w:rPr>
                <w:rFonts w:ascii="Times New Roman" w:hAnsi="Times New Roman" w:cs="Times New Roman"/>
                <w:color w:val="000000"/>
                <w:sz w:val="24"/>
                <w:szCs w:val="24"/>
                <w:lang w:eastAsia="lt-LT"/>
              </w:rPr>
              <w:t xml:space="preserve">Tikimasi, kad siūlomi įtvirtinti mechanizmai duos ilgalaikį teigiamą efektą, nes bus patobulinta pranešėjų apsaugos sistema, asmenys nebijos ir vis dažniau naudodamiesi vidiniais kanalais praneš apie įstaigose daromus pažeidimus. </w:t>
            </w:r>
            <w:r w:rsidRPr="00536C09">
              <w:rPr>
                <w:rFonts w:ascii="Times New Roman" w:hAnsi="Times New Roman" w:cs="Times New Roman"/>
                <w:color w:val="000000"/>
                <w:sz w:val="24"/>
                <w:szCs w:val="24"/>
                <w:lang w:eastAsia="lt-LT"/>
              </w:rPr>
              <w:t>Jei potencialūs pranešėjai bus tinkamai informuoti apie pranešėjų apsaugos teisinį reguliavimą ir patikės jų veiksmingumu, viešajame ir privačiame sektoriuose galėtų reikšmingai sumažėti įvairių pažeidimų, kuriais pažeidžiamas viešasis interesas ar keliama jam grėsmė, lygis, kas leistų ne tik išvengti pvz. netinkamo valstybės turto panaudojimo bei biudžeto lėšų švaistymo, kartelinių susitarimų, mokestinio sukčiavimo, bet ir neabejotinai padidintų investicinį mūsų šalies patrauklumą (ekonomikos augimą bei mokesčių surinkimą, t. y. sąlygotų didesnes nacionalinio biudžeto pajamas).</w:t>
            </w:r>
          </w:p>
          <w:p w14:paraId="68EFF323" w14:textId="3EAA5D51" w:rsidR="00866C9C" w:rsidRPr="00984B8E" w:rsidRDefault="00866C9C" w:rsidP="00841C47">
            <w:pPr>
              <w:ind w:firstLine="709"/>
              <w:jc w:val="both"/>
              <w:rPr>
                <w:rFonts w:ascii="Times New Roman" w:hAnsi="Times New Roman" w:cs="Times New Roman"/>
                <w:color w:val="000000"/>
                <w:sz w:val="24"/>
                <w:szCs w:val="24"/>
                <w:lang w:eastAsia="lt-LT"/>
              </w:rPr>
            </w:pPr>
            <w:r w:rsidRPr="00984B8E">
              <w:rPr>
                <w:rFonts w:ascii="Times New Roman" w:hAnsi="Times New Roman" w:cs="Times New Roman"/>
                <w:color w:val="000000"/>
                <w:sz w:val="24"/>
                <w:szCs w:val="24"/>
                <w:lang w:eastAsia="lt-LT"/>
              </w:rPr>
              <w:t>Subjektų, kuriuos paveiks numatomo teisinio reguliavimo įgyvendinimas</w:t>
            </w:r>
            <w:r w:rsidR="0076590F">
              <w:rPr>
                <w:rFonts w:ascii="Times New Roman" w:hAnsi="Times New Roman" w:cs="Times New Roman"/>
                <w:color w:val="000000"/>
                <w:sz w:val="24"/>
                <w:szCs w:val="24"/>
                <w:lang w:eastAsia="lt-LT"/>
              </w:rPr>
              <w:t>, ratas</w:t>
            </w:r>
            <w:r w:rsidRPr="00984B8E">
              <w:rPr>
                <w:rFonts w:ascii="Times New Roman" w:hAnsi="Times New Roman" w:cs="Times New Roman"/>
                <w:color w:val="000000"/>
                <w:sz w:val="24"/>
                <w:szCs w:val="24"/>
                <w:lang w:eastAsia="lt-LT"/>
              </w:rPr>
              <w:t xml:space="preserve"> yra labai platus. Visų pirma, </w:t>
            </w:r>
            <w:r w:rsidRPr="00984B8E">
              <w:rPr>
                <w:rFonts w:ascii="Times New Roman" w:hAnsi="Times New Roman" w:cs="Times New Roman"/>
                <w:color w:val="000000"/>
                <w:sz w:val="24"/>
                <w:szCs w:val="24"/>
              </w:rPr>
              <w:t xml:space="preserve">norint užtikrinti veiksmingą pranešėjų apsaugos užtikrinimą, apsauga turėtų būti suteikiama pačioms plačiausioms asmenų kategorijoms, kurie, nepaisant to, ar jie yra </w:t>
            </w:r>
            <w:r w:rsidRPr="00984B8E">
              <w:rPr>
                <w:rFonts w:ascii="Times New Roman" w:hAnsi="Times New Roman" w:cs="Times New Roman"/>
                <w:color w:val="000000"/>
                <w:sz w:val="24"/>
                <w:szCs w:val="24"/>
              </w:rPr>
              <w:lastRenderedPageBreak/>
              <w:t xml:space="preserve">valstybės, ar </w:t>
            </w:r>
            <w:r w:rsidR="002701E3">
              <w:rPr>
                <w:rFonts w:ascii="Times New Roman" w:hAnsi="Times New Roman" w:cs="Times New Roman"/>
                <w:color w:val="000000"/>
                <w:sz w:val="24"/>
                <w:szCs w:val="24"/>
              </w:rPr>
              <w:t xml:space="preserve">kitų </w:t>
            </w:r>
            <w:r w:rsidRPr="00984B8E">
              <w:rPr>
                <w:rFonts w:ascii="Times New Roman" w:hAnsi="Times New Roman" w:cs="Times New Roman"/>
                <w:color w:val="000000"/>
                <w:sz w:val="24"/>
                <w:szCs w:val="24"/>
              </w:rPr>
              <w:t xml:space="preserve">šalių piliečiai, vykdydami su savo darbu susijusią veiklą, nepaisant tos veiklos pobūdžio ir to, ar ji yra apmokama, ar ne, turi išskirtinę prieigą prie informacijos apie pažeidimus ir pranešimas apie tokius pažeidimus atitiktų viešąjį interesą ir kurie, jei pateiktų pranešimą, gali sulaukti atsakomųjų veiksmų. </w:t>
            </w:r>
            <w:r w:rsidRPr="00984B8E">
              <w:rPr>
                <w:rFonts w:ascii="Times New Roman" w:hAnsi="Times New Roman" w:cs="Times New Roman"/>
                <w:color w:val="000000"/>
                <w:sz w:val="24"/>
                <w:szCs w:val="24"/>
                <w:shd w:val="clear" w:color="auto" w:fill="FFFFFF"/>
              </w:rPr>
              <w:t xml:space="preserve">Tokios asmenų kategorijos, kurios apima paslaugas teikiančius savarankiškai dirbančius asmenis, laisvai samdomus asmenis, rangovus, subrangovus ir paslaugų teikėjus, paprastai sulaukia atsakomųjų veiksmų, kurie gali pasireikšti, pavyzdžiui, paslaugų teikimo sutarties, licencijos ar leidimo galiojimo nutraukimu prieš terminą ar atšaukimu, verslo ar pajamų praradimu, prievarta, grasinimais ar priekabiavimu, įtraukimu į juoduosius sąrašus arba verslo boikotu ar žala jų reputacijai. Akcininkai ir valdymo organuose dalyvaujantys asmenys taip pat gali sulaukti atsakomųjų veiksmų, pavyzdžiui, finansinio pobūdžio arba grasinimų ar priekabiavimo, įtraukimo į juoduosius sąrašus arba žalos jų reputacijai forma. Apsauga taip pat suteikiama asmenims, kurių darbo santykiai baigėsi, ir į darbo vietą kandidatuojantiems asmenims arba asmenims, siekiantiems teikti paslaugas organizacijai, kurie įdarbinimo proceso metu arba kitų </w:t>
            </w:r>
            <w:proofErr w:type="spellStart"/>
            <w:r w:rsidRPr="00984B8E">
              <w:rPr>
                <w:rFonts w:ascii="Times New Roman" w:hAnsi="Times New Roman" w:cs="Times New Roman"/>
                <w:color w:val="000000"/>
                <w:sz w:val="24"/>
                <w:szCs w:val="24"/>
                <w:shd w:val="clear" w:color="auto" w:fill="FFFFFF"/>
              </w:rPr>
              <w:t>ikisutartinių</w:t>
            </w:r>
            <w:proofErr w:type="spellEnd"/>
            <w:r w:rsidRPr="00984B8E">
              <w:rPr>
                <w:rFonts w:ascii="Times New Roman" w:hAnsi="Times New Roman" w:cs="Times New Roman"/>
                <w:color w:val="000000"/>
                <w:sz w:val="24"/>
                <w:szCs w:val="24"/>
                <w:shd w:val="clear" w:color="auto" w:fill="FFFFFF"/>
              </w:rPr>
              <w:t xml:space="preserve"> derybų metu sužino apie pažeidimus ir galėtų sulaukti atsakomųjų veiksmų, pavyzdžiui, neigiamo atsiliepimo apie darbuotoją, įtraukimo į juoduosius sąrašus arba verslo boikoto forma. Veiksminga pranešėjų apsauga taip pat reiškia tų kategorijų asmenų, kurie, nors ekonomiškai nėra priklausomi nuo su savo darbu susijusios veiklos, vis tiek gali sulaukti atsakomųjų veiksmų dėl pranešimų apie pažeidimus, apsaugą. Atsakomieji veiksmai prieš savanorius ir apmokamus arba neapmokamus stažuotojus galėtų pasireikšti tuo, kad nebesinaudojama jų paslaugomis, </w:t>
            </w:r>
            <w:r w:rsidR="002701E3">
              <w:rPr>
                <w:rFonts w:ascii="Times New Roman" w:hAnsi="Times New Roman" w:cs="Times New Roman"/>
                <w:color w:val="000000"/>
                <w:sz w:val="24"/>
                <w:szCs w:val="24"/>
                <w:shd w:val="clear" w:color="auto" w:fill="FFFFFF"/>
              </w:rPr>
              <w:t>apie juos</w:t>
            </w:r>
            <w:r w:rsidR="002701E3" w:rsidRPr="00984B8E">
              <w:rPr>
                <w:rFonts w:ascii="Times New Roman" w:hAnsi="Times New Roman" w:cs="Times New Roman"/>
                <w:color w:val="000000"/>
                <w:sz w:val="24"/>
                <w:szCs w:val="24"/>
                <w:shd w:val="clear" w:color="auto" w:fill="FFFFFF"/>
              </w:rPr>
              <w:t xml:space="preserve"> </w:t>
            </w:r>
            <w:r w:rsidRPr="00984B8E">
              <w:rPr>
                <w:rFonts w:ascii="Times New Roman" w:hAnsi="Times New Roman" w:cs="Times New Roman"/>
                <w:color w:val="000000"/>
                <w:sz w:val="24"/>
                <w:szCs w:val="24"/>
                <w:shd w:val="clear" w:color="auto" w:fill="FFFFFF"/>
              </w:rPr>
              <w:t>pateikiami neigiami atsiliepimai apie darbuotoją arba kitaip pakenkiama jų reputacijai arba karjeros galimybėms; užtikrinti apsaugą nuo atsakomųjų priemonių, kurių imamasi ne tik tiesiogiai prieš pačius pranešimų teikėjus, bet ir tų, kurių gali būti imamasi netiesiogiai prieš pranešimo teikėjo tarpininkus, bendradarbius ar giminaičius, kurie taip pat yra darbo ryšiais susiję su pranešimo teikėjo darbdaviu arba klientu ar paslaugų gavėju.</w:t>
            </w:r>
          </w:p>
          <w:p w14:paraId="584F7C07" w14:textId="05C8F484" w:rsidR="00866C9C" w:rsidRPr="00984B8E" w:rsidRDefault="00866C9C" w:rsidP="00841C47">
            <w:pPr>
              <w:pStyle w:val="prastasis1"/>
              <w:spacing w:before="0" w:beforeAutospacing="0" w:after="0" w:afterAutospacing="0"/>
              <w:ind w:firstLine="772"/>
              <w:jc w:val="both"/>
              <w:rPr>
                <w:color w:val="000000"/>
              </w:rPr>
            </w:pPr>
            <w:r w:rsidRPr="00984B8E">
              <w:rPr>
                <w:color w:val="000000"/>
              </w:rPr>
              <w:t>Pažymėtina, kad numatomas įstatymo projekto teisinis reguliavimas paveiks tiek viešojo, tiek privačiojo sektoriaus juridinius subjektus. Įstatymo projektu išpl</w:t>
            </w:r>
            <w:r w:rsidR="002D264A">
              <w:rPr>
                <w:color w:val="000000"/>
              </w:rPr>
              <w:t>e</w:t>
            </w:r>
            <w:r w:rsidRPr="00984B8E">
              <w:rPr>
                <w:color w:val="000000"/>
              </w:rPr>
              <w:t>čiamas neigiamo poveikio priemonių sąrašas, taip pat numatomas įpareigojimas pašalinti kilusias neigiamo poveikio veiksmų pasekmes, įstaigos įpareigojamos saugoti pranešimus, bei nustatomi terminai pranešimo gavimo, nagrinėjimo (grį</w:t>
            </w:r>
            <w:r w:rsidR="002D264A">
              <w:rPr>
                <w:color w:val="000000"/>
              </w:rPr>
              <w:t>ž</w:t>
            </w:r>
            <w:r w:rsidRPr="00984B8E">
              <w:rPr>
                <w:color w:val="000000"/>
              </w:rPr>
              <w:t>tamojo ryšio), sprendimų dėl pranešėjo statuso suteikimo ar informacijos persiuntimo kompetentingai institucijai bei kt. terminai.</w:t>
            </w:r>
          </w:p>
          <w:p w14:paraId="7C55EB1C" w14:textId="09592FC4" w:rsidR="00866C9C" w:rsidRPr="00984B8E" w:rsidRDefault="00866C9C" w:rsidP="00841C47">
            <w:pPr>
              <w:ind w:firstLine="772"/>
              <w:jc w:val="both"/>
              <w:rPr>
                <w:rFonts w:ascii="Times New Roman" w:hAnsi="Times New Roman" w:cs="Times New Roman"/>
                <w:color w:val="000000"/>
                <w:sz w:val="24"/>
                <w:szCs w:val="24"/>
              </w:rPr>
            </w:pPr>
            <w:r w:rsidRPr="00984B8E">
              <w:rPr>
                <w:rFonts w:ascii="Times New Roman" w:hAnsi="Times New Roman" w:cs="Times New Roman"/>
                <w:color w:val="000000"/>
                <w:sz w:val="24"/>
                <w:szCs w:val="24"/>
              </w:rPr>
              <w:t>Įstatymo projektui įgyvendinimui nenumatoma didelių administracinių, finansinių ar organizacinių išteklių ar priemonių, kadangi pranešėjų apsaugos mechanizmas įtvirtintas dar 2017 m., todėl visos priemonės jau įgyvendintos prieš įsigaliojant Praneš</w:t>
            </w:r>
            <w:r w:rsidR="002D264A">
              <w:rPr>
                <w:rFonts w:ascii="Times New Roman" w:hAnsi="Times New Roman" w:cs="Times New Roman"/>
                <w:color w:val="000000"/>
                <w:sz w:val="24"/>
                <w:szCs w:val="24"/>
              </w:rPr>
              <w:t>ė</w:t>
            </w:r>
            <w:r w:rsidRPr="00984B8E">
              <w:rPr>
                <w:rFonts w:ascii="Times New Roman" w:hAnsi="Times New Roman" w:cs="Times New Roman"/>
                <w:color w:val="000000"/>
                <w:sz w:val="24"/>
                <w:szCs w:val="24"/>
              </w:rPr>
              <w:t>jų apsaugos įsta</w:t>
            </w:r>
            <w:r w:rsidR="002D264A">
              <w:rPr>
                <w:rFonts w:ascii="Times New Roman" w:hAnsi="Times New Roman" w:cs="Times New Roman"/>
                <w:color w:val="000000"/>
                <w:sz w:val="24"/>
                <w:szCs w:val="24"/>
              </w:rPr>
              <w:t>t</w:t>
            </w:r>
            <w:r w:rsidRPr="00984B8E">
              <w:rPr>
                <w:rFonts w:ascii="Times New Roman" w:hAnsi="Times New Roman" w:cs="Times New Roman"/>
                <w:color w:val="000000"/>
                <w:sz w:val="24"/>
                <w:szCs w:val="24"/>
              </w:rPr>
              <w:t xml:space="preserve">ymui. Paminėtina, kad </w:t>
            </w:r>
            <w:r w:rsidRPr="00984B8E">
              <w:rPr>
                <w:rFonts w:ascii="Times New Roman" w:hAnsi="Times New Roman" w:cs="Times New Roman"/>
                <w:color w:val="000000"/>
                <w:sz w:val="24"/>
                <w:szCs w:val="24"/>
                <w:shd w:val="clear" w:color="auto" w:fill="FFFFFF"/>
              </w:rPr>
              <w:t xml:space="preserve">vidaus pranešimų teikimo procedūros turėtų būti tokios, kad tiek viešojo, tiek privačiojo sektoriaus juridiniai subjektai galėtų priimti ir visiškai konfidencialiai ištirti savo darbuotojų ar susijusių įmonių/įstaigų  darbuotojų teikiamus pranešimus, taip pat, kiek tai įmanoma, pranešimus, kuriuos pateikia grupės atstovai bei tiekėjai ir bet kurie asmenys, kurie informaciją sužino, nes vykdydami su savo darbu susijusią veiklą turi ryšių su tuo subjektu. </w:t>
            </w:r>
            <w:r w:rsidRPr="00984B8E">
              <w:rPr>
                <w:rFonts w:ascii="Times New Roman" w:hAnsi="Times New Roman" w:cs="Times New Roman"/>
                <w:color w:val="000000"/>
                <w:sz w:val="24"/>
                <w:szCs w:val="24"/>
              </w:rPr>
              <w:t xml:space="preserve">Įstatymo įgyvendinimui nenumatoma papildomų finansinių </w:t>
            </w:r>
            <w:r w:rsidRPr="00984B8E">
              <w:rPr>
                <w:rFonts w:ascii="Times New Roman" w:hAnsi="Times New Roman" w:cs="Times New Roman"/>
                <w:color w:val="000000"/>
                <w:sz w:val="24"/>
                <w:szCs w:val="24"/>
              </w:rPr>
              <w:lastRenderedPageBreak/>
              <w:t xml:space="preserve">išteklių, tačiau jas prognozuoti neįsigaliojus PAĮ projektui ir nepradėjus jo taikyti yra sudėtinga. </w:t>
            </w:r>
          </w:p>
          <w:p w14:paraId="072997D2" w14:textId="77777777" w:rsidR="00866C9C" w:rsidRPr="00984B8E" w:rsidRDefault="00866C9C" w:rsidP="00841C47">
            <w:pPr>
              <w:ind w:firstLine="772"/>
              <w:jc w:val="both"/>
              <w:rPr>
                <w:rFonts w:ascii="Times New Roman" w:hAnsi="Times New Roman" w:cs="Times New Roman"/>
                <w:color w:val="000000"/>
                <w:sz w:val="24"/>
                <w:szCs w:val="24"/>
              </w:rPr>
            </w:pPr>
            <w:r w:rsidRPr="00984B8E">
              <w:rPr>
                <w:rFonts w:ascii="Times New Roman" w:hAnsi="Times New Roman" w:cs="Times New Roman"/>
                <w:color w:val="000000"/>
                <w:sz w:val="24"/>
                <w:szCs w:val="24"/>
              </w:rPr>
              <w:t>Įstatymo įgyvendinimui yra itin svarbu</w:t>
            </w:r>
            <w:r w:rsidRPr="00984B8E">
              <w:rPr>
                <w:rFonts w:ascii="Times New Roman" w:hAnsi="Times New Roman" w:cs="Times New Roman"/>
                <w:color w:val="000000"/>
                <w:sz w:val="24"/>
                <w:szCs w:val="24"/>
                <w:lang w:eastAsia="lt-LT"/>
              </w:rPr>
              <w:t>s laiko aspektas, siūlomą numatomą teisinį reguliavimą nustatyti ir įgyvendinti remiantis Direktyva (ES) 2019/1937 privaloma iki 2021 m. gruodžio 17 d. Jeigu Direktyvos (ES) 2019/1937 nuostatos nebūtų įgyvendintos, Lietuvos Respublikos įsipareigojimas įgyvendinti Direktyvos (ES) 2019/1937 nebūtų užtikrintas ir nebus tinkamai užtikrinta geresnė pranešėjų apsauga visoje Europos Sąjungoje.</w:t>
            </w:r>
          </w:p>
        </w:tc>
      </w:tr>
    </w:tbl>
    <w:p w14:paraId="081603B8" w14:textId="77777777" w:rsidR="00866C9C" w:rsidRPr="00984B8E" w:rsidRDefault="00866C9C" w:rsidP="00866C9C">
      <w:pPr>
        <w:widowControl w:val="0"/>
        <w:autoSpaceDE w:val="0"/>
        <w:autoSpaceDN w:val="0"/>
        <w:adjustRightInd w:val="0"/>
        <w:rPr>
          <w:rFonts w:ascii="Times New Roman" w:hAnsi="Times New Roman" w:cs="Times New Roman"/>
          <w:color w:val="000000"/>
          <w:sz w:val="24"/>
          <w:szCs w:val="24"/>
          <w:lang w:eastAsia="lt-LT"/>
        </w:rPr>
      </w:pPr>
    </w:p>
    <w:tbl>
      <w:tblPr>
        <w:tblW w:w="9639" w:type="dxa"/>
        <w:tblLayout w:type="fixed"/>
        <w:tblCellMar>
          <w:left w:w="0" w:type="dxa"/>
          <w:right w:w="0" w:type="dxa"/>
        </w:tblCellMar>
        <w:tblLook w:val="00A0" w:firstRow="1" w:lastRow="0" w:firstColumn="1" w:lastColumn="0" w:noHBand="0" w:noVBand="0"/>
      </w:tblPr>
      <w:tblGrid>
        <w:gridCol w:w="2311"/>
        <w:gridCol w:w="7328"/>
      </w:tblGrid>
      <w:tr w:rsidR="00866C9C" w:rsidRPr="00984B8E" w14:paraId="267D1156" w14:textId="77777777" w:rsidTr="00841C47">
        <w:tc>
          <w:tcPr>
            <w:tcW w:w="2235" w:type="dxa"/>
            <w:shd w:val="clear" w:color="auto" w:fill="DBE5F1"/>
          </w:tcPr>
          <w:p w14:paraId="4F996DCE" w14:textId="77777777" w:rsidR="00866C9C" w:rsidRPr="00984B8E" w:rsidRDefault="00866C9C" w:rsidP="00841C47">
            <w:pPr>
              <w:widowControl w:val="0"/>
              <w:autoSpaceDE w:val="0"/>
              <w:autoSpaceDN w:val="0"/>
              <w:adjustRightInd w:val="0"/>
              <w:ind w:firstLine="0"/>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 xml:space="preserve">Poveikis </w:t>
            </w:r>
          </w:p>
          <w:p w14:paraId="4C164802" w14:textId="77777777" w:rsidR="00866C9C" w:rsidRPr="00984B8E" w:rsidRDefault="00866C9C" w:rsidP="00841C47">
            <w:pPr>
              <w:widowControl w:val="0"/>
              <w:autoSpaceDE w:val="0"/>
              <w:autoSpaceDN w:val="0"/>
              <w:adjustRightInd w:val="0"/>
              <w:ind w:firstLine="0"/>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valstybės finansams</w:t>
            </w:r>
          </w:p>
        </w:tc>
        <w:tc>
          <w:tcPr>
            <w:tcW w:w="7087" w:type="dxa"/>
          </w:tcPr>
          <w:p w14:paraId="0DD55C35" w14:textId="77777777" w:rsidR="00866C9C" w:rsidRPr="00536C09" w:rsidRDefault="00866C9C" w:rsidP="00841C47">
            <w:pPr>
              <w:ind w:firstLine="808"/>
              <w:jc w:val="both"/>
              <w:rPr>
                <w:rFonts w:ascii="Times New Roman" w:hAnsi="Times New Roman" w:cs="Times New Roman"/>
                <w:color w:val="000000"/>
                <w:sz w:val="24"/>
                <w:szCs w:val="24"/>
              </w:rPr>
            </w:pPr>
            <w:r w:rsidRPr="00536C09">
              <w:rPr>
                <w:rFonts w:ascii="Times New Roman" w:hAnsi="Times New Roman" w:cs="Times New Roman"/>
                <w:color w:val="000000"/>
                <w:sz w:val="24"/>
                <w:szCs w:val="24"/>
              </w:rPr>
              <w:t xml:space="preserve">Įstatymo įgyvendinimui neprireiks papildomų biudžeto lėšų, tačiau jas prognozuoti neįsigaliojus PAĮ pakeitimams ir nepradėjus jo taikyti yra sudėtinga. </w:t>
            </w:r>
          </w:p>
          <w:p w14:paraId="4D3F0ACF" w14:textId="77777777" w:rsidR="00866C9C" w:rsidRPr="00536C09" w:rsidRDefault="00866C9C" w:rsidP="00841C47">
            <w:pPr>
              <w:widowControl w:val="0"/>
              <w:autoSpaceDE w:val="0"/>
              <w:autoSpaceDN w:val="0"/>
              <w:adjustRightInd w:val="0"/>
              <w:ind w:firstLine="0"/>
              <w:jc w:val="both"/>
              <w:rPr>
                <w:rFonts w:ascii="Times New Roman" w:hAnsi="Times New Roman" w:cs="Times New Roman"/>
                <w:color w:val="000000"/>
                <w:sz w:val="24"/>
                <w:szCs w:val="24"/>
              </w:rPr>
            </w:pPr>
            <w:r w:rsidRPr="00536C09">
              <w:rPr>
                <w:rFonts w:ascii="Times New Roman" w:hAnsi="Times New Roman" w:cs="Times New Roman"/>
                <w:color w:val="000000"/>
                <w:sz w:val="24"/>
                <w:szCs w:val="24"/>
              </w:rPr>
              <w:t xml:space="preserve">Prognozuojama, kad vidutinio dydžio įstaigos vienkartinės vidinių kanalų įdiegimo išlaidos galėtų siekti maždaug vieną tūkstantį eurų. Vidinių kanalų metinės veiklos/administravimo išlaidos taip pat galėtų siekti apie vieną tūkstantį eurų. </w:t>
            </w:r>
          </w:p>
          <w:p w14:paraId="068E91D3" w14:textId="77777777" w:rsidR="00866C9C" w:rsidRPr="00984B8E" w:rsidRDefault="00866C9C" w:rsidP="00841C47">
            <w:pPr>
              <w:ind w:firstLine="709"/>
              <w:jc w:val="both"/>
              <w:rPr>
                <w:rFonts w:ascii="Times New Roman" w:hAnsi="Times New Roman" w:cs="Times New Roman"/>
                <w:color w:val="000000"/>
                <w:sz w:val="24"/>
                <w:szCs w:val="24"/>
                <w:lang w:eastAsia="lt-LT"/>
              </w:rPr>
            </w:pPr>
            <w:r w:rsidRPr="00536C09">
              <w:rPr>
                <w:rFonts w:ascii="Times New Roman" w:hAnsi="Times New Roman" w:cs="Times New Roman"/>
                <w:color w:val="000000"/>
                <w:sz w:val="24"/>
                <w:szCs w:val="24"/>
                <w:lang w:eastAsia="lt-LT"/>
              </w:rPr>
              <w:t>Pažymėtina, kad Europos Komisija, teikdama siūlymą dėl Europos Parlamento ir Tarybos direktyvos dėl asmenų, pranešančių apie Sąjungos teisės pažeidimus, apsaugos, atliko siūlomo teisinio reguliavimo poveikio vertinimą (</w:t>
            </w:r>
            <w:proofErr w:type="spellStart"/>
            <w:r w:rsidRPr="00536C09">
              <w:rPr>
                <w:rFonts w:ascii="Times New Roman" w:hAnsi="Times New Roman" w:cs="Times New Roman"/>
                <w:i/>
                <w:color w:val="000000"/>
                <w:sz w:val="24"/>
                <w:szCs w:val="24"/>
                <w:lang w:eastAsia="lt-LT"/>
              </w:rPr>
              <w:t>Impact</w:t>
            </w:r>
            <w:proofErr w:type="spellEnd"/>
            <w:r w:rsidRPr="00536C09">
              <w:rPr>
                <w:rFonts w:ascii="Times New Roman" w:hAnsi="Times New Roman" w:cs="Times New Roman"/>
                <w:i/>
                <w:color w:val="000000"/>
                <w:sz w:val="24"/>
                <w:szCs w:val="24"/>
                <w:lang w:eastAsia="lt-LT"/>
              </w:rPr>
              <w:t xml:space="preserve"> </w:t>
            </w:r>
            <w:proofErr w:type="spellStart"/>
            <w:r w:rsidRPr="00536C09">
              <w:rPr>
                <w:rFonts w:ascii="Times New Roman" w:hAnsi="Times New Roman" w:cs="Times New Roman"/>
                <w:i/>
                <w:color w:val="000000"/>
                <w:sz w:val="24"/>
                <w:szCs w:val="24"/>
                <w:lang w:eastAsia="lt-LT"/>
              </w:rPr>
              <w:t>assessment</w:t>
            </w:r>
            <w:proofErr w:type="spellEnd"/>
            <w:r w:rsidRPr="00536C09">
              <w:rPr>
                <w:rFonts w:ascii="Times New Roman" w:hAnsi="Times New Roman" w:cs="Times New Roman"/>
                <w:color w:val="000000"/>
                <w:sz w:val="24"/>
                <w:szCs w:val="24"/>
                <w:lang w:eastAsia="lt-LT"/>
              </w:rPr>
              <w:t>)</w:t>
            </w:r>
            <w:r w:rsidRPr="00536C09">
              <w:rPr>
                <w:rStyle w:val="Puslapioinaosnuoroda"/>
                <w:color w:val="000000"/>
                <w:sz w:val="24"/>
                <w:szCs w:val="24"/>
                <w:lang w:eastAsia="lt-LT"/>
              </w:rPr>
              <w:footnoteReference w:id="1"/>
            </w:r>
            <w:r w:rsidRPr="00536C09">
              <w:rPr>
                <w:rFonts w:ascii="Times New Roman" w:hAnsi="Times New Roman" w:cs="Times New Roman"/>
                <w:color w:val="000000"/>
                <w:sz w:val="24"/>
                <w:szCs w:val="24"/>
                <w:lang w:eastAsia="lt-LT"/>
              </w:rPr>
              <w:t>, kuriame pateikiami skaičiavimai, kad vidinių kanalų įdiegimas vidutinėje įstaigoje galėtų kainuoti apie 1 374 eurų, o jų metinis administravimas – apie 1 054 eurus (išskaitant kasmetinius darbuotojų mokymus, kurių gali ir neprireikti).</w:t>
            </w:r>
            <w:r w:rsidRPr="00984B8E">
              <w:rPr>
                <w:rFonts w:ascii="Times New Roman" w:hAnsi="Times New Roman" w:cs="Times New Roman"/>
                <w:color w:val="000000"/>
                <w:sz w:val="24"/>
                <w:szCs w:val="24"/>
                <w:lang w:eastAsia="lt-LT"/>
              </w:rPr>
              <w:t xml:space="preserve"> </w:t>
            </w:r>
          </w:p>
        </w:tc>
      </w:tr>
    </w:tbl>
    <w:p w14:paraId="270EE73C" w14:textId="77777777" w:rsidR="00866C9C" w:rsidRPr="00984B8E" w:rsidRDefault="00866C9C" w:rsidP="00866C9C">
      <w:pPr>
        <w:widowControl w:val="0"/>
        <w:autoSpaceDE w:val="0"/>
        <w:autoSpaceDN w:val="0"/>
        <w:adjustRightInd w:val="0"/>
        <w:rPr>
          <w:rFonts w:ascii="Times New Roman" w:hAnsi="Times New Roman" w:cs="Times New Roman"/>
          <w:color w:val="000000"/>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94"/>
        <w:gridCol w:w="7345"/>
      </w:tblGrid>
      <w:tr w:rsidR="00866C9C" w:rsidRPr="00984B8E" w14:paraId="5552DDAB" w14:textId="77777777" w:rsidTr="00841C47">
        <w:tc>
          <w:tcPr>
            <w:tcW w:w="2294" w:type="dxa"/>
            <w:tcBorders>
              <w:top w:val="nil"/>
              <w:left w:val="nil"/>
              <w:bottom w:val="nil"/>
              <w:right w:val="nil"/>
            </w:tcBorders>
            <w:shd w:val="clear" w:color="auto" w:fill="DBE5F1"/>
          </w:tcPr>
          <w:p w14:paraId="01C9BE38" w14:textId="77777777" w:rsidR="00866C9C" w:rsidRPr="00984B8E" w:rsidRDefault="00866C9C" w:rsidP="00841C47">
            <w:pPr>
              <w:widowControl w:val="0"/>
              <w:shd w:val="clear" w:color="auto" w:fill="DBE5F1"/>
              <w:autoSpaceDE w:val="0"/>
              <w:autoSpaceDN w:val="0"/>
              <w:adjustRightInd w:val="0"/>
              <w:ind w:firstLine="0"/>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Poveikis administracinei</w:t>
            </w:r>
          </w:p>
          <w:p w14:paraId="33932085" w14:textId="77777777" w:rsidR="00866C9C" w:rsidRPr="00984B8E" w:rsidRDefault="00866C9C" w:rsidP="00841C47">
            <w:pPr>
              <w:widowControl w:val="0"/>
              <w:shd w:val="clear" w:color="auto" w:fill="DBE5F1"/>
              <w:autoSpaceDE w:val="0"/>
              <w:autoSpaceDN w:val="0"/>
              <w:adjustRightInd w:val="0"/>
              <w:ind w:firstLine="0"/>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naštai</w:t>
            </w:r>
          </w:p>
          <w:p w14:paraId="2E534E4F" w14:textId="77777777" w:rsidR="00866C9C" w:rsidRPr="00984B8E" w:rsidRDefault="00866C9C" w:rsidP="00841C47">
            <w:pPr>
              <w:widowControl w:val="0"/>
              <w:autoSpaceDE w:val="0"/>
              <w:autoSpaceDN w:val="0"/>
              <w:adjustRightInd w:val="0"/>
              <w:ind w:firstLine="0"/>
              <w:rPr>
                <w:rFonts w:ascii="Times New Roman" w:hAnsi="Times New Roman" w:cs="Times New Roman"/>
                <w:color w:val="000000"/>
                <w:sz w:val="24"/>
                <w:szCs w:val="24"/>
                <w:lang w:eastAsia="lt-LT"/>
              </w:rPr>
            </w:pPr>
          </w:p>
        </w:tc>
        <w:tc>
          <w:tcPr>
            <w:tcW w:w="7345" w:type="dxa"/>
            <w:tcBorders>
              <w:top w:val="nil"/>
              <w:left w:val="nil"/>
              <w:bottom w:val="nil"/>
              <w:right w:val="nil"/>
            </w:tcBorders>
          </w:tcPr>
          <w:p w14:paraId="4CEFFBD3" w14:textId="77777777" w:rsidR="00866C9C" w:rsidRPr="00536C09" w:rsidRDefault="00866C9C" w:rsidP="00841C47">
            <w:pPr>
              <w:widowControl w:val="0"/>
              <w:autoSpaceDE w:val="0"/>
              <w:autoSpaceDN w:val="0"/>
              <w:adjustRightInd w:val="0"/>
              <w:ind w:firstLine="825"/>
              <w:jc w:val="both"/>
              <w:rPr>
                <w:rFonts w:ascii="Times New Roman" w:hAnsi="Times New Roman" w:cs="Times New Roman"/>
                <w:color w:val="000000"/>
                <w:sz w:val="24"/>
                <w:szCs w:val="24"/>
                <w:lang w:eastAsia="lt-LT"/>
              </w:rPr>
            </w:pPr>
            <w:r w:rsidRPr="00536C09">
              <w:rPr>
                <w:rFonts w:ascii="Times New Roman" w:hAnsi="Times New Roman" w:cs="Times New Roman"/>
                <w:color w:val="000000"/>
                <w:sz w:val="24"/>
                <w:szCs w:val="24"/>
                <w:lang w:eastAsia="lt-LT"/>
              </w:rPr>
              <w:t xml:space="preserve">Priėmus įstatymo projektą ženklaus poveikio piliečių ir kitų asmenų, valstybės ar savivaldybių institucijų bei įstaigų, verslo subjektų administracinei naštai nenumatoma. </w:t>
            </w:r>
          </w:p>
          <w:p w14:paraId="2D9CA04D" w14:textId="77777777" w:rsidR="00866C9C" w:rsidRPr="00536C09" w:rsidRDefault="00866C9C" w:rsidP="00841C47">
            <w:pPr>
              <w:widowControl w:val="0"/>
              <w:autoSpaceDE w:val="0"/>
              <w:autoSpaceDN w:val="0"/>
              <w:adjustRightInd w:val="0"/>
              <w:ind w:firstLine="825"/>
              <w:jc w:val="both"/>
              <w:rPr>
                <w:rFonts w:ascii="Times New Roman" w:hAnsi="Times New Roman" w:cs="Times New Roman"/>
                <w:color w:val="000000"/>
                <w:sz w:val="24"/>
                <w:szCs w:val="24"/>
                <w:lang w:eastAsia="lt-LT"/>
              </w:rPr>
            </w:pPr>
            <w:r w:rsidRPr="00536C09">
              <w:rPr>
                <w:rFonts w:ascii="Times New Roman" w:hAnsi="Times New Roman" w:cs="Times New Roman"/>
                <w:color w:val="000000"/>
                <w:sz w:val="24"/>
                <w:szCs w:val="24"/>
                <w:lang w:eastAsia="lt-LT"/>
              </w:rPr>
              <w:t xml:space="preserve">Pažymėtina, kad įstaigų vadovai privalės užtikrinti, kad įstaigose, vadovaujantis Vidinių kanalų aprašu būtų įdiegti vidiniai informacijos apie pažeidimus teikimo kanalai ir turės užtikrinti jų funkcionavimą. Įstaigos privalės saugoti pranešimus bent 5 metus užtikrinant jų konfidencialumą. </w:t>
            </w:r>
          </w:p>
          <w:p w14:paraId="6CBE6ADC" w14:textId="77777777" w:rsidR="00866C9C" w:rsidRPr="00536C09" w:rsidRDefault="00866C9C" w:rsidP="00841C47">
            <w:pPr>
              <w:widowControl w:val="0"/>
              <w:autoSpaceDE w:val="0"/>
              <w:autoSpaceDN w:val="0"/>
              <w:adjustRightInd w:val="0"/>
              <w:ind w:firstLine="0"/>
              <w:jc w:val="both"/>
              <w:rPr>
                <w:rFonts w:ascii="Times New Roman" w:hAnsi="Times New Roman" w:cs="Times New Roman"/>
                <w:color w:val="000000"/>
                <w:sz w:val="24"/>
                <w:szCs w:val="24"/>
                <w:lang w:eastAsia="lt-LT"/>
              </w:rPr>
            </w:pPr>
            <w:r w:rsidRPr="00536C09">
              <w:rPr>
                <w:rFonts w:ascii="Times New Roman" w:hAnsi="Times New Roman" w:cs="Times New Roman"/>
                <w:color w:val="000000"/>
                <w:sz w:val="24"/>
                <w:szCs w:val="24"/>
                <w:lang w:eastAsia="lt-LT"/>
              </w:rPr>
              <w:t xml:space="preserve">Pranešimų teikimo mechanizmas ir administravimas nebus visiškai nauja funkcija viešojo ir privataus sektoriaus įstaigoms, kadangi jau dabar daugelyje jų yra įdiegti ir veikia pranešimų apie korupcijos atvejus teikimo kanalai, „karštosios“ ar pasitikėjimo linijos ir pan. </w:t>
            </w:r>
          </w:p>
          <w:p w14:paraId="60165F4C" w14:textId="77777777" w:rsidR="00866C9C" w:rsidRPr="00536C09" w:rsidRDefault="00866C9C" w:rsidP="00841C47">
            <w:pPr>
              <w:widowControl w:val="0"/>
              <w:autoSpaceDE w:val="0"/>
              <w:autoSpaceDN w:val="0"/>
              <w:adjustRightInd w:val="0"/>
              <w:ind w:firstLine="825"/>
              <w:jc w:val="both"/>
              <w:rPr>
                <w:rFonts w:ascii="Times New Roman" w:hAnsi="Times New Roman" w:cs="Times New Roman"/>
                <w:color w:val="000000"/>
                <w:sz w:val="24"/>
                <w:szCs w:val="24"/>
                <w:lang w:eastAsia="lt-LT"/>
              </w:rPr>
            </w:pPr>
            <w:r w:rsidRPr="00536C09">
              <w:rPr>
                <w:rFonts w:ascii="Times New Roman" w:hAnsi="Times New Roman" w:cs="Times New Roman"/>
                <w:color w:val="000000"/>
                <w:sz w:val="24"/>
                <w:szCs w:val="24"/>
                <w:lang w:eastAsia="lt-LT"/>
              </w:rPr>
              <w:t xml:space="preserve">Be kita ko, daugelis stambiųjų verslo, o ypač užsienio kapitalo įmonių turi pasitvirtinę ir vadovaujasi savo atsparumo korupcijai politika, ir yra įsidiegusios vidinius kanalus pranešimams apie įmonėje daromus pažeidimus gauti. Akivaizdu, kad </w:t>
            </w:r>
            <w:r w:rsidRPr="00536C09">
              <w:rPr>
                <w:rFonts w:ascii="Times New Roman" w:hAnsi="Times New Roman" w:cs="Times New Roman"/>
                <w:color w:val="000000"/>
                <w:sz w:val="24"/>
                <w:szCs w:val="24"/>
                <w:lang w:eastAsia="en-GB"/>
              </w:rPr>
              <w:t xml:space="preserve">verslo subjektai, kaip ir viešajame sektoriuje veikiančios įstaigos, taip pat turėtų būti suinteresuoti tinkama pranešėjų apsauga ir skatinti asmenis, žinančius apie įstaigoje padarytus ar daromus pažeidimus, pranešti vidiniu informacijos apie pažeidimus teikimo kanalu ir jaustis saugiai savo darbo vietoje, </w:t>
            </w:r>
            <w:r w:rsidRPr="00536C09">
              <w:rPr>
                <w:rFonts w:ascii="Times New Roman" w:hAnsi="Times New Roman" w:cs="Times New Roman"/>
                <w:color w:val="000000"/>
                <w:sz w:val="24"/>
                <w:szCs w:val="24"/>
                <w:lang w:eastAsia="lt-LT"/>
              </w:rPr>
              <w:t xml:space="preserve">organizacijoje. Taip verslo subjekto vadovybė, skatindama vidinius pranešimus, galės valdyti veiksmus, galinčius pakenkti valdomo verslo reputacijai ar padaryti žalą, jei darbuotojas tam tikrą informaciją atskleistų kompetentingai institucijai. Neteisėtai besielgiantiems verslo subjektams sulaukus teisinių pasekmių, sąžiningi verslo subjektai, konkuruojantys efektyvumu ir inovacijomis, galės veikti sąžiningos konkurencijos aplinkoje. </w:t>
            </w:r>
            <w:r w:rsidRPr="00984B8E">
              <w:rPr>
                <w:rFonts w:ascii="Times New Roman" w:hAnsi="Times New Roman" w:cs="Times New Roman"/>
                <w:color w:val="000000"/>
                <w:sz w:val="24"/>
                <w:szCs w:val="24"/>
                <w:lang w:eastAsia="lt-LT"/>
              </w:rPr>
              <w:t xml:space="preserve"> </w:t>
            </w:r>
          </w:p>
        </w:tc>
      </w:tr>
    </w:tbl>
    <w:p w14:paraId="670EDB03" w14:textId="77777777" w:rsidR="00866C9C" w:rsidRPr="00984B8E" w:rsidRDefault="00866C9C" w:rsidP="00866C9C">
      <w:pPr>
        <w:ind w:firstLine="0"/>
        <w:jc w:val="both"/>
        <w:rPr>
          <w:rFonts w:ascii="Times New Roman" w:hAnsi="Times New Roman" w:cs="Times New Roman"/>
          <w:color w:val="000000"/>
          <w:sz w:val="24"/>
          <w:szCs w:val="24"/>
          <w:lang w:eastAsia="lt-LT"/>
        </w:rPr>
      </w:pPr>
      <w:r w:rsidRPr="00984B8E">
        <w:rPr>
          <w:rFonts w:ascii="Times New Roman" w:hAnsi="Times New Roman" w:cs="Times New Roman"/>
          <w:b/>
          <w:bCs/>
          <w:color w:val="000000"/>
          <w:sz w:val="24"/>
          <w:szCs w:val="24"/>
          <w:lang w:eastAsia="lt-LT"/>
        </w:rPr>
        <w:lastRenderedPageBreak/>
        <w:t> </w:t>
      </w:r>
    </w:p>
    <w:tbl>
      <w:tblPr>
        <w:tblW w:w="9639" w:type="dxa"/>
        <w:tblLayout w:type="fixed"/>
        <w:tblCellMar>
          <w:left w:w="0" w:type="dxa"/>
          <w:right w:w="0" w:type="dxa"/>
        </w:tblCellMar>
        <w:tblLook w:val="00A0" w:firstRow="1" w:lastRow="0" w:firstColumn="1" w:lastColumn="0" w:noHBand="0" w:noVBand="0"/>
      </w:tblPr>
      <w:tblGrid>
        <w:gridCol w:w="9639"/>
      </w:tblGrid>
      <w:tr w:rsidR="00866C9C" w:rsidRPr="00984B8E" w14:paraId="617EE3EC" w14:textId="77777777" w:rsidTr="00841C47">
        <w:trPr>
          <w:trHeight w:val="396"/>
        </w:trPr>
        <w:tc>
          <w:tcPr>
            <w:tcW w:w="9606" w:type="dxa"/>
            <w:vMerge w:val="restart"/>
            <w:shd w:val="clear" w:color="auto" w:fill="DBE5F1"/>
          </w:tcPr>
          <w:p w14:paraId="3FF4DF87" w14:textId="77777777" w:rsidR="00866C9C" w:rsidRPr="00984B8E" w:rsidRDefault="00866C9C" w:rsidP="00841C47">
            <w:pPr>
              <w:widowControl w:val="0"/>
              <w:autoSpaceDE w:val="0"/>
              <w:autoSpaceDN w:val="0"/>
              <w:adjustRightInd w:val="0"/>
              <w:ind w:firstLine="0"/>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Kita svarbi informacija</w:t>
            </w:r>
          </w:p>
          <w:p w14:paraId="303004ED" w14:textId="77777777" w:rsidR="00866C9C" w:rsidRPr="00984B8E" w:rsidRDefault="00866C9C" w:rsidP="00841C47">
            <w:pPr>
              <w:widowControl w:val="0"/>
              <w:autoSpaceDE w:val="0"/>
              <w:autoSpaceDN w:val="0"/>
              <w:adjustRightInd w:val="0"/>
              <w:ind w:firstLine="0"/>
              <w:rPr>
                <w:rFonts w:ascii="Times New Roman" w:hAnsi="Times New Roman" w:cs="Times New Roman"/>
                <w:b/>
                <w:color w:val="000000"/>
                <w:sz w:val="24"/>
                <w:szCs w:val="24"/>
                <w:lang w:eastAsia="lt-LT"/>
              </w:rPr>
            </w:pPr>
          </w:p>
          <w:p w14:paraId="3D39CB7E" w14:textId="77777777" w:rsidR="00866C9C" w:rsidRPr="00984B8E" w:rsidRDefault="00866C9C" w:rsidP="00841C47">
            <w:pPr>
              <w:widowControl w:val="0"/>
              <w:autoSpaceDE w:val="0"/>
              <w:autoSpaceDN w:val="0"/>
              <w:adjustRightInd w:val="0"/>
              <w:ind w:firstLine="0"/>
              <w:jc w:val="both"/>
              <w:rPr>
                <w:rFonts w:ascii="Times New Roman" w:hAnsi="Times New Roman" w:cs="Times New Roman"/>
                <w:color w:val="000000"/>
                <w:sz w:val="24"/>
                <w:szCs w:val="24"/>
                <w:lang w:eastAsia="lt-LT"/>
              </w:rPr>
            </w:pPr>
            <w:r w:rsidRPr="00984B8E">
              <w:rPr>
                <w:rFonts w:ascii="Times New Roman" w:hAnsi="Times New Roman" w:cs="Times New Roman"/>
                <w:color w:val="000000"/>
                <w:sz w:val="24"/>
                <w:szCs w:val="24"/>
                <w:lang w:eastAsia="lt-LT"/>
              </w:rPr>
              <w:t>Įstatymo projektas parengtas atsižvelgiant į geriausią pasaulinę praktiką užtikrinant pranešėjų apsaugą; EBPO parengtą ir 2016 m. publikuotą pranešėjų apsaugos teisinio reglamentavimo, jo praktinio taikymo ir teismų praktikos EBPO valstybėse narėse lyginamąją analizę</w:t>
            </w:r>
            <w:r w:rsidRPr="00984B8E">
              <w:rPr>
                <w:rStyle w:val="Puslapioinaosnuoroda"/>
                <w:color w:val="000000"/>
                <w:sz w:val="24"/>
                <w:szCs w:val="24"/>
                <w:lang w:eastAsia="lt-LT"/>
              </w:rPr>
              <w:footnoteReference w:id="2"/>
            </w:r>
            <w:r w:rsidRPr="00984B8E">
              <w:rPr>
                <w:rFonts w:ascii="Times New Roman" w:hAnsi="Times New Roman" w:cs="Times New Roman"/>
                <w:color w:val="000000"/>
                <w:sz w:val="24"/>
                <w:szCs w:val="24"/>
                <w:lang w:eastAsia="lt-LT"/>
              </w:rPr>
              <w:t>, Jungtinių Tautų gerosios praktikos užtikrinant pranešėjų apsaugą vadovą</w:t>
            </w:r>
            <w:r w:rsidRPr="00984B8E">
              <w:rPr>
                <w:rStyle w:val="Puslapioinaosnuoroda"/>
                <w:color w:val="000000"/>
                <w:sz w:val="24"/>
                <w:szCs w:val="24"/>
                <w:lang w:eastAsia="lt-LT"/>
              </w:rPr>
              <w:footnoteReference w:id="3"/>
            </w:r>
            <w:r w:rsidRPr="00984B8E">
              <w:rPr>
                <w:rFonts w:ascii="Times New Roman" w:hAnsi="Times New Roman" w:cs="Times New Roman"/>
                <w:color w:val="000000"/>
                <w:sz w:val="24"/>
                <w:szCs w:val="24"/>
                <w:lang w:eastAsia="lt-LT"/>
              </w:rPr>
              <w:t xml:space="preserve"> ir Europos Tarybos Ministrų komiteto 2014 m. balandžio 30 d. priimtas rekomendacijas CM/</w:t>
            </w:r>
            <w:proofErr w:type="spellStart"/>
            <w:r w:rsidRPr="00984B8E">
              <w:rPr>
                <w:rFonts w:ascii="Times New Roman" w:hAnsi="Times New Roman" w:cs="Times New Roman"/>
                <w:color w:val="000000"/>
                <w:sz w:val="24"/>
                <w:szCs w:val="24"/>
                <w:lang w:eastAsia="lt-LT"/>
              </w:rPr>
              <w:t>Rec</w:t>
            </w:r>
            <w:proofErr w:type="spellEnd"/>
            <w:r w:rsidRPr="00984B8E">
              <w:rPr>
                <w:rFonts w:ascii="Times New Roman" w:hAnsi="Times New Roman" w:cs="Times New Roman"/>
                <w:color w:val="000000"/>
                <w:sz w:val="24"/>
                <w:szCs w:val="24"/>
                <w:lang w:eastAsia="lt-LT"/>
              </w:rPr>
              <w:t xml:space="preserve"> (2014)7</w:t>
            </w:r>
            <w:r w:rsidRPr="00984B8E">
              <w:rPr>
                <w:rStyle w:val="Puslapioinaosnuoroda"/>
                <w:color w:val="000000"/>
                <w:sz w:val="24"/>
                <w:szCs w:val="24"/>
                <w:lang w:eastAsia="lt-LT"/>
              </w:rPr>
              <w:footnoteReference w:id="4"/>
            </w:r>
            <w:r w:rsidRPr="00984B8E">
              <w:rPr>
                <w:rFonts w:ascii="Times New Roman" w:hAnsi="Times New Roman" w:cs="Times New Roman"/>
                <w:color w:val="000000"/>
                <w:sz w:val="24"/>
                <w:szCs w:val="24"/>
                <w:lang w:eastAsia="lt-LT"/>
              </w:rPr>
              <w:t xml:space="preserve"> dėl pranešėjų apsaugos.</w:t>
            </w:r>
          </w:p>
          <w:p w14:paraId="6D4080FB" w14:textId="77777777" w:rsidR="00866C9C" w:rsidRPr="00984B8E" w:rsidRDefault="00866C9C" w:rsidP="00841C47">
            <w:pPr>
              <w:widowControl w:val="0"/>
              <w:autoSpaceDE w:val="0"/>
              <w:autoSpaceDN w:val="0"/>
              <w:adjustRightInd w:val="0"/>
              <w:ind w:firstLine="0"/>
              <w:rPr>
                <w:rFonts w:ascii="Times New Roman" w:hAnsi="Times New Roman" w:cs="Times New Roman"/>
                <w:b/>
                <w:color w:val="000000"/>
                <w:sz w:val="24"/>
                <w:szCs w:val="24"/>
                <w:lang w:eastAsia="lt-LT"/>
              </w:rPr>
            </w:pPr>
          </w:p>
          <w:p w14:paraId="5EA0FFB6" w14:textId="77777777" w:rsidR="00866C9C" w:rsidRPr="00984B8E" w:rsidRDefault="00866C9C" w:rsidP="00841C47">
            <w:pPr>
              <w:widowControl w:val="0"/>
              <w:autoSpaceDE w:val="0"/>
              <w:autoSpaceDN w:val="0"/>
              <w:adjustRightInd w:val="0"/>
              <w:ind w:firstLine="0"/>
              <w:jc w:val="both"/>
              <w:rPr>
                <w:rFonts w:ascii="Times New Roman" w:hAnsi="Times New Roman" w:cs="Times New Roman"/>
                <w:color w:val="000000"/>
                <w:sz w:val="24"/>
                <w:szCs w:val="24"/>
                <w:lang w:eastAsia="lt-LT"/>
              </w:rPr>
            </w:pPr>
            <w:r w:rsidRPr="00536C09">
              <w:rPr>
                <w:rFonts w:ascii="Times New Roman" w:hAnsi="Times New Roman" w:cs="Times New Roman"/>
                <w:color w:val="000000"/>
                <w:sz w:val="24"/>
                <w:szCs w:val="24"/>
                <w:shd w:val="clear" w:color="auto" w:fill="DBE5F1"/>
              </w:rPr>
              <w:t>Įstatymo projektas ir jo lydimieji dokumentai teisės aktų nustatyta tvarka teikti derinti suinteresuotoms institucijoms, 2021 m. kovo 3 d. paskelbti Lietuvos Respublikos Seimo teisės aktų informacinės sistemos (TAIS) Projektų registravimo posistemėje (Nr. 21-20656, 21-20655).</w:t>
            </w:r>
          </w:p>
        </w:tc>
      </w:tr>
      <w:tr w:rsidR="00866C9C" w:rsidRPr="00984B8E" w14:paraId="3F1B8021" w14:textId="77777777" w:rsidTr="00841C47">
        <w:trPr>
          <w:trHeight w:val="285"/>
        </w:trPr>
        <w:tc>
          <w:tcPr>
            <w:tcW w:w="9639" w:type="dxa"/>
            <w:vMerge/>
            <w:vAlign w:val="center"/>
          </w:tcPr>
          <w:p w14:paraId="5BFAC9C5" w14:textId="77777777" w:rsidR="00866C9C" w:rsidRPr="00984B8E" w:rsidRDefault="00866C9C" w:rsidP="00841C47">
            <w:pPr>
              <w:ind w:firstLine="0"/>
              <w:rPr>
                <w:rFonts w:ascii="Times New Roman" w:hAnsi="Times New Roman" w:cs="Times New Roman"/>
                <w:b/>
                <w:color w:val="000000"/>
                <w:sz w:val="24"/>
                <w:szCs w:val="24"/>
                <w:lang w:eastAsia="lt-LT"/>
              </w:rPr>
            </w:pPr>
          </w:p>
        </w:tc>
      </w:tr>
      <w:tr w:rsidR="00866C9C" w:rsidRPr="00984B8E" w14:paraId="6ED43613" w14:textId="77777777" w:rsidTr="00841C47">
        <w:trPr>
          <w:trHeight w:val="285"/>
        </w:trPr>
        <w:tc>
          <w:tcPr>
            <w:tcW w:w="9639" w:type="dxa"/>
            <w:vMerge/>
            <w:vAlign w:val="center"/>
          </w:tcPr>
          <w:p w14:paraId="1D0F4B9B" w14:textId="77777777" w:rsidR="00866C9C" w:rsidRPr="00984B8E" w:rsidRDefault="00866C9C" w:rsidP="00841C47">
            <w:pPr>
              <w:ind w:firstLine="0"/>
              <w:rPr>
                <w:rFonts w:ascii="Times New Roman" w:hAnsi="Times New Roman" w:cs="Times New Roman"/>
                <w:b/>
                <w:color w:val="000000"/>
                <w:sz w:val="24"/>
                <w:szCs w:val="24"/>
                <w:lang w:eastAsia="lt-LT"/>
              </w:rPr>
            </w:pPr>
          </w:p>
        </w:tc>
      </w:tr>
      <w:tr w:rsidR="00866C9C" w:rsidRPr="00984B8E" w14:paraId="408E6648" w14:textId="77777777" w:rsidTr="00841C47">
        <w:trPr>
          <w:trHeight w:val="285"/>
        </w:trPr>
        <w:tc>
          <w:tcPr>
            <w:tcW w:w="9639" w:type="dxa"/>
            <w:vAlign w:val="center"/>
          </w:tcPr>
          <w:p w14:paraId="5E2B5CA7" w14:textId="77777777" w:rsidR="00866C9C" w:rsidRPr="00984B8E" w:rsidRDefault="00866C9C" w:rsidP="00841C47">
            <w:pPr>
              <w:ind w:firstLine="0"/>
              <w:rPr>
                <w:rFonts w:ascii="Times New Roman" w:hAnsi="Times New Roman" w:cs="Times New Roman"/>
                <w:b/>
                <w:color w:val="000000"/>
                <w:sz w:val="24"/>
                <w:szCs w:val="24"/>
                <w:lang w:eastAsia="lt-LT"/>
              </w:rPr>
            </w:pPr>
          </w:p>
        </w:tc>
      </w:tr>
    </w:tbl>
    <w:p w14:paraId="31F6BC69" w14:textId="77777777" w:rsidR="00866C9C" w:rsidRPr="00984B8E" w:rsidRDefault="00866C9C" w:rsidP="00866C9C">
      <w:pPr>
        <w:spacing w:before="100" w:beforeAutospacing="1" w:after="100" w:afterAutospacing="1"/>
        <w:ind w:firstLine="0"/>
        <w:contextualSpacing/>
        <w:jc w:val="both"/>
        <w:rPr>
          <w:rFonts w:ascii="Times New Roman" w:hAnsi="Times New Roman" w:cs="Times New Roman"/>
          <w:b/>
          <w:color w:val="000000"/>
          <w:sz w:val="24"/>
          <w:szCs w:val="24"/>
          <w:lang w:eastAsia="lt-LT"/>
        </w:rPr>
      </w:pPr>
      <w:r w:rsidRPr="00984B8E">
        <w:rPr>
          <w:rFonts w:ascii="Times New Roman" w:hAnsi="Times New Roman" w:cs="Times New Roman"/>
          <w:b/>
          <w:color w:val="000000"/>
          <w:sz w:val="24"/>
          <w:szCs w:val="24"/>
          <w:lang w:eastAsia="lt-LT"/>
        </w:rPr>
        <w:t>Informacija apie asmenį ir instituciją, atsakingą už poveikio vertinimą</w:t>
      </w:r>
    </w:p>
    <w:p w14:paraId="61A6E355" w14:textId="77777777" w:rsidR="00866C9C" w:rsidRPr="00984B8E" w:rsidRDefault="00866C9C" w:rsidP="00866C9C">
      <w:pPr>
        <w:ind w:left="1296"/>
        <w:jc w:val="both"/>
        <w:rPr>
          <w:rFonts w:ascii="Times New Roman" w:hAnsi="Times New Roman" w:cs="Times New Roman"/>
          <w:b/>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772"/>
        <w:gridCol w:w="6867"/>
      </w:tblGrid>
      <w:tr w:rsidR="00866C9C" w:rsidRPr="00984B8E" w14:paraId="6D0E292B" w14:textId="77777777" w:rsidTr="00841C47">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A6C0FE4" w14:textId="77777777" w:rsidR="00866C9C" w:rsidRPr="00984B8E" w:rsidRDefault="00866C9C" w:rsidP="00841C47">
            <w:pPr>
              <w:ind w:firstLine="0"/>
              <w:rPr>
                <w:rFonts w:ascii="Times New Roman" w:hAnsi="Times New Roman" w:cs="Times New Roman"/>
                <w:color w:val="000000"/>
                <w:sz w:val="24"/>
                <w:szCs w:val="24"/>
              </w:rPr>
            </w:pPr>
            <w:r w:rsidRPr="00984B8E">
              <w:rPr>
                <w:rFonts w:ascii="Times New Roman" w:hAnsi="Times New Roman" w:cs="Times New Roman"/>
                <w:color w:val="000000"/>
                <w:sz w:val="24"/>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EAA79C3" w14:textId="77777777" w:rsidR="00866C9C" w:rsidRPr="00984B8E" w:rsidRDefault="00866C9C" w:rsidP="00841C47">
            <w:pPr>
              <w:ind w:firstLine="0"/>
              <w:rPr>
                <w:rFonts w:ascii="Times New Roman" w:hAnsi="Times New Roman" w:cs="Times New Roman"/>
                <w:color w:val="000000"/>
                <w:sz w:val="24"/>
                <w:szCs w:val="24"/>
              </w:rPr>
            </w:pPr>
            <w:r w:rsidRPr="00984B8E">
              <w:rPr>
                <w:rFonts w:ascii="Times New Roman" w:hAnsi="Times New Roman" w:cs="Times New Roman"/>
                <w:color w:val="000000"/>
                <w:sz w:val="24"/>
                <w:szCs w:val="24"/>
              </w:rPr>
              <w:t>Dovilė Baroli</w:t>
            </w:r>
          </w:p>
        </w:tc>
      </w:tr>
      <w:tr w:rsidR="00866C9C" w:rsidRPr="00984B8E" w14:paraId="08AD104A" w14:textId="77777777" w:rsidTr="00841C47">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34E5639" w14:textId="77777777" w:rsidR="00866C9C" w:rsidRPr="00984B8E" w:rsidRDefault="00866C9C" w:rsidP="00841C47">
            <w:pPr>
              <w:ind w:firstLine="0"/>
              <w:rPr>
                <w:rFonts w:ascii="Times New Roman" w:hAnsi="Times New Roman" w:cs="Times New Roman"/>
                <w:b/>
                <w:color w:val="000000"/>
                <w:sz w:val="24"/>
                <w:szCs w:val="24"/>
              </w:rPr>
            </w:pPr>
            <w:r w:rsidRPr="00984B8E">
              <w:rPr>
                <w:rFonts w:ascii="Times New Roman" w:hAnsi="Times New Roman" w:cs="Times New Roman"/>
                <w:color w:val="000000"/>
                <w:sz w:val="24"/>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F4EAF6E" w14:textId="77777777" w:rsidR="00866C9C" w:rsidRPr="00984B8E" w:rsidRDefault="00866C9C" w:rsidP="00841C47">
            <w:pPr>
              <w:ind w:firstLine="0"/>
              <w:jc w:val="both"/>
              <w:rPr>
                <w:rFonts w:ascii="Times New Roman" w:hAnsi="Times New Roman" w:cs="Times New Roman"/>
                <w:color w:val="000000"/>
                <w:sz w:val="24"/>
                <w:szCs w:val="24"/>
              </w:rPr>
            </w:pPr>
            <w:r w:rsidRPr="00984B8E">
              <w:rPr>
                <w:rFonts w:ascii="Times New Roman" w:hAnsi="Times New Roman" w:cs="Times New Roman"/>
                <w:color w:val="000000"/>
                <w:sz w:val="24"/>
                <w:szCs w:val="24"/>
              </w:rPr>
              <w:t>Korupcijos prevencijos skyriaus vyriausioji specialistė</w:t>
            </w:r>
          </w:p>
        </w:tc>
      </w:tr>
      <w:tr w:rsidR="00866C9C" w:rsidRPr="00984B8E" w14:paraId="3B0ADE65" w14:textId="77777777" w:rsidTr="00841C47">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256AE23" w14:textId="77777777" w:rsidR="00866C9C" w:rsidRPr="00984B8E" w:rsidRDefault="00866C9C" w:rsidP="00841C47">
            <w:pPr>
              <w:ind w:firstLine="0"/>
              <w:rPr>
                <w:rFonts w:ascii="Times New Roman" w:hAnsi="Times New Roman" w:cs="Times New Roman"/>
                <w:b/>
                <w:color w:val="000000"/>
                <w:sz w:val="24"/>
                <w:szCs w:val="24"/>
              </w:rPr>
            </w:pPr>
            <w:r w:rsidRPr="00984B8E">
              <w:rPr>
                <w:rFonts w:ascii="Times New Roman" w:hAnsi="Times New Roman" w:cs="Times New Roman"/>
                <w:color w:val="000000"/>
                <w:sz w:val="24"/>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2636AF5" w14:textId="77777777" w:rsidR="00866C9C" w:rsidRPr="00984B8E" w:rsidRDefault="00866C9C" w:rsidP="00841C47">
            <w:pPr>
              <w:ind w:firstLine="0"/>
              <w:jc w:val="both"/>
              <w:rPr>
                <w:rFonts w:ascii="Times New Roman" w:hAnsi="Times New Roman" w:cs="Times New Roman"/>
                <w:color w:val="000000"/>
                <w:sz w:val="24"/>
                <w:szCs w:val="24"/>
              </w:rPr>
            </w:pPr>
            <w:r w:rsidRPr="00984B8E">
              <w:rPr>
                <w:rFonts w:ascii="Times New Roman" w:hAnsi="Times New Roman" w:cs="Times New Roman"/>
                <w:color w:val="000000"/>
                <w:sz w:val="24"/>
                <w:szCs w:val="24"/>
              </w:rPr>
              <w:t>Lietuvos Respublikos teisingumo ministerija</w:t>
            </w:r>
          </w:p>
        </w:tc>
      </w:tr>
      <w:tr w:rsidR="00866C9C" w:rsidRPr="00984B8E" w14:paraId="6E97AF2D" w14:textId="77777777" w:rsidTr="00841C47">
        <w:tc>
          <w:tcPr>
            <w:tcW w:w="143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B0294AC" w14:textId="77777777" w:rsidR="00866C9C" w:rsidRPr="00984B8E" w:rsidRDefault="00866C9C" w:rsidP="00841C47">
            <w:pPr>
              <w:ind w:firstLine="0"/>
              <w:rPr>
                <w:rFonts w:ascii="Times New Roman" w:hAnsi="Times New Roman" w:cs="Times New Roman"/>
                <w:color w:val="000000"/>
                <w:sz w:val="24"/>
                <w:szCs w:val="24"/>
              </w:rPr>
            </w:pPr>
            <w:r w:rsidRPr="00984B8E">
              <w:rPr>
                <w:rFonts w:ascii="Times New Roman" w:hAnsi="Times New Roman" w:cs="Times New Roman"/>
                <w:color w:val="000000"/>
                <w:sz w:val="24"/>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D0E5C02" w14:textId="77777777" w:rsidR="00866C9C" w:rsidRPr="00984B8E" w:rsidRDefault="00866C9C" w:rsidP="00841C47">
            <w:pPr>
              <w:ind w:firstLine="0"/>
              <w:jc w:val="both"/>
              <w:rPr>
                <w:rFonts w:ascii="Times New Roman" w:hAnsi="Times New Roman" w:cs="Times New Roman"/>
                <w:color w:val="000000"/>
                <w:sz w:val="24"/>
                <w:szCs w:val="24"/>
              </w:rPr>
            </w:pPr>
            <w:r w:rsidRPr="00984B8E">
              <w:rPr>
                <w:rFonts w:ascii="Times New Roman" w:hAnsi="Times New Roman" w:cs="Times New Roman"/>
                <w:color w:val="000000"/>
                <w:sz w:val="24"/>
                <w:szCs w:val="24"/>
              </w:rPr>
              <w:t>(8 5) 266 2890</w:t>
            </w:r>
          </w:p>
          <w:p w14:paraId="4AEC842E" w14:textId="77777777" w:rsidR="00866C9C" w:rsidRPr="00984B8E" w:rsidRDefault="00866C9C" w:rsidP="00841C47">
            <w:pPr>
              <w:ind w:firstLine="0"/>
              <w:jc w:val="both"/>
              <w:rPr>
                <w:rFonts w:ascii="Times New Roman" w:hAnsi="Times New Roman" w:cs="Times New Roman"/>
                <w:color w:val="000000"/>
                <w:sz w:val="24"/>
                <w:szCs w:val="24"/>
              </w:rPr>
            </w:pPr>
            <w:r w:rsidRPr="00984B8E">
              <w:rPr>
                <w:rFonts w:ascii="Times New Roman" w:hAnsi="Times New Roman" w:cs="Times New Roman"/>
                <w:color w:val="000000"/>
                <w:sz w:val="24"/>
                <w:szCs w:val="24"/>
              </w:rPr>
              <w:t xml:space="preserve">dovile.baroli@tm.lt </w:t>
            </w:r>
          </w:p>
        </w:tc>
      </w:tr>
    </w:tbl>
    <w:p w14:paraId="4C2842B7" w14:textId="77777777" w:rsidR="00866C9C" w:rsidRPr="00984B8E" w:rsidRDefault="00866C9C" w:rsidP="00866C9C">
      <w:pPr>
        <w:rPr>
          <w:rFonts w:ascii="Times New Roman" w:hAnsi="Times New Roman" w:cs="Times New Roman"/>
          <w:color w:val="000000"/>
          <w:sz w:val="24"/>
          <w:szCs w:val="24"/>
        </w:rPr>
      </w:pPr>
    </w:p>
    <w:p w14:paraId="23645355" w14:textId="77777777" w:rsidR="00C42EEF" w:rsidRDefault="00C42EEF"/>
    <w:sectPr w:rsidR="00C42EEF" w:rsidSect="003A3BDB">
      <w:headerReference w:type="default" r:id="rId7"/>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C143" w14:textId="77777777" w:rsidR="00D0276E" w:rsidRDefault="00D0276E" w:rsidP="00866C9C">
      <w:r>
        <w:separator/>
      </w:r>
    </w:p>
  </w:endnote>
  <w:endnote w:type="continuationSeparator" w:id="0">
    <w:p w14:paraId="4AE33375" w14:textId="77777777" w:rsidR="00D0276E" w:rsidRDefault="00D0276E" w:rsidP="0086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9512" w14:textId="77777777" w:rsidR="00D0276E" w:rsidRDefault="00D0276E" w:rsidP="00866C9C">
      <w:r>
        <w:separator/>
      </w:r>
    </w:p>
  </w:footnote>
  <w:footnote w:type="continuationSeparator" w:id="0">
    <w:p w14:paraId="2D7EA2D7" w14:textId="77777777" w:rsidR="00D0276E" w:rsidRDefault="00D0276E" w:rsidP="00866C9C">
      <w:r>
        <w:continuationSeparator/>
      </w:r>
    </w:p>
  </w:footnote>
  <w:footnote w:id="1">
    <w:p w14:paraId="3F943994" w14:textId="77777777" w:rsidR="00866C9C" w:rsidRDefault="00866C9C" w:rsidP="00866C9C">
      <w:pPr>
        <w:pStyle w:val="Puslapioinaostekstas"/>
      </w:pPr>
      <w:r>
        <w:rPr>
          <w:rStyle w:val="Puslapioinaosnuoroda"/>
        </w:rPr>
        <w:footnoteRef/>
      </w:r>
      <w:r>
        <w:t xml:space="preserve"> </w:t>
      </w:r>
      <w:r w:rsidRPr="00374BEB">
        <w:t>https://ec.europa.eu/info/law/better-regulation/initiatives/com-2018-218_en</w:t>
      </w:r>
    </w:p>
  </w:footnote>
  <w:footnote w:id="2">
    <w:p w14:paraId="3471A71A" w14:textId="77777777" w:rsidR="00866C9C" w:rsidRPr="007E2BAC" w:rsidRDefault="00866C9C" w:rsidP="00866C9C">
      <w:pPr>
        <w:pStyle w:val="Puslapioinaostekstas"/>
        <w:ind w:firstLine="425"/>
        <w:contextualSpacing/>
        <w:jc w:val="both"/>
        <w:rPr>
          <w:sz w:val="16"/>
          <w:szCs w:val="16"/>
        </w:rPr>
      </w:pPr>
      <w:r w:rsidRPr="007E2BAC">
        <w:rPr>
          <w:rStyle w:val="Puslapioinaosnuoroda"/>
          <w:sz w:val="16"/>
          <w:szCs w:val="16"/>
        </w:rPr>
        <w:footnoteRef/>
      </w:r>
      <w:r w:rsidRPr="007E2BAC">
        <w:rPr>
          <w:sz w:val="16"/>
          <w:szCs w:val="16"/>
        </w:rPr>
        <w:t xml:space="preserve"> </w:t>
      </w:r>
      <w:proofErr w:type="spellStart"/>
      <w:r w:rsidRPr="007E2BAC">
        <w:rPr>
          <w:i/>
          <w:sz w:val="16"/>
          <w:szCs w:val="16"/>
        </w:rPr>
        <w:t>Committing</w:t>
      </w:r>
      <w:proofErr w:type="spellEnd"/>
      <w:r w:rsidRPr="007E2BAC">
        <w:rPr>
          <w:i/>
          <w:sz w:val="16"/>
          <w:szCs w:val="16"/>
        </w:rPr>
        <w:t xml:space="preserve"> to </w:t>
      </w:r>
      <w:proofErr w:type="spellStart"/>
      <w:r w:rsidRPr="007E2BAC">
        <w:rPr>
          <w:i/>
          <w:sz w:val="16"/>
          <w:szCs w:val="16"/>
        </w:rPr>
        <w:t>Effective</w:t>
      </w:r>
      <w:proofErr w:type="spellEnd"/>
      <w:r w:rsidRPr="007E2BAC">
        <w:rPr>
          <w:i/>
          <w:sz w:val="16"/>
          <w:szCs w:val="16"/>
        </w:rPr>
        <w:t xml:space="preserve"> </w:t>
      </w:r>
      <w:proofErr w:type="spellStart"/>
      <w:r w:rsidRPr="007E2BAC">
        <w:rPr>
          <w:i/>
          <w:sz w:val="16"/>
          <w:szCs w:val="16"/>
        </w:rPr>
        <w:t>Whistleblower</w:t>
      </w:r>
      <w:proofErr w:type="spellEnd"/>
      <w:r w:rsidRPr="007E2BAC">
        <w:rPr>
          <w:i/>
          <w:sz w:val="16"/>
          <w:szCs w:val="16"/>
        </w:rPr>
        <w:t xml:space="preserve"> </w:t>
      </w:r>
      <w:proofErr w:type="spellStart"/>
      <w:r w:rsidRPr="007E2BAC">
        <w:rPr>
          <w:i/>
          <w:sz w:val="16"/>
          <w:szCs w:val="16"/>
        </w:rPr>
        <w:t>Protection</w:t>
      </w:r>
      <w:proofErr w:type="spellEnd"/>
      <w:r w:rsidRPr="007E2BAC">
        <w:rPr>
          <w:sz w:val="16"/>
          <w:szCs w:val="16"/>
        </w:rPr>
        <w:t>. OECD. 2016 m. (</w:t>
      </w:r>
      <w:hyperlink r:id="rId1" w:history="1">
        <w:r w:rsidRPr="007E2BAC">
          <w:rPr>
            <w:rStyle w:val="Hipersaitas"/>
            <w:sz w:val="16"/>
            <w:szCs w:val="16"/>
          </w:rPr>
          <w:t>http://www.oecd.org/corporate/committing-to-effective-whistleblower-protection-9789264252639-en.htm</w:t>
        </w:r>
      </w:hyperlink>
      <w:r w:rsidRPr="007E2BAC">
        <w:rPr>
          <w:sz w:val="16"/>
          <w:szCs w:val="16"/>
        </w:rPr>
        <w:t>).</w:t>
      </w:r>
    </w:p>
  </w:footnote>
  <w:footnote w:id="3">
    <w:p w14:paraId="07245D1A" w14:textId="77777777" w:rsidR="00866C9C" w:rsidRPr="007E2BAC" w:rsidRDefault="00866C9C" w:rsidP="00866C9C">
      <w:pPr>
        <w:pStyle w:val="Puslapioinaostekstas"/>
        <w:tabs>
          <w:tab w:val="left" w:pos="567"/>
        </w:tabs>
        <w:ind w:firstLine="425"/>
        <w:contextualSpacing/>
        <w:rPr>
          <w:rFonts w:eastAsia="Calibri"/>
          <w:color w:val="0563C1"/>
          <w:sz w:val="16"/>
          <w:szCs w:val="16"/>
          <w:u w:val="single"/>
          <w:lang w:eastAsia="en-US"/>
        </w:rPr>
      </w:pPr>
      <w:r w:rsidRPr="007E2BAC">
        <w:rPr>
          <w:rStyle w:val="Puslapioinaosnuoroda"/>
          <w:sz w:val="16"/>
          <w:szCs w:val="16"/>
        </w:rPr>
        <w:footnoteRef/>
      </w:r>
      <w:r>
        <w:rPr>
          <w:sz w:val="16"/>
          <w:szCs w:val="16"/>
        </w:rPr>
        <w:t xml:space="preserve"> </w:t>
      </w:r>
      <w:proofErr w:type="spellStart"/>
      <w:r w:rsidRPr="007E2BAC">
        <w:rPr>
          <w:rFonts w:eastAsia="Calibri"/>
          <w:i/>
          <w:sz w:val="16"/>
          <w:szCs w:val="16"/>
          <w:lang w:eastAsia="en-US"/>
        </w:rPr>
        <w:t>Resource</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Guide</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on</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Good</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Practice</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in</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the</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Protection</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of</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Reporting</w:t>
      </w:r>
      <w:proofErr w:type="spellEnd"/>
      <w:r w:rsidRPr="007E2BAC">
        <w:rPr>
          <w:rFonts w:eastAsia="Calibri"/>
          <w:i/>
          <w:sz w:val="16"/>
          <w:szCs w:val="16"/>
          <w:lang w:eastAsia="en-US"/>
        </w:rPr>
        <w:t xml:space="preserve"> </w:t>
      </w:r>
      <w:proofErr w:type="spellStart"/>
      <w:r w:rsidRPr="007E2BAC">
        <w:rPr>
          <w:rFonts w:eastAsia="Calibri"/>
          <w:i/>
          <w:sz w:val="16"/>
          <w:szCs w:val="16"/>
          <w:lang w:eastAsia="en-US"/>
        </w:rPr>
        <w:t>Persons</w:t>
      </w:r>
      <w:proofErr w:type="spellEnd"/>
      <w:r w:rsidRPr="007E2BAC">
        <w:rPr>
          <w:rFonts w:eastAsia="Calibri"/>
          <w:i/>
          <w:sz w:val="16"/>
          <w:szCs w:val="16"/>
          <w:lang w:eastAsia="en-US"/>
        </w:rPr>
        <w:t>.</w:t>
      </w:r>
      <w:r w:rsidRPr="007E2BAC">
        <w:rPr>
          <w:rFonts w:eastAsia="Calibri"/>
          <w:sz w:val="16"/>
          <w:szCs w:val="16"/>
          <w:lang w:eastAsia="en-US"/>
        </w:rPr>
        <w:t xml:space="preserve"> 2015 m. (</w:t>
      </w:r>
      <w:hyperlink r:id="rId2" w:history="1">
        <w:r w:rsidRPr="007E2BAC">
          <w:rPr>
            <w:rFonts w:eastAsia="Calibri"/>
            <w:color w:val="0563C1"/>
            <w:sz w:val="16"/>
            <w:szCs w:val="16"/>
            <w:u w:val="single"/>
            <w:lang w:eastAsia="en-US"/>
          </w:rPr>
          <w:t>https://www.unodc.org/documents/corruption/Publications/2015/15-04741_Person_Guide_eBook.pdf</w:t>
        </w:r>
      </w:hyperlink>
      <w:r w:rsidRPr="007E2BAC">
        <w:rPr>
          <w:rFonts w:eastAsia="Calibri"/>
          <w:color w:val="0563C1"/>
          <w:sz w:val="16"/>
          <w:szCs w:val="16"/>
          <w:u w:val="single"/>
          <w:lang w:eastAsia="en-US"/>
        </w:rPr>
        <w:t>).</w:t>
      </w:r>
    </w:p>
  </w:footnote>
  <w:footnote w:id="4">
    <w:p w14:paraId="19145AF5" w14:textId="77777777" w:rsidR="00866C9C" w:rsidRPr="007E2BAC" w:rsidRDefault="00866C9C" w:rsidP="00866C9C">
      <w:pPr>
        <w:pStyle w:val="Puslapioinaostekstas"/>
        <w:ind w:firstLine="425"/>
        <w:contextualSpacing/>
        <w:rPr>
          <w:sz w:val="16"/>
          <w:szCs w:val="16"/>
        </w:rPr>
      </w:pPr>
      <w:r w:rsidRPr="007E2BAC">
        <w:rPr>
          <w:rStyle w:val="Puslapioinaosnuoroda"/>
          <w:sz w:val="16"/>
          <w:szCs w:val="16"/>
        </w:rPr>
        <w:footnoteRef/>
      </w:r>
      <w:r w:rsidRPr="007E2BAC">
        <w:rPr>
          <w:sz w:val="16"/>
          <w:szCs w:val="16"/>
        </w:rPr>
        <w:t xml:space="preserve"> </w:t>
      </w:r>
      <w:r w:rsidRPr="007E2BAC">
        <w:rPr>
          <w:rFonts w:eastAsia="Calibri"/>
          <w:sz w:val="16"/>
          <w:szCs w:val="16"/>
          <w:lang w:eastAsia="en-US"/>
        </w:rPr>
        <w:t>Europos Tarybos Ministrų komiteto 2014 m. balandžio 30 d. rekomendacijos CM/</w:t>
      </w:r>
      <w:proofErr w:type="spellStart"/>
      <w:r w:rsidRPr="007E2BAC">
        <w:rPr>
          <w:rFonts w:eastAsia="Calibri"/>
          <w:sz w:val="16"/>
          <w:szCs w:val="16"/>
          <w:lang w:eastAsia="en-US"/>
        </w:rPr>
        <w:t>Rec</w:t>
      </w:r>
      <w:proofErr w:type="spellEnd"/>
      <w:r w:rsidRPr="007E2BAC">
        <w:rPr>
          <w:rFonts w:eastAsia="Calibri"/>
          <w:sz w:val="16"/>
          <w:szCs w:val="16"/>
          <w:lang w:eastAsia="en-US"/>
        </w:rPr>
        <w:t> (2014)7 dėl pranešėjų apsaugos</w:t>
      </w:r>
      <w:r>
        <w:rPr>
          <w:rFonts w:eastAsia="Calibri"/>
          <w:sz w:val="16"/>
          <w:szCs w:val="16"/>
          <w:lang w:eastAsia="en-US"/>
        </w:rPr>
        <w:t xml:space="preserve"> </w:t>
      </w:r>
      <w:r w:rsidRPr="007E2BAC">
        <w:rPr>
          <w:rFonts w:eastAsia="Calibri"/>
          <w:sz w:val="16"/>
          <w:szCs w:val="16"/>
          <w:lang w:eastAsia="en-US"/>
        </w:rPr>
        <w:t>(</w:t>
      </w:r>
      <w:hyperlink r:id="rId3" w:history="1">
        <w:r w:rsidRPr="007E2BAC">
          <w:rPr>
            <w:rFonts w:eastAsia="Calibri"/>
            <w:color w:val="0563C1"/>
            <w:sz w:val="16"/>
            <w:szCs w:val="16"/>
            <w:u w:val="single"/>
            <w:lang w:eastAsia="en-US"/>
          </w:rPr>
          <w:t>https://wcd.coe.int/ViewDoc.jsp?id=2188855&amp;Site=CM</w:t>
        </w:r>
      </w:hyperlink>
      <w:r w:rsidRPr="007E2BAC">
        <w:rPr>
          <w:rFonts w:eastAsia="Calibri"/>
          <w:color w:val="0563C1"/>
          <w:sz w:val="16"/>
          <w:szCs w:val="16"/>
          <w:u w:val="single"/>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186F" w14:textId="77777777" w:rsidR="007E2BAC" w:rsidRPr="007E2BAC" w:rsidRDefault="00F139D3">
    <w:pPr>
      <w:pStyle w:val="Antrats"/>
      <w:jc w:val="center"/>
      <w:rPr>
        <w:rFonts w:ascii="Times New Roman" w:hAnsi="Times New Roman" w:cs="Times New Roman"/>
      </w:rPr>
    </w:pPr>
    <w:r w:rsidRPr="007E2BAC">
      <w:rPr>
        <w:rFonts w:ascii="Times New Roman" w:hAnsi="Times New Roman" w:cs="Times New Roman"/>
      </w:rPr>
      <w:fldChar w:fldCharType="begin"/>
    </w:r>
    <w:r w:rsidRPr="007E2BAC">
      <w:rPr>
        <w:rFonts w:ascii="Times New Roman" w:hAnsi="Times New Roman" w:cs="Times New Roman"/>
      </w:rPr>
      <w:instrText>PAGE   \* MERGEFORMAT</w:instrText>
    </w:r>
    <w:r w:rsidRPr="007E2BAC">
      <w:rPr>
        <w:rFonts w:ascii="Times New Roman" w:hAnsi="Times New Roman" w:cs="Times New Roman"/>
      </w:rPr>
      <w:fldChar w:fldCharType="separate"/>
    </w:r>
    <w:r w:rsidRPr="00536C09">
      <w:rPr>
        <w:rFonts w:ascii="Times New Roman" w:hAnsi="Times New Roman" w:cs="Times New Roman"/>
        <w:noProof/>
        <w:lang w:val="lt-LT"/>
      </w:rPr>
      <w:t>2</w:t>
    </w:r>
    <w:r w:rsidRPr="007E2BAC">
      <w:rPr>
        <w:rFonts w:ascii="Times New Roman" w:hAnsi="Times New Roman" w:cs="Times New Roman"/>
      </w:rPr>
      <w:fldChar w:fldCharType="end"/>
    </w:r>
  </w:p>
  <w:p w14:paraId="2EA03357" w14:textId="77777777" w:rsidR="007E2BAC" w:rsidRDefault="00D027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515B7"/>
    <w:multiLevelType w:val="hybridMultilevel"/>
    <w:tmpl w:val="D3806AB2"/>
    <w:lvl w:ilvl="0" w:tplc="4DAE7D0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9C"/>
    <w:rsid w:val="002701E3"/>
    <w:rsid w:val="002D264A"/>
    <w:rsid w:val="0076590F"/>
    <w:rsid w:val="00866C9C"/>
    <w:rsid w:val="008D55CD"/>
    <w:rsid w:val="009160D6"/>
    <w:rsid w:val="00A3650D"/>
    <w:rsid w:val="00B16272"/>
    <w:rsid w:val="00C42EEF"/>
    <w:rsid w:val="00D0276E"/>
    <w:rsid w:val="00F13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1C01"/>
  <w15:chartTrackingRefBased/>
  <w15:docId w15:val="{825430B3-91F9-4BD1-BF9C-74F5292D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6C9C"/>
    <w:pPr>
      <w:spacing w:after="0" w:line="240" w:lineRule="auto"/>
      <w:ind w:firstLine="720"/>
    </w:pPr>
    <w:rPr>
      <w:rFonts w:ascii="Arial" w:eastAsia="Times New Roman"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866C9C"/>
    <w:pPr>
      <w:tabs>
        <w:tab w:val="center" w:pos="4153"/>
        <w:tab w:val="right" w:pos="8306"/>
      </w:tabs>
    </w:pPr>
    <w:rPr>
      <w:lang w:val="en-GB"/>
    </w:rPr>
  </w:style>
  <w:style w:type="character" w:customStyle="1" w:styleId="AntratsDiagrama">
    <w:name w:val="Antraštės Diagrama"/>
    <w:aliases w:val="Char Diagrama,Diagrama Diagrama"/>
    <w:basedOn w:val="Numatytasispastraiposriftas"/>
    <w:link w:val="Antrats"/>
    <w:uiPriority w:val="99"/>
    <w:rsid w:val="00866C9C"/>
    <w:rPr>
      <w:rFonts w:ascii="Arial" w:eastAsia="Times New Roman" w:hAnsi="Arial" w:cs="Arial"/>
      <w:sz w:val="20"/>
      <w:szCs w:val="20"/>
      <w:lang w:val="en-GB"/>
    </w:rPr>
  </w:style>
  <w:style w:type="character" w:styleId="Hipersaitas">
    <w:name w:val="Hyperlink"/>
    <w:rsid w:val="00866C9C"/>
    <w:rPr>
      <w:color w:val="0000FF"/>
      <w:u w:val="single"/>
    </w:rPr>
  </w:style>
  <w:style w:type="character" w:customStyle="1" w:styleId="PuslapioinaostekstasDiagrama">
    <w:name w:val="Puslapio išnašos tekstas Diagrama"/>
    <w:link w:val="Puslapioinaostekstas"/>
    <w:semiHidden/>
    <w:locked/>
    <w:rsid w:val="00866C9C"/>
    <w:rPr>
      <w:lang w:eastAsia="lt-LT"/>
    </w:rPr>
  </w:style>
  <w:style w:type="paragraph" w:styleId="Puslapioinaostekstas">
    <w:name w:val="footnote text"/>
    <w:basedOn w:val="prastasis"/>
    <w:link w:val="PuslapioinaostekstasDiagrama"/>
    <w:semiHidden/>
    <w:rsid w:val="00866C9C"/>
    <w:rPr>
      <w:rFonts w:asciiTheme="minorHAnsi" w:eastAsiaTheme="minorHAnsi" w:hAnsiTheme="minorHAnsi" w:cstheme="minorBidi"/>
      <w:sz w:val="22"/>
      <w:szCs w:val="22"/>
      <w:lang w:eastAsia="lt-LT"/>
    </w:rPr>
  </w:style>
  <w:style w:type="character" w:customStyle="1" w:styleId="PuslapioinaostekstasDiagrama1">
    <w:name w:val="Puslapio išnašos tekstas Diagrama1"/>
    <w:basedOn w:val="Numatytasispastraiposriftas"/>
    <w:uiPriority w:val="99"/>
    <w:semiHidden/>
    <w:rsid w:val="00866C9C"/>
    <w:rPr>
      <w:rFonts w:ascii="Arial" w:eastAsia="Times New Roman" w:hAnsi="Arial" w:cs="Arial"/>
      <w:sz w:val="20"/>
      <w:szCs w:val="20"/>
    </w:rPr>
  </w:style>
  <w:style w:type="character" w:styleId="Puslapioinaosnuoroda">
    <w:name w:val="footnote reference"/>
    <w:uiPriority w:val="99"/>
    <w:semiHidden/>
    <w:rsid w:val="00866C9C"/>
    <w:rPr>
      <w:rFonts w:ascii="Times New Roman" w:hAnsi="Times New Roman" w:cs="Times New Roman" w:hint="default"/>
      <w:vertAlign w:val="superscript"/>
    </w:rPr>
  </w:style>
  <w:style w:type="paragraph" w:customStyle="1" w:styleId="Style32">
    <w:name w:val="Style32"/>
    <w:basedOn w:val="prastasis"/>
    <w:rsid w:val="00866C9C"/>
    <w:pPr>
      <w:widowControl w:val="0"/>
      <w:autoSpaceDE w:val="0"/>
      <w:autoSpaceDN w:val="0"/>
      <w:adjustRightInd w:val="0"/>
      <w:spacing w:line="274" w:lineRule="exact"/>
      <w:ind w:firstLine="566"/>
      <w:jc w:val="both"/>
    </w:pPr>
    <w:rPr>
      <w:rFonts w:ascii="Times New Roman" w:hAnsi="Times New Roman" w:cs="Times New Roman"/>
      <w:sz w:val="24"/>
      <w:szCs w:val="24"/>
      <w:lang w:eastAsia="lt-LT"/>
    </w:rPr>
  </w:style>
  <w:style w:type="paragraph" w:customStyle="1" w:styleId="prastasis1">
    <w:name w:val="Įprastasis1"/>
    <w:basedOn w:val="prastasis"/>
    <w:rsid w:val="00866C9C"/>
    <w:pPr>
      <w:spacing w:before="100" w:beforeAutospacing="1" w:after="100" w:afterAutospacing="1"/>
      <w:ind w:firstLine="0"/>
    </w:pPr>
    <w:rPr>
      <w:rFonts w:ascii="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6590F"/>
    <w:rPr>
      <w:sz w:val="16"/>
      <w:szCs w:val="16"/>
    </w:rPr>
  </w:style>
  <w:style w:type="paragraph" w:styleId="Komentarotekstas">
    <w:name w:val="annotation text"/>
    <w:basedOn w:val="prastasis"/>
    <w:link w:val="KomentarotekstasDiagrama"/>
    <w:uiPriority w:val="99"/>
    <w:semiHidden/>
    <w:unhideWhenUsed/>
    <w:rsid w:val="0076590F"/>
  </w:style>
  <w:style w:type="character" w:customStyle="1" w:styleId="KomentarotekstasDiagrama">
    <w:name w:val="Komentaro tekstas Diagrama"/>
    <w:basedOn w:val="Numatytasispastraiposriftas"/>
    <w:link w:val="Komentarotekstas"/>
    <w:uiPriority w:val="99"/>
    <w:semiHidden/>
    <w:rsid w:val="0076590F"/>
    <w:rPr>
      <w:rFonts w:ascii="Arial" w:eastAsia="Times New Roman" w:hAnsi="Arial" w:cs="Arial"/>
      <w:sz w:val="20"/>
      <w:szCs w:val="20"/>
    </w:rPr>
  </w:style>
  <w:style w:type="paragraph" w:styleId="Komentarotema">
    <w:name w:val="annotation subject"/>
    <w:basedOn w:val="Komentarotekstas"/>
    <w:next w:val="Komentarotekstas"/>
    <w:link w:val="KomentarotemaDiagrama"/>
    <w:uiPriority w:val="99"/>
    <w:semiHidden/>
    <w:unhideWhenUsed/>
    <w:rsid w:val="0076590F"/>
    <w:rPr>
      <w:b/>
      <w:bCs/>
    </w:rPr>
  </w:style>
  <w:style w:type="character" w:customStyle="1" w:styleId="KomentarotemaDiagrama">
    <w:name w:val="Komentaro tema Diagrama"/>
    <w:basedOn w:val="KomentarotekstasDiagrama"/>
    <w:link w:val="Komentarotema"/>
    <w:uiPriority w:val="99"/>
    <w:semiHidden/>
    <w:rsid w:val="0076590F"/>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_rels/footnotes.xml.rels><?xml version="1.0" encoding="UTF-8" standalone="yes"?>
<Relationships xmlns="http://schemas.openxmlformats.org/package/2006/relationships">
   <Relationship Id="rId1"
                 Target="http://www.oecd.org/corporate/committing-to-effective-whistleblower-protection-9789264252639-en.htm"
                 TargetMode="External"
                 Type="http://schemas.openxmlformats.org/officeDocument/2006/relationships/hyperlink"/>
   <Relationship Id="rId2"
                 Target="https://www.unodc.org/documents/corruption/Publications/2015/15-04741_Person_Guide_eBook.pdf"
                 TargetMode="External"
                 Type="http://schemas.openxmlformats.org/officeDocument/2006/relationships/hyperlink"/>
   <Relationship Id="rId3" Target="https://wcd.coe.int/ViewDoc.jsp?id=2188855&amp;Site=CM"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9308</Words>
  <Characters>5307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2021-06-04T10:54:00Z</dcterms:created>
  <dc:creator>Dovilė Baroli</dc:creator>
  <cp:lastModifiedBy>Dovilė Baroli</cp:lastModifiedBy>
  <dcterms:modified xsi:type="dcterms:W3CDTF">2021-06-04T10:54:00Z</dcterms:modified>
  <cp:revision>2</cp:revision>
</cp:coreProperties>
</file>