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94" w:rsidRDefault="00A13994">
      <w:pPr>
        <w:pStyle w:val="Antrats"/>
        <w:contextualSpacing/>
        <w:rPr>
          <w:rFonts w:ascii="Times New Roman" w:hAnsi="Times New Roman"/>
        </w:rPr>
      </w:pPr>
      <w:bookmarkStart w:id="0" w:name="_GoBack"/>
      <w:bookmarkEnd w:id="0"/>
    </w:p>
    <w:p w:rsidR="00A13994" w:rsidRDefault="004D4DFB">
      <w:pPr>
        <w:pStyle w:val="Pagrindinistekstas"/>
        <w:spacing w:after="0"/>
        <w:contextualSpacing/>
        <w:jc w:val="center"/>
      </w:pPr>
      <w:r>
        <w:rPr>
          <w:rFonts w:ascii="Times New Roman" w:hAnsi="Times New Roman" w:cs="Times New Roman"/>
          <w:b/>
        </w:rPr>
        <w:t xml:space="preserve">REGLAMENTO (ES) 2019/1148 IR </w:t>
      </w:r>
      <w:r>
        <w:rPr>
          <w:rFonts w:ascii="Times New Roman" w:hAnsi="Times New Roman" w:cs="Times New Roman"/>
          <w:b/>
          <w:bCs/>
          <w:caps/>
          <w:lang w:eastAsia="lt-LT"/>
        </w:rPr>
        <w:t>LIETUVOS RESPUBLIKOS</w:t>
      </w:r>
    </w:p>
    <w:p w:rsidR="00A13994" w:rsidRDefault="004D4DFB">
      <w:pPr>
        <w:spacing w:line="276" w:lineRule="auto"/>
        <w:contextualSpacing/>
        <w:jc w:val="center"/>
        <w:rPr>
          <w:rFonts w:ascii="Times New Roman" w:hAnsi="Times New Roman"/>
        </w:rPr>
      </w:pPr>
      <w:r>
        <w:rPr>
          <w:rFonts w:ascii="Times New Roman" w:hAnsi="Times New Roman"/>
          <w:b/>
          <w:bCs/>
          <w:caps/>
          <w:lang w:eastAsia="lt-LT"/>
        </w:rPr>
        <w:t>ADMINISTRACINIŲ NUSIŽENGIMŲ KODEKSO 234</w:t>
      </w:r>
      <w:r>
        <w:rPr>
          <w:rFonts w:ascii="Times New Roman" w:hAnsi="Times New Roman"/>
          <w:b/>
          <w:bCs/>
          <w:caps/>
          <w:vertAlign w:val="superscript"/>
          <w:lang w:eastAsia="lt-LT"/>
        </w:rPr>
        <w:t>1</w:t>
      </w:r>
      <w:r>
        <w:rPr>
          <w:rFonts w:ascii="Times New Roman" w:hAnsi="Times New Roman"/>
          <w:b/>
          <w:bCs/>
          <w:caps/>
          <w:lang w:eastAsia="lt-LT"/>
        </w:rPr>
        <w:t>, 234</w:t>
      </w:r>
      <w:r>
        <w:rPr>
          <w:rFonts w:ascii="Times New Roman" w:hAnsi="Times New Roman"/>
          <w:b/>
          <w:bCs/>
          <w:caps/>
          <w:vertAlign w:val="superscript"/>
          <w:lang w:eastAsia="lt-LT"/>
        </w:rPr>
        <w:t>2</w:t>
      </w:r>
      <w:r>
        <w:rPr>
          <w:rFonts w:ascii="Times New Roman" w:hAnsi="Times New Roman"/>
          <w:b/>
          <w:bCs/>
          <w:lang w:eastAsia="lt-LT"/>
        </w:rPr>
        <w:t xml:space="preserve"> STRAIPSNIŲ IR PRIEDO PAKEITIMO</w:t>
      </w:r>
    </w:p>
    <w:p w:rsidR="00A13994" w:rsidRDefault="004D4DFB">
      <w:pPr>
        <w:pStyle w:val="Pagrindinistekstas"/>
        <w:spacing w:after="0"/>
        <w:contextualSpacing/>
        <w:jc w:val="center"/>
      </w:pPr>
      <w:r>
        <w:rPr>
          <w:rFonts w:ascii="Times New Roman" w:hAnsi="Times New Roman" w:cs="Times New Roman"/>
          <w:b/>
          <w:bCs/>
          <w:caps/>
          <w:color w:val="000000"/>
          <w:lang w:eastAsia="lt-LT"/>
        </w:rPr>
        <w:t xml:space="preserve">ĮSTATYMO PROJEKTO </w:t>
      </w:r>
      <w:r>
        <w:rPr>
          <w:rFonts w:ascii="Times New Roman" w:hAnsi="Times New Roman" w:cs="Times New Roman"/>
          <w:b/>
        </w:rPr>
        <w:t>ATITIKTIES LENTELĖ</w:t>
      </w:r>
    </w:p>
    <w:p w:rsidR="00A13994" w:rsidRDefault="00A13994">
      <w:pPr>
        <w:pStyle w:val="Pagrindinistekstas"/>
        <w:spacing w:after="0"/>
        <w:contextualSpacing/>
        <w:jc w:val="center"/>
        <w:rPr>
          <w:rFonts w:ascii="Times New Roman" w:hAnsi="Times New Roman" w:cs="Times New Roman"/>
          <w:b/>
        </w:rPr>
      </w:pPr>
    </w:p>
    <w:tbl>
      <w:tblPr>
        <w:tblW w:w="14723" w:type="dxa"/>
        <w:tblInd w:w="156" w:type="dxa"/>
        <w:tblLayout w:type="fixed"/>
        <w:tblCellMar>
          <w:top w:w="55" w:type="dxa"/>
          <w:left w:w="55" w:type="dxa"/>
          <w:bottom w:w="55" w:type="dxa"/>
          <w:right w:w="55" w:type="dxa"/>
        </w:tblCellMar>
        <w:tblLook w:val="0000" w:firstRow="0" w:lastRow="0" w:firstColumn="0" w:lastColumn="0" w:noHBand="0" w:noVBand="0"/>
      </w:tblPr>
      <w:tblGrid>
        <w:gridCol w:w="6180"/>
        <w:gridCol w:w="6966"/>
        <w:gridCol w:w="1577"/>
      </w:tblGrid>
      <w:tr w:rsidR="00A13994">
        <w:tc>
          <w:tcPr>
            <w:tcW w:w="6180" w:type="dxa"/>
            <w:tcBorders>
              <w:top w:val="single" w:sz="2" w:space="0" w:color="000001"/>
              <w:left w:val="single" w:sz="2" w:space="0" w:color="000001"/>
              <w:bottom w:val="single" w:sz="2" w:space="0" w:color="000001"/>
            </w:tcBorders>
            <w:shd w:val="clear" w:color="auto" w:fill="FFFFFF"/>
          </w:tcPr>
          <w:p w:rsidR="00A13994" w:rsidRDefault="004D4DFB">
            <w:pPr>
              <w:jc w:val="both"/>
            </w:pPr>
            <w:r>
              <w:rPr>
                <w:rFonts w:ascii="Times New Roman" w:hAnsi="Times New Roman" w:cs="Times New Roman"/>
                <w:b/>
              </w:rPr>
              <w:t>2019 m. birželio 20 d. Europos Parlamento ir Tarybos reglamentas (ES) 2019/1148 dėl prekybos sprogstamųjų medžiagų pirmtakais ir jų naudojimo, kuriuo iš dalies keičiamas Reglamentas (EB) Nr. 1907/2006 ir panaikinamas Reglamentas (ES) Nr. 98/2013</w:t>
            </w:r>
          </w:p>
          <w:p w:rsidR="00A13994" w:rsidRDefault="004D4DFB">
            <w:pPr>
              <w:jc w:val="both"/>
            </w:pPr>
            <w:r>
              <w:rPr>
                <w:rFonts w:ascii="Times New Roman" w:hAnsi="Times New Roman" w:cs="Times New Roman"/>
                <w:b/>
              </w:rPr>
              <w:t>(Tekstas svarbus EEE)</w:t>
            </w:r>
          </w:p>
        </w:tc>
        <w:tc>
          <w:tcPr>
            <w:tcW w:w="6966" w:type="dxa"/>
            <w:tcBorders>
              <w:top w:val="single" w:sz="2" w:space="0" w:color="000001"/>
              <w:left w:val="single" w:sz="2" w:space="0" w:color="000001"/>
              <w:bottom w:val="single" w:sz="2" w:space="0" w:color="000001"/>
            </w:tcBorders>
            <w:shd w:val="clear" w:color="auto" w:fill="FFFFFF"/>
          </w:tcPr>
          <w:p w:rsidR="00A13994" w:rsidRDefault="004D4DFB">
            <w:pPr>
              <w:pStyle w:val="Betarp"/>
              <w:tabs>
                <w:tab w:val="left" w:pos="1134"/>
              </w:tabs>
              <w:ind w:firstLine="850"/>
              <w:jc w:val="both"/>
            </w:pPr>
            <w:r>
              <w:rPr>
                <w:rFonts w:ascii="Times New Roman" w:hAnsi="Times New Roman" w:cs="Times New Roman"/>
                <w:b/>
                <w:bCs/>
                <w:color w:val="auto"/>
                <w:szCs w:val="24"/>
                <w:lang w:eastAsia="lt-LT"/>
              </w:rPr>
              <w:t>Lietuvos Respublikos administracinių nusižengimų kodekso 234</w:t>
            </w:r>
            <w:r>
              <w:rPr>
                <w:rFonts w:ascii="Times New Roman" w:hAnsi="Times New Roman" w:cs="Times New Roman"/>
                <w:b/>
                <w:bCs/>
                <w:color w:val="auto"/>
                <w:szCs w:val="24"/>
                <w:vertAlign w:val="superscript"/>
                <w:lang w:eastAsia="lt-LT"/>
              </w:rPr>
              <w:t>1</w:t>
            </w:r>
            <w:r>
              <w:rPr>
                <w:rFonts w:ascii="Times New Roman" w:hAnsi="Times New Roman" w:cs="Times New Roman"/>
                <w:b/>
                <w:bCs/>
                <w:color w:val="auto"/>
                <w:szCs w:val="24"/>
                <w:lang w:eastAsia="lt-LT"/>
              </w:rPr>
              <w:t>, 234</w:t>
            </w:r>
            <w:r>
              <w:rPr>
                <w:rFonts w:ascii="Times New Roman" w:hAnsi="Times New Roman" w:cs="Times New Roman"/>
                <w:b/>
                <w:bCs/>
                <w:color w:val="auto"/>
                <w:szCs w:val="24"/>
                <w:vertAlign w:val="superscript"/>
                <w:lang w:eastAsia="lt-LT"/>
              </w:rPr>
              <w:t>2</w:t>
            </w:r>
            <w:r>
              <w:rPr>
                <w:rFonts w:ascii="Times New Roman" w:hAnsi="Times New Roman" w:cs="Times New Roman"/>
                <w:b/>
                <w:bCs/>
                <w:color w:val="auto"/>
                <w:szCs w:val="24"/>
                <w:lang w:eastAsia="lt-LT"/>
              </w:rPr>
              <w:t xml:space="preserve"> straipsnių ir priedo pakeitimo įstatymo projektas</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Pr>
          <w:p w:rsidR="00A13994" w:rsidRDefault="004D4DFB" w:rsidP="008A074A">
            <w:pPr>
              <w:pStyle w:val="Nurodytoformatotekstas"/>
              <w:rPr>
                <w:rFonts w:ascii="Times New Roman" w:hAnsi="Times New Roman" w:cs="Times New Roman"/>
              </w:rPr>
            </w:pPr>
            <w:r>
              <w:rPr>
                <w:rFonts w:ascii="Times New Roman" w:hAnsi="Times New Roman" w:cs="Times New Roman"/>
              </w:rPr>
              <w:t>Reglamento įgyvendinimo lygis (visiškas, dalinis)</w:t>
            </w:r>
          </w:p>
        </w:tc>
      </w:tr>
      <w:tr w:rsidR="00A13994">
        <w:tc>
          <w:tcPr>
            <w:tcW w:w="6180" w:type="dxa"/>
            <w:tcBorders>
              <w:left w:val="single" w:sz="2" w:space="0" w:color="000001"/>
              <w:bottom w:val="single" w:sz="2" w:space="0" w:color="000001"/>
            </w:tcBorders>
            <w:shd w:val="clear" w:color="auto" w:fill="FFFFFF"/>
          </w:tcPr>
          <w:p w:rsidR="00A13994" w:rsidRDefault="004D4DFB">
            <w:pPr>
              <w:jc w:val="both"/>
              <w:rPr>
                <w:rFonts w:ascii="Times New Roman" w:hAnsi="Times New Roman" w:cs="Times New Roman"/>
                <w:b/>
                <w:bCs/>
              </w:rPr>
            </w:pPr>
            <w:r>
              <w:rPr>
                <w:rFonts w:ascii="Times New Roman" w:hAnsi="Times New Roman" w:cs="Times New Roman"/>
                <w:b/>
                <w:bCs/>
              </w:rPr>
              <w:t>13 straipsnis.</w:t>
            </w:r>
          </w:p>
          <w:p w:rsidR="00A13994" w:rsidRDefault="004D4DFB">
            <w:pPr>
              <w:jc w:val="both"/>
              <w:rPr>
                <w:rFonts w:ascii="Times New Roman" w:hAnsi="Times New Roman" w:cs="Times New Roman"/>
                <w:b/>
                <w:bCs/>
              </w:rPr>
            </w:pPr>
            <w:r>
              <w:rPr>
                <w:rFonts w:ascii="Times New Roman" w:hAnsi="Times New Roman" w:cs="Times New Roman"/>
                <w:b/>
                <w:bCs/>
              </w:rPr>
              <w:t>Sankcijos</w:t>
            </w:r>
          </w:p>
          <w:p w:rsidR="00A13994" w:rsidRDefault="004D4DFB">
            <w:pPr>
              <w:jc w:val="both"/>
              <w:rPr>
                <w:rFonts w:ascii="Times New Roman" w:hAnsi="Times New Roman" w:cs="Times New Roman"/>
              </w:rPr>
            </w:pPr>
            <w:r>
              <w:rPr>
                <w:rFonts w:ascii="Times New Roman" w:hAnsi="Times New Roman" w:cs="Times New Roman"/>
              </w:rPr>
              <w:t>Valstybės narės nustato sankcijų, taikomų pažeidus šį reglamentą, taisykles ir imasi visų būtinų priemonių užtikrinti, kad tos sankcijos būtų įgyvendinamos. Numatytos sankcijos turi būti veiksmingos, proporcingos ir atgrasomos.</w:t>
            </w:r>
          </w:p>
        </w:tc>
        <w:tc>
          <w:tcPr>
            <w:tcW w:w="6966" w:type="dxa"/>
            <w:tcBorders>
              <w:left w:val="single" w:sz="2" w:space="0" w:color="000001"/>
              <w:bottom w:val="single" w:sz="2" w:space="0" w:color="000001"/>
            </w:tcBorders>
            <w:shd w:val="clear" w:color="auto" w:fill="FFFFFF"/>
          </w:tcPr>
          <w:p w:rsidR="00A13994" w:rsidRDefault="004D4DFB">
            <w:pPr>
              <w:widowControl w:val="0"/>
              <w:spacing w:line="276" w:lineRule="auto"/>
              <w:ind w:firstLine="850"/>
              <w:jc w:val="both"/>
            </w:pPr>
            <w:r>
              <w:rPr>
                <w:rFonts w:ascii="Times New Roman" w:hAnsi="Times New Roman"/>
                <w:b/>
                <w:bCs/>
                <w:lang w:eastAsia="lt-LT"/>
              </w:rPr>
              <w:t>1 straipsnis. 234</w:t>
            </w:r>
            <w:r w:rsidRPr="008A074A">
              <w:rPr>
                <w:rFonts w:ascii="Times New Roman" w:hAnsi="Times New Roman"/>
                <w:b/>
                <w:bCs/>
                <w:vertAlign w:val="superscript"/>
                <w:lang w:eastAsia="lt-LT"/>
              </w:rPr>
              <w:t>1</w:t>
            </w:r>
            <w:r>
              <w:rPr>
                <w:rFonts w:ascii="Times New Roman" w:hAnsi="Times New Roman"/>
                <w:b/>
                <w:bCs/>
                <w:lang w:eastAsia="lt-LT"/>
              </w:rPr>
              <w:t xml:space="preserve"> straipsnio pakeitimas</w:t>
            </w:r>
          </w:p>
          <w:p w:rsidR="00A13994" w:rsidRDefault="004D4DFB">
            <w:pPr>
              <w:pStyle w:val="Standard"/>
              <w:ind w:firstLine="850"/>
              <w:jc w:val="both"/>
            </w:pPr>
            <w:r>
              <w:rPr>
                <w:rFonts w:ascii="Times New Roman" w:hAnsi="Times New Roman"/>
              </w:rPr>
              <w:t>Pakeisti 234</w:t>
            </w:r>
            <w:r>
              <w:rPr>
                <w:rFonts w:ascii="Times New Roman" w:hAnsi="Times New Roman"/>
                <w:vertAlign w:val="superscript"/>
              </w:rPr>
              <w:t xml:space="preserve">1 </w:t>
            </w:r>
            <w:r>
              <w:rPr>
                <w:rFonts w:ascii="Times New Roman" w:hAnsi="Times New Roman"/>
              </w:rPr>
              <w:t>straipsnį ir jį išdėstyti taip:</w:t>
            </w:r>
          </w:p>
          <w:p w:rsidR="00A13994" w:rsidRDefault="004D4DFB">
            <w:pPr>
              <w:pStyle w:val="Standard"/>
              <w:ind w:left="57" w:firstLine="850"/>
              <w:jc w:val="both"/>
            </w:pPr>
            <w:r>
              <w:rPr>
                <w:rFonts w:ascii="Times New Roman" w:hAnsi="Times New Roman"/>
              </w:rPr>
              <w:t>„</w:t>
            </w:r>
            <w:r>
              <w:rPr>
                <w:rFonts w:ascii="Times New Roman" w:hAnsi="Times New Roman"/>
                <w:b/>
                <w:bCs/>
              </w:rPr>
              <w:t>234</w:t>
            </w:r>
            <w:r>
              <w:rPr>
                <w:rFonts w:ascii="Times New Roman" w:hAnsi="Times New Roman"/>
                <w:b/>
                <w:bCs/>
                <w:vertAlign w:val="superscript"/>
              </w:rPr>
              <w:t>1</w:t>
            </w:r>
            <w:r>
              <w:rPr>
                <w:rFonts w:ascii="Times New Roman" w:hAnsi="Times New Roman"/>
                <w:b/>
                <w:bCs/>
              </w:rPr>
              <w:t xml:space="preserve"> straipsnis. Reglamentuojamų sprogstamųjų medžiagų pirmtakų apyvartos reikalavimų pažeidimas</w:t>
            </w:r>
          </w:p>
          <w:p w:rsidR="00A13994" w:rsidRDefault="004D4DFB">
            <w:pPr>
              <w:pStyle w:val="Standard"/>
              <w:ind w:firstLine="850"/>
              <w:jc w:val="both"/>
              <w:rPr>
                <w:rFonts w:ascii="Times New Roman" w:hAnsi="Times New Roman"/>
              </w:rPr>
            </w:pPr>
            <w:r>
              <w:rPr>
                <w:rFonts w:ascii="Times New Roman" w:hAnsi="Times New Roman"/>
              </w:rPr>
              <w:t>1. Patikrinimo, ar klientas turi teisę įsigyti riboto naudojimo sprogstamųjų medžiagų pirmtak</w:t>
            </w:r>
            <w:r w:rsidR="00735C5F">
              <w:rPr>
                <w:rFonts w:ascii="Times New Roman" w:hAnsi="Times New Roman"/>
              </w:rPr>
              <w:t>ų</w:t>
            </w:r>
            <w:r>
              <w:rPr>
                <w:rFonts w:ascii="Times New Roman" w:hAnsi="Times New Roman"/>
              </w:rPr>
              <w:t>, neatlikimas arba patikrinimo metu iš kliento gautos informacijos, įrodančios, kad klientas turi teisę įsigyti riboto naudojimo sprogstamųjų medžiagų pirmtak</w:t>
            </w:r>
            <w:r w:rsidR="00735C5F">
              <w:rPr>
                <w:rFonts w:ascii="Times New Roman" w:hAnsi="Times New Roman"/>
              </w:rPr>
              <w:t>ų</w:t>
            </w:r>
            <w:r>
              <w:rPr>
                <w:rFonts w:ascii="Times New Roman" w:hAnsi="Times New Roman"/>
              </w:rPr>
              <w:t>, neišsaugojimas Reglamente (ES) 2019/1148 nustatytą terminą</w:t>
            </w:r>
          </w:p>
          <w:p w:rsidR="00A13994" w:rsidRDefault="004D4DFB">
            <w:pPr>
              <w:pStyle w:val="Standard"/>
              <w:ind w:firstLine="850"/>
              <w:jc w:val="both"/>
              <w:rPr>
                <w:rFonts w:ascii="Times New Roman" w:hAnsi="Times New Roman"/>
              </w:rPr>
            </w:pPr>
            <w:r>
              <w:rPr>
                <w:rFonts w:ascii="Times New Roman" w:hAnsi="Times New Roman"/>
              </w:rPr>
              <w:t>užtraukia baudą asmenims nuo vieno šimto iki trijų šimtų eurų ir juridinių asmenų vadovams ar kitiems atsakingiems asmenims – nuo trijų šimtų iki vieno tūkstančio eurų.</w:t>
            </w:r>
          </w:p>
          <w:p w:rsidR="00A13994" w:rsidRDefault="004D4DFB">
            <w:pPr>
              <w:pStyle w:val="Standard"/>
              <w:ind w:firstLine="850"/>
              <w:jc w:val="both"/>
              <w:rPr>
                <w:rFonts w:ascii="Times New Roman" w:hAnsi="Times New Roman"/>
              </w:rPr>
            </w:pPr>
            <w:r>
              <w:rPr>
                <w:rFonts w:ascii="Times New Roman" w:hAnsi="Times New Roman"/>
              </w:rPr>
              <w:t>2. Šio straipsnio 1 dalyje numatytas administracinis nusižengimas, padarytas pakartotinai,</w:t>
            </w:r>
          </w:p>
          <w:p w:rsidR="00A13994" w:rsidRDefault="004D4DFB">
            <w:pPr>
              <w:pStyle w:val="Standard"/>
              <w:ind w:firstLine="850"/>
              <w:jc w:val="both"/>
              <w:rPr>
                <w:rFonts w:ascii="Times New Roman" w:hAnsi="Times New Roman"/>
              </w:rPr>
            </w:pPr>
            <w:r>
              <w:rPr>
                <w:rFonts w:ascii="Times New Roman" w:hAnsi="Times New Roman"/>
              </w:rPr>
              <w:t>užtraukia baudą asmenims nuo dviejų šimtų iki keturių šimtų eurų ir juridinių asmenų vadovams ar kitiems atsakingiems asmenims – nuo penkių šimtų iki vieno tūkstančio penkių šimtų eurų.</w:t>
            </w:r>
          </w:p>
          <w:p w:rsidR="00A13994" w:rsidRDefault="004D4DFB">
            <w:pPr>
              <w:pStyle w:val="Standard"/>
              <w:ind w:firstLine="850"/>
              <w:jc w:val="both"/>
              <w:rPr>
                <w:rFonts w:ascii="Times New Roman" w:hAnsi="Times New Roman"/>
              </w:rPr>
            </w:pPr>
            <w:r>
              <w:rPr>
                <w:rFonts w:ascii="Times New Roman" w:hAnsi="Times New Roman"/>
              </w:rPr>
              <w:t>3. Nepranešimas apie įtartiną sandorį dėl reglamentuojamų sprogstamųjų medžiagų pirmtakų ar nepranešimas apie reglamentuojamų sprogstamųjų medžiagų pirmtakų dingimą ar vagystę</w:t>
            </w:r>
          </w:p>
          <w:p w:rsidR="00A13994" w:rsidRDefault="004D4DFB">
            <w:pPr>
              <w:pStyle w:val="Standard"/>
              <w:ind w:firstLine="850"/>
              <w:jc w:val="both"/>
              <w:rPr>
                <w:rFonts w:ascii="Times New Roman" w:hAnsi="Times New Roman"/>
              </w:rPr>
            </w:pPr>
            <w:r>
              <w:rPr>
                <w:rFonts w:ascii="Times New Roman" w:hAnsi="Times New Roman"/>
              </w:rPr>
              <w:lastRenderedPageBreak/>
              <w:t>užtraukia baudą asmenims nuo dviejų šimtų iki keturių šimtų eurų ir juridinių asmenų vadovams ar kitiems atsakingiems asmenims – nuo keturių šimtų iki vieno tūkstančio penkių šimtų eurų.</w:t>
            </w:r>
          </w:p>
          <w:p w:rsidR="00A13994" w:rsidRDefault="004D4DFB">
            <w:pPr>
              <w:pStyle w:val="Standard"/>
              <w:ind w:firstLine="850"/>
              <w:jc w:val="both"/>
              <w:rPr>
                <w:rFonts w:ascii="Times New Roman" w:hAnsi="Times New Roman"/>
              </w:rPr>
            </w:pPr>
            <w:r>
              <w:rPr>
                <w:rFonts w:ascii="Times New Roman" w:hAnsi="Times New Roman"/>
              </w:rPr>
              <w:t>4. Reglamento (ES) 2019/1148 pažeidimai, išskyrus šiame kodekse nurodytuosius,</w:t>
            </w:r>
          </w:p>
          <w:p w:rsidR="00A13994" w:rsidRDefault="004D4DFB">
            <w:pPr>
              <w:pStyle w:val="Standard"/>
              <w:ind w:firstLine="850"/>
              <w:jc w:val="both"/>
              <w:rPr>
                <w:rFonts w:ascii="Times New Roman" w:hAnsi="Times New Roman"/>
              </w:rPr>
            </w:pPr>
            <w:r>
              <w:rPr>
                <w:rFonts w:ascii="Times New Roman" w:hAnsi="Times New Roman"/>
              </w:rPr>
              <w:t>užtraukia baudą nuo vieno šimto iki dviejų šimtų eurų.</w:t>
            </w:r>
          </w:p>
          <w:p w:rsidR="00A13994" w:rsidRDefault="004D4DFB">
            <w:pPr>
              <w:pStyle w:val="Standard"/>
              <w:ind w:firstLine="850"/>
              <w:jc w:val="both"/>
              <w:rPr>
                <w:rFonts w:ascii="Times New Roman" w:hAnsi="Times New Roman"/>
              </w:rPr>
            </w:pPr>
            <w:r>
              <w:rPr>
                <w:rFonts w:ascii="Times New Roman" w:hAnsi="Times New Roman"/>
              </w:rPr>
              <w:t>5. Už šio straipsnio 1, 2 dalyse numatytus administracinius nusižengimus gali būti skiriamas reglamentuojamų sprogstamųjų medžiagų pirmtakų konfiskavimas.“</w:t>
            </w:r>
          </w:p>
          <w:p w:rsidR="00A13994" w:rsidRDefault="00A13994">
            <w:pPr>
              <w:pStyle w:val="Standard"/>
              <w:ind w:firstLine="850"/>
              <w:jc w:val="both"/>
              <w:rPr>
                <w:rFonts w:ascii="Times New Roman" w:hAnsi="Times New Roman"/>
              </w:rPr>
            </w:pPr>
          </w:p>
          <w:p w:rsidR="00A13994" w:rsidRDefault="004D4DFB">
            <w:pPr>
              <w:widowControl w:val="0"/>
              <w:spacing w:line="276" w:lineRule="auto"/>
              <w:ind w:firstLine="850"/>
              <w:jc w:val="both"/>
              <w:rPr>
                <w:b/>
                <w:bCs/>
              </w:rPr>
            </w:pPr>
            <w:r>
              <w:rPr>
                <w:rFonts w:ascii="Times New Roman" w:hAnsi="Times New Roman"/>
                <w:b/>
                <w:bCs/>
                <w:lang w:eastAsia="lt-LT"/>
              </w:rPr>
              <w:t>2 straipsnis. 234</w:t>
            </w:r>
            <w:r w:rsidRPr="008A074A">
              <w:rPr>
                <w:rFonts w:ascii="Times New Roman" w:hAnsi="Times New Roman"/>
                <w:b/>
                <w:bCs/>
                <w:vertAlign w:val="superscript"/>
                <w:lang w:eastAsia="lt-LT"/>
              </w:rPr>
              <w:t>2</w:t>
            </w:r>
            <w:r>
              <w:rPr>
                <w:rFonts w:ascii="Times New Roman" w:hAnsi="Times New Roman"/>
                <w:b/>
                <w:bCs/>
                <w:lang w:eastAsia="lt-LT"/>
              </w:rPr>
              <w:t xml:space="preserve"> straipsnio pakeitimas</w:t>
            </w:r>
          </w:p>
          <w:p w:rsidR="00A13994" w:rsidRDefault="004D4DFB">
            <w:pPr>
              <w:pStyle w:val="Standard"/>
              <w:ind w:firstLine="850"/>
              <w:jc w:val="both"/>
            </w:pPr>
            <w:r>
              <w:rPr>
                <w:rFonts w:ascii="Times New Roman" w:hAnsi="Times New Roman"/>
              </w:rPr>
              <w:t>Pakeisti 234</w:t>
            </w:r>
            <w:r>
              <w:rPr>
                <w:rFonts w:ascii="Times New Roman" w:hAnsi="Times New Roman"/>
                <w:vertAlign w:val="superscript"/>
              </w:rPr>
              <w:t xml:space="preserve">2 </w:t>
            </w:r>
            <w:r>
              <w:rPr>
                <w:rFonts w:ascii="Times New Roman" w:hAnsi="Times New Roman"/>
              </w:rPr>
              <w:t>straipsnį ir jį išdėstyti taip:</w:t>
            </w:r>
          </w:p>
          <w:p w:rsidR="00A13994" w:rsidRDefault="004D4DFB">
            <w:pPr>
              <w:pStyle w:val="Textbody"/>
              <w:spacing w:after="0" w:line="240" w:lineRule="auto"/>
              <w:ind w:left="57" w:firstLine="794"/>
              <w:jc w:val="both"/>
            </w:pPr>
            <w:r>
              <w:rPr>
                <w:rFonts w:ascii="Times New Roman" w:hAnsi="Times New Roman"/>
              </w:rPr>
              <w:t>„</w:t>
            </w:r>
            <w:r>
              <w:rPr>
                <w:rFonts w:ascii="Times New Roman" w:hAnsi="Times New Roman"/>
                <w:b/>
                <w:bCs/>
              </w:rPr>
              <w:t>234</w:t>
            </w:r>
            <w:r>
              <w:rPr>
                <w:rFonts w:ascii="Times New Roman" w:hAnsi="Times New Roman"/>
                <w:b/>
                <w:bCs/>
                <w:vertAlign w:val="superscript"/>
              </w:rPr>
              <w:t>2</w:t>
            </w:r>
            <w:r>
              <w:rPr>
                <w:rFonts w:ascii="Times New Roman" w:hAnsi="Times New Roman"/>
                <w:b/>
                <w:bCs/>
              </w:rPr>
              <w:t xml:space="preserve"> straipsnis. Neteisėtas disponavimas riboto naudojimo sprogstamųjų medžiagų pirmtakais</w:t>
            </w:r>
          </w:p>
          <w:p w:rsidR="00A13994" w:rsidRDefault="004D4DFB">
            <w:pPr>
              <w:pStyle w:val="Textbody"/>
              <w:spacing w:after="0" w:line="240" w:lineRule="auto"/>
              <w:ind w:firstLine="850"/>
              <w:jc w:val="both"/>
              <w:rPr>
                <w:rFonts w:ascii="Times New Roman" w:hAnsi="Times New Roman"/>
              </w:rPr>
            </w:pPr>
            <w:r>
              <w:rPr>
                <w:rFonts w:ascii="Times New Roman" w:hAnsi="Times New Roman"/>
              </w:rPr>
              <w:t>1. Neteisėtas riboto naudojimo sprogstamųjų medžiagų pirmtakų ar mišinių, kuriuose kalio chlorato, kalio perchlorato, natrio chlorato, natrio perchlorato bendra koncentracija mišinyje viršija 40 proc. ribinę vertę, tiekimas, įvežimas, laikymas ir naudojimas</w:t>
            </w:r>
          </w:p>
          <w:p w:rsidR="00A13994" w:rsidRDefault="004D4DFB">
            <w:pPr>
              <w:pStyle w:val="Textbody"/>
              <w:spacing w:after="0" w:line="240" w:lineRule="auto"/>
              <w:ind w:firstLine="850"/>
              <w:jc w:val="both"/>
              <w:rPr>
                <w:rFonts w:ascii="Times New Roman" w:hAnsi="Times New Roman"/>
              </w:rPr>
            </w:pPr>
            <w:r>
              <w:rPr>
                <w:rFonts w:ascii="Times New Roman" w:hAnsi="Times New Roman"/>
              </w:rPr>
              <w:t>užtraukia baudą asmenims nuo dviejų šimtų iki penkių šimtų eurų ir juridinių asmenų vadovams ar kitiems atsakingiems asmenims – nuo penkių šimtų iki vieno tūkstančio penkių šimtų eurų.</w:t>
            </w:r>
          </w:p>
          <w:p w:rsidR="00A13994" w:rsidRDefault="004D4DFB">
            <w:pPr>
              <w:pStyle w:val="Textbody"/>
              <w:spacing w:after="0" w:line="240" w:lineRule="auto"/>
              <w:ind w:firstLine="850"/>
              <w:jc w:val="both"/>
            </w:pPr>
            <w:r>
              <w:rPr>
                <w:rFonts w:ascii="Times New Roman" w:hAnsi="Times New Roman" w:cs="Times New Roman"/>
                <w:color w:val="000000"/>
                <w:lang w:eastAsia="lt-LT"/>
              </w:rPr>
              <w:t>2. Už šio straipsnio 1 dalyje numatytą administracinį nusižengimą privaloma skirti riboto naudojimo sprogstamųjų medžiagų pirmtakų ar mišinių, kuriuose kalio chlorato, kalio perchlorato, natrio chlorato, natrio perchlorato bendra koncentracija mišinyje viršija 40 proc. ribinę vertę, konfiskavimą.“</w:t>
            </w:r>
          </w:p>
        </w:tc>
        <w:tc>
          <w:tcPr>
            <w:tcW w:w="1577" w:type="dxa"/>
            <w:tcBorders>
              <w:left w:val="single" w:sz="2" w:space="0" w:color="000001"/>
              <w:bottom w:val="single" w:sz="2" w:space="0" w:color="000001"/>
              <w:right w:val="single" w:sz="2" w:space="0" w:color="000001"/>
            </w:tcBorders>
            <w:shd w:val="clear" w:color="auto" w:fill="FFFFFF"/>
          </w:tcPr>
          <w:p w:rsidR="00A13994" w:rsidRPr="008A074A" w:rsidRDefault="004D4DFB">
            <w:pPr>
              <w:pStyle w:val="Nurodytoformatotekstas"/>
              <w:rPr>
                <w:rFonts w:ascii="Times New Roman" w:hAnsi="Times New Roman"/>
                <w:b/>
              </w:rPr>
            </w:pPr>
            <w:r w:rsidRPr="008A074A">
              <w:rPr>
                <w:rFonts w:ascii="Times New Roman" w:hAnsi="Times New Roman"/>
                <w:b/>
              </w:rPr>
              <w:lastRenderedPageBreak/>
              <w:t>Visiškas</w:t>
            </w:r>
          </w:p>
        </w:tc>
      </w:tr>
    </w:tbl>
    <w:p w:rsidR="00A13994" w:rsidRDefault="00A13994">
      <w:pPr>
        <w:jc w:val="center"/>
      </w:pPr>
    </w:p>
    <w:p w:rsidR="00A13994" w:rsidRDefault="00A13994"/>
    <w:sectPr w:rsidR="00A13994" w:rsidSect="008A074A">
      <w:headerReference w:type="default" r:id="rId6"/>
      <w:headerReference w:type="first" r:id="rId7"/>
      <w:pgSz w:w="16838" w:h="11906" w:orient="landscape"/>
      <w:pgMar w:top="1701" w:right="567" w:bottom="1134" w:left="1134" w:header="1134" w:footer="0" w:gutter="0"/>
      <w:cols w:space="1296"/>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12" w:rsidRDefault="00513812">
      <w:r>
        <w:separator/>
      </w:r>
    </w:p>
  </w:endnote>
  <w:endnote w:type="continuationSeparator" w:id="0">
    <w:p w:rsidR="00513812" w:rsidRDefault="0051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12" w:rsidRDefault="00513812">
      <w:r>
        <w:separator/>
      </w:r>
    </w:p>
  </w:footnote>
  <w:footnote w:type="continuationSeparator" w:id="0">
    <w:p w:rsidR="00513812" w:rsidRDefault="00513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94" w:rsidRDefault="004D4DFB">
    <w:pPr>
      <w:pStyle w:val="Antrats"/>
      <w:jc w:val="center"/>
    </w:pPr>
    <w:r>
      <w:fldChar w:fldCharType="begin"/>
    </w:r>
    <w:r>
      <w:instrText>PAGE</w:instrText>
    </w:r>
    <w:r>
      <w:fldChar w:fldCharType="separate"/>
    </w:r>
    <w:r w:rsidR="008D20B9">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94" w:rsidRDefault="00A13994">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94"/>
    <w:rsid w:val="00391930"/>
    <w:rsid w:val="004D4DFB"/>
    <w:rsid w:val="00513812"/>
    <w:rsid w:val="00574821"/>
    <w:rsid w:val="005D53C7"/>
    <w:rsid w:val="00735C5F"/>
    <w:rsid w:val="008A074A"/>
    <w:rsid w:val="008D20B9"/>
    <w:rsid w:val="00A13994"/>
    <w:rsid w:val="00E06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59212-560A-4757-9E74-564D2D1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lt-LT"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hAnsi="Segoe UI" w:cs="Mangal"/>
      <w:sz w:val="18"/>
      <w:szCs w:val="16"/>
    </w:rPr>
  </w:style>
  <w:style w:type="character" w:customStyle="1" w:styleId="tablecellcolumn">
    <w:name w:val="tablecellcolumn"/>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qFormat/>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Lentelsturinys">
    <w:name w:val="Lentelės turinys"/>
    <w:basedOn w:val="prastasis"/>
    <w:qFormat/>
    <w:pPr>
      <w:suppressLineNumbers/>
    </w:pPr>
  </w:style>
  <w:style w:type="paragraph" w:customStyle="1" w:styleId="Nurodytoformatotekstas">
    <w:name w:val="Nurodyto formato tekstas"/>
    <w:basedOn w:val="prastasis"/>
    <w:qFormat/>
  </w:style>
  <w:style w:type="paragraph" w:customStyle="1" w:styleId="TableContents">
    <w:name w:val="Table Contents"/>
    <w:basedOn w:val="prastasis"/>
    <w:qFormat/>
    <w:pPr>
      <w:suppressLineNumbers/>
    </w:pPr>
  </w:style>
  <w:style w:type="paragraph" w:customStyle="1" w:styleId="Default">
    <w:name w:val="Default"/>
    <w:qFormat/>
    <w:pPr>
      <w:suppressAutoHyphens/>
    </w:pPr>
    <w:rPr>
      <w:rFonts w:ascii="EUAlbertina" w:eastAsia="EUAlbertina" w:hAnsi="EUAlbertina" w:cs="EUAlbertina"/>
      <w:color w:val="000000"/>
    </w:rPr>
  </w:style>
  <w:style w:type="paragraph" w:styleId="Antrats">
    <w:name w:val="header"/>
    <w:basedOn w:val="prastasis"/>
    <w:pPr>
      <w:suppressLineNumbers/>
      <w:tabs>
        <w:tab w:val="center" w:pos="4819"/>
        <w:tab w:val="right" w:pos="9638"/>
      </w:tabs>
    </w:pPr>
  </w:style>
  <w:style w:type="paragraph" w:styleId="Debesliotekstas">
    <w:name w:val="Balloon Text"/>
    <w:basedOn w:val="prastasis"/>
    <w:qFormat/>
    <w:rPr>
      <w:rFonts w:ascii="Segoe UI" w:hAnsi="Segoe UI" w:cs="Mangal"/>
      <w:sz w:val="18"/>
      <w:szCs w:val="16"/>
    </w:rPr>
  </w:style>
  <w:style w:type="paragraph" w:customStyle="1" w:styleId="HeaderandFooter">
    <w:name w:val="Header and Footer"/>
    <w:basedOn w:val="prastasis"/>
    <w:qFormat/>
    <w:pPr>
      <w:suppressLineNumbers/>
      <w:tabs>
        <w:tab w:val="center" w:pos="4819"/>
        <w:tab w:val="right" w:pos="9638"/>
      </w:tabs>
    </w:pPr>
  </w:style>
  <w:style w:type="paragraph" w:styleId="Betarp">
    <w:name w:val="No Spacing"/>
    <w:qFormat/>
    <w:pPr>
      <w:suppressAutoHyphens/>
    </w:pPr>
    <w:rPr>
      <w:color w:val="00000A"/>
      <w:szCs w:val="22"/>
    </w:rPr>
  </w:style>
  <w:style w:type="paragraph" w:customStyle="1" w:styleId="Standard">
    <w:name w:val="Standard"/>
    <w:qFormat/>
    <w:pPr>
      <w:suppressAutoHyphens/>
    </w:pPr>
  </w:style>
  <w:style w:type="paragraph" w:customStyle="1" w:styleId="Textbody">
    <w:name w:val="Text body"/>
    <w:basedOn w:val="Standard"/>
    <w:qFormat/>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2158</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KOMISIJOS  ĮGYVENDINIMO  DIREKTYVA  (ES)  2019/  68  -  2019 m.  sausio 16 d.  -  kuria  pagal  Tarybos  direktyvą  91/  477/  EEB  dėl  ginklų  įsigijimo  ir  laikymo  kontrolės  nustatomos  techninės  šaunamųjų  ginklų  ir  jų  pagrindinių  dalių  žymėj</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2021-01-20T10:15:00Z</dcterms:created>
  <dc:creator>Publications Office</dc:creator>
  <dc:language>lt-LT</dc:language>
  <cp:lastModifiedBy>Bronius Dalinkevičius</cp:lastModifiedBy>
  <dcterms:modified xsi:type="dcterms:W3CDTF">2021-01-20T10:15:00Z</dcterms:modified>
  <cp:revision>2</cp:revision>
  <dc:title>KOMISIJOS  ĮGYVENDINIMO  DIREKTYVA  (ES)  2019/  68  -  2019 m.  sausio 16 d.  -  kuria  pagal  Tarybos  direktyvą  91/  477/  EEB  dėl  ginklų  įsigijimo  ir  laikymo  kontrolės  nustatomos  techninės  šaunamųjų  ginklų  ir  jų  pagrindinių  dalių  žymėjimo  specifikacijos</dc:title>
</cp:coreProperties>
</file>