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590" w:rsidRDefault="00921590" w:rsidP="00921590">
      <w:pPr>
        <w:ind w:firstLine="7410"/>
        <w:rPr>
          <w:b/>
          <w:color w:val="000000"/>
        </w:rPr>
      </w:pPr>
      <w:r w:rsidRPr="00370D19">
        <w:rPr>
          <w:b/>
          <w:color w:val="000000"/>
        </w:rPr>
        <w:t>Projekt</w:t>
      </w:r>
      <w:r>
        <w:rPr>
          <w:b/>
          <w:color w:val="000000"/>
        </w:rPr>
        <w:t>o</w:t>
      </w:r>
    </w:p>
    <w:p w:rsidR="00921590" w:rsidRPr="00370D19" w:rsidRDefault="00921590" w:rsidP="00921590">
      <w:pPr>
        <w:ind w:firstLine="6498"/>
        <w:jc w:val="right"/>
        <w:rPr>
          <w:b/>
          <w:color w:val="000000"/>
        </w:rPr>
      </w:pPr>
      <w:r>
        <w:rPr>
          <w:b/>
          <w:color w:val="000000"/>
        </w:rPr>
        <w:t>lyginamasis variantas</w:t>
      </w:r>
    </w:p>
    <w:p w:rsidR="00921590" w:rsidRPr="00370D19" w:rsidRDefault="00921590" w:rsidP="00921590">
      <w:pPr>
        <w:jc w:val="center"/>
        <w:rPr>
          <w:bCs/>
          <w:caps/>
          <w:color w:val="000000"/>
        </w:rPr>
      </w:pPr>
    </w:p>
    <w:p w:rsidR="00921590" w:rsidRPr="00370D19" w:rsidRDefault="00921590" w:rsidP="00921590">
      <w:pPr>
        <w:jc w:val="center"/>
        <w:rPr>
          <w:b/>
          <w:bCs/>
          <w:caps/>
          <w:color w:val="000000"/>
        </w:rPr>
      </w:pPr>
      <w:r w:rsidRPr="00370D19">
        <w:rPr>
          <w:b/>
          <w:bCs/>
          <w:caps/>
          <w:color w:val="000000"/>
        </w:rPr>
        <w:t xml:space="preserve">LIETUVOS RESPUBLIKOS </w:t>
      </w:r>
    </w:p>
    <w:p w:rsidR="00921590" w:rsidRPr="00C912E6" w:rsidRDefault="008F5F88" w:rsidP="00921590">
      <w:pPr>
        <w:jc w:val="center"/>
        <w:rPr>
          <w:color w:val="000000"/>
        </w:rPr>
      </w:pPr>
      <w:r>
        <w:rPr>
          <w:b/>
          <w:bCs/>
          <w:caps/>
          <w:color w:val="000000"/>
        </w:rPr>
        <w:t>ADMINISTRACINIŲ BYLŲ TEISENOS</w:t>
      </w:r>
      <w:r w:rsidR="00921590">
        <w:rPr>
          <w:b/>
          <w:bCs/>
          <w:caps/>
          <w:color w:val="000000"/>
        </w:rPr>
        <w:t xml:space="preserve"> ĮSTATYMO NR. VII</w:t>
      </w:r>
      <w:r w:rsidR="00921590" w:rsidRPr="00C912E6">
        <w:rPr>
          <w:b/>
          <w:bCs/>
          <w:caps/>
          <w:color w:val="000000"/>
        </w:rPr>
        <w:t>I-</w:t>
      </w:r>
      <w:r w:rsidR="00921590">
        <w:rPr>
          <w:b/>
          <w:bCs/>
          <w:caps/>
          <w:color w:val="000000"/>
        </w:rPr>
        <w:t>1029</w:t>
      </w:r>
      <w:r w:rsidR="00921590" w:rsidRPr="00C912E6">
        <w:rPr>
          <w:b/>
          <w:bCs/>
          <w:caps/>
          <w:color w:val="000000"/>
        </w:rPr>
        <w:t xml:space="preserve"> </w:t>
      </w:r>
      <w:r w:rsidR="00921590">
        <w:rPr>
          <w:b/>
          <w:bCs/>
          <w:caps/>
          <w:color w:val="000000"/>
        </w:rPr>
        <w:t>14, 18 ir 112</w:t>
      </w:r>
      <w:r w:rsidR="00921590" w:rsidRPr="00C912E6">
        <w:rPr>
          <w:b/>
          <w:bCs/>
          <w:caps/>
          <w:color w:val="000000"/>
        </w:rPr>
        <w:t xml:space="preserve"> STRAIPSNI</w:t>
      </w:r>
      <w:r w:rsidR="00E53B57">
        <w:rPr>
          <w:b/>
          <w:bCs/>
          <w:caps/>
          <w:color w:val="000000"/>
        </w:rPr>
        <w:t>ų</w:t>
      </w:r>
      <w:bookmarkStart w:id="0" w:name="_GoBack"/>
      <w:bookmarkEnd w:id="0"/>
      <w:r w:rsidR="00921590" w:rsidRPr="00C912E6">
        <w:rPr>
          <w:b/>
          <w:bCs/>
          <w:caps/>
          <w:color w:val="000000"/>
        </w:rPr>
        <w:t xml:space="preserve"> PAKEITIMO</w:t>
      </w:r>
    </w:p>
    <w:p w:rsidR="00921590" w:rsidRPr="00370D19" w:rsidRDefault="00921590" w:rsidP="00921590">
      <w:pPr>
        <w:jc w:val="center"/>
        <w:rPr>
          <w:b/>
          <w:bCs/>
          <w:caps/>
          <w:color w:val="000000"/>
        </w:rPr>
      </w:pPr>
      <w:r w:rsidRPr="00370D19">
        <w:rPr>
          <w:b/>
          <w:bCs/>
          <w:caps/>
          <w:color w:val="000000"/>
        </w:rPr>
        <w:t>ĮSTATYMas</w:t>
      </w:r>
    </w:p>
    <w:p w:rsidR="00921590" w:rsidRPr="00370D19" w:rsidRDefault="00921590" w:rsidP="00921590">
      <w:pPr>
        <w:jc w:val="center"/>
        <w:rPr>
          <w:bCs/>
          <w:caps/>
          <w:color w:val="000000"/>
        </w:rPr>
      </w:pPr>
    </w:p>
    <w:p w:rsidR="00921590" w:rsidRPr="00370D19" w:rsidRDefault="00921590" w:rsidP="00921590">
      <w:pPr>
        <w:jc w:val="center"/>
        <w:rPr>
          <w:color w:val="000000"/>
        </w:rPr>
      </w:pPr>
      <w:r w:rsidRPr="00370D19">
        <w:rPr>
          <w:color w:val="000000"/>
        </w:rPr>
        <w:t>20</w:t>
      </w:r>
      <w:r>
        <w:rPr>
          <w:color w:val="000000"/>
        </w:rPr>
        <w:t>21</w:t>
      </w:r>
      <w:r w:rsidRPr="00370D19">
        <w:rPr>
          <w:color w:val="000000"/>
        </w:rPr>
        <w:t xml:space="preserve"> m.                  d. Nr. </w:t>
      </w:r>
    </w:p>
    <w:p w:rsidR="00921590" w:rsidRPr="00370D19" w:rsidRDefault="00921590" w:rsidP="00921590">
      <w:pPr>
        <w:jc w:val="center"/>
        <w:rPr>
          <w:color w:val="000000"/>
        </w:rPr>
      </w:pPr>
      <w:r w:rsidRPr="00370D19">
        <w:rPr>
          <w:color w:val="000000"/>
        </w:rPr>
        <w:t>Vilnius</w:t>
      </w:r>
    </w:p>
    <w:p w:rsidR="00921590" w:rsidRPr="00370D19" w:rsidRDefault="00921590" w:rsidP="00921590">
      <w:pPr>
        <w:jc w:val="center"/>
      </w:pPr>
    </w:p>
    <w:p w:rsidR="00921590" w:rsidRPr="00370D19" w:rsidRDefault="00921590" w:rsidP="00921590">
      <w:pPr>
        <w:jc w:val="center"/>
      </w:pPr>
    </w:p>
    <w:p w:rsidR="00921590" w:rsidRPr="00370D19" w:rsidRDefault="00921590" w:rsidP="00921590">
      <w:pPr>
        <w:ind w:firstLine="570"/>
        <w:jc w:val="both"/>
        <w:rPr>
          <w:color w:val="000000"/>
        </w:rPr>
      </w:pPr>
      <w:r>
        <w:rPr>
          <w:b/>
        </w:rPr>
        <w:t>1</w:t>
      </w:r>
      <w:r w:rsidRPr="00370D19">
        <w:rPr>
          <w:b/>
          <w:bCs/>
          <w:color w:val="000000"/>
        </w:rPr>
        <w:t xml:space="preserve"> straipsnis. </w:t>
      </w:r>
      <w:r>
        <w:rPr>
          <w:b/>
          <w:bCs/>
          <w:color w:val="000000"/>
        </w:rPr>
        <w:t>14 straipsnio pakeitimas</w:t>
      </w:r>
    </w:p>
    <w:p w:rsidR="00921590" w:rsidRDefault="00921590" w:rsidP="00921590">
      <w:pPr>
        <w:ind w:firstLine="600"/>
        <w:jc w:val="both"/>
        <w:rPr>
          <w:color w:val="000000"/>
        </w:rPr>
      </w:pPr>
      <w:r w:rsidRPr="00327024">
        <w:rPr>
          <w:color w:val="000000"/>
        </w:rPr>
        <w:t>Pa</w:t>
      </w:r>
      <w:r>
        <w:rPr>
          <w:color w:val="000000"/>
        </w:rPr>
        <w:t>keisti 14 straipsnio 1</w:t>
      </w:r>
      <w:r w:rsidRPr="00327024">
        <w:rPr>
          <w:color w:val="000000"/>
        </w:rPr>
        <w:t xml:space="preserve"> dal</w:t>
      </w:r>
      <w:r>
        <w:rPr>
          <w:color w:val="000000"/>
        </w:rPr>
        <w:t>į ją išdėstyti taip</w:t>
      </w:r>
      <w:r w:rsidRPr="00327024">
        <w:rPr>
          <w:color w:val="000000"/>
        </w:rPr>
        <w:t>:</w:t>
      </w:r>
    </w:p>
    <w:p w:rsidR="00921590" w:rsidRPr="00C912E6" w:rsidRDefault="00921590" w:rsidP="00921590">
      <w:pPr>
        <w:ind w:firstLine="600"/>
        <w:jc w:val="both"/>
        <w:rPr>
          <w:color w:val="000000"/>
        </w:rPr>
      </w:pPr>
      <w:r>
        <w:rPr>
          <w:color w:val="000000"/>
        </w:rPr>
        <w:t xml:space="preserve">„1. </w:t>
      </w:r>
      <w:r w:rsidRPr="00921590">
        <w:rPr>
          <w:color w:val="000000"/>
        </w:rPr>
        <w:t>Išnagrinėtos administracinės bylos medžiaga, išskyrus medžiagą tų bylų, kurios buvo išnagrinėtos uždarame teismo posėdyje, arba bylos medžiagą, kurioje yra asmens, kurio konfidencialumas užtikrintas Lietuvos Respublikos pranešėjų apsaugos įstatymo (toliau – Pranešėjų apsaugos įstatymas) nustatyta tvarka, asmens duomenų, yra vieša ir su ja gali susipažinti suinteresuoti asmenys, įskaitant ir byloje nedalyvavusius asmenis. Tokią teisę šie asmenys įgyja, kai sprendimas byloje arba nutartis nutraukti bylą ar skundą (prašymą, pareiškimą) palikti nenagrinėtą įsiteisėja. Lietuvos Respublikos Seimo kontrolierius (toliau – Seimo kontrolierius),</w:t>
      </w:r>
      <w:r>
        <w:rPr>
          <w:color w:val="000000"/>
        </w:rPr>
        <w:t xml:space="preserve"> </w:t>
      </w:r>
      <w:r>
        <w:rPr>
          <w:b/>
          <w:color w:val="000000"/>
        </w:rPr>
        <w:t>Lietuvos Respublikos žva</w:t>
      </w:r>
      <w:r w:rsidR="00182D39">
        <w:rPr>
          <w:b/>
          <w:color w:val="000000"/>
        </w:rPr>
        <w:t>lgybos kontrolierius (toliau – Ž</w:t>
      </w:r>
      <w:r>
        <w:rPr>
          <w:b/>
          <w:color w:val="000000"/>
        </w:rPr>
        <w:t>valgybos kontrolierius)</w:t>
      </w:r>
      <w:r w:rsidR="00B05D92">
        <w:rPr>
          <w:b/>
          <w:color w:val="000000"/>
        </w:rPr>
        <w:t xml:space="preserve"> ir jo pavaduotojas</w:t>
      </w:r>
      <w:r w:rsidRPr="00921590">
        <w:rPr>
          <w:b/>
          <w:color w:val="000000"/>
        </w:rPr>
        <w:t>,</w:t>
      </w:r>
      <w:r w:rsidRPr="00921590">
        <w:rPr>
          <w:color w:val="000000"/>
        </w:rPr>
        <w:t xml:space="preserve"> Lietuvos Respublikos vaiko teisių apsaugos kontrolierius (toliau – vaiko teisių apsaugos kontrolierius) ir Lietuvos Respublikos lygių galimybių kontrolierius (toliau – lygių galimybių kontrolierius) turi teisę susipažinti ir su neišnagrinėtos bylos medžiaga, kai tai reikalinga vykdant jų pareigas</w:t>
      </w:r>
      <w:r>
        <w:rPr>
          <w:color w:val="000000"/>
        </w:rPr>
        <w:t>.“</w:t>
      </w:r>
    </w:p>
    <w:p w:rsidR="00921590" w:rsidRDefault="00921590" w:rsidP="00921590">
      <w:pPr>
        <w:ind w:firstLine="600"/>
        <w:jc w:val="both"/>
      </w:pPr>
    </w:p>
    <w:p w:rsidR="00921590" w:rsidRPr="00370D19" w:rsidRDefault="00921590" w:rsidP="00921590">
      <w:pPr>
        <w:ind w:firstLine="570"/>
        <w:jc w:val="both"/>
        <w:rPr>
          <w:color w:val="000000"/>
        </w:rPr>
      </w:pPr>
      <w:r>
        <w:rPr>
          <w:b/>
        </w:rPr>
        <w:t>2</w:t>
      </w:r>
      <w:r w:rsidRPr="00370D19">
        <w:rPr>
          <w:b/>
          <w:bCs/>
          <w:color w:val="000000"/>
        </w:rPr>
        <w:t xml:space="preserve"> straipsnis. </w:t>
      </w:r>
      <w:r>
        <w:rPr>
          <w:b/>
          <w:bCs/>
          <w:color w:val="000000"/>
        </w:rPr>
        <w:t>18 straipsnio pakeitimas</w:t>
      </w:r>
    </w:p>
    <w:p w:rsidR="00921590" w:rsidRDefault="00921590" w:rsidP="00921590">
      <w:pPr>
        <w:ind w:firstLine="600"/>
        <w:jc w:val="both"/>
        <w:rPr>
          <w:color w:val="000000"/>
        </w:rPr>
      </w:pPr>
      <w:r w:rsidRPr="00327024">
        <w:rPr>
          <w:color w:val="000000"/>
        </w:rPr>
        <w:t>Pa</w:t>
      </w:r>
      <w:r>
        <w:rPr>
          <w:color w:val="000000"/>
        </w:rPr>
        <w:t>keisti 18 straipsnio 2</w:t>
      </w:r>
      <w:r w:rsidRPr="00327024">
        <w:rPr>
          <w:color w:val="000000"/>
        </w:rPr>
        <w:t xml:space="preserve"> dal</w:t>
      </w:r>
      <w:r>
        <w:rPr>
          <w:color w:val="000000"/>
        </w:rPr>
        <w:t>į ją išdėstyti taip</w:t>
      </w:r>
      <w:r w:rsidRPr="00327024">
        <w:rPr>
          <w:color w:val="000000"/>
        </w:rPr>
        <w:t>:</w:t>
      </w:r>
    </w:p>
    <w:p w:rsidR="00921590" w:rsidRPr="00C912E6" w:rsidRDefault="00921590" w:rsidP="00921590">
      <w:pPr>
        <w:ind w:firstLine="600"/>
        <w:jc w:val="both"/>
        <w:rPr>
          <w:color w:val="000000"/>
        </w:rPr>
      </w:pPr>
      <w:r>
        <w:rPr>
          <w:color w:val="000000"/>
        </w:rPr>
        <w:t xml:space="preserve">„2. </w:t>
      </w:r>
      <w:r w:rsidRPr="00921590">
        <w:rPr>
          <w:color w:val="000000"/>
        </w:rPr>
        <w:t>Administracinių teismų kompetencijai nepriskiriama tirti Respublikos Prezidento, Seimo, Seimo narių, Ministro Pirmininko, Vyriausybės, Konstitucinio Teismo, Lietuvos Aukščiausiojo Teismo ir Lietuvos apeliacinio teismo teisėjų veiklos, kitų teismų teisėjų, taip pat prokurorų, ikiteisminio tyrimo pareigūnų ir antstolių procesinių veiksmų, susijusių su teisingumo vykdymu ar bylos tyrimu, taip pat su sprendimų vykdymu, ir Seimo kontrolieriaus</w:t>
      </w:r>
      <w:r w:rsidR="008F5F88" w:rsidRPr="008F5F88">
        <w:rPr>
          <w:b/>
          <w:color w:val="000000"/>
        </w:rPr>
        <w:t xml:space="preserve">, </w:t>
      </w:r>
      <w:r w:rsidR="00182D39">
        <w:rPr>
          <w:b/>
          <w:color w:val="000000"/>
        </w:rPr>
        <w:t>Ž</w:t>
      </w:r>
      <w:r w:rsidR="008F5F88">
        <w:rPr>
          <w:b/>
          <w:color w:val="000000"/>
        </w:rPr>
        <w:t>valgybos kontrolieriaus</w:t>
      </w:r>
      <w:r w:rsidR="00B05D92">
        <w:rPr>
          <w:b/>
          <w:color w:val="000000"/>
        </w:rPr>
        <w:t xml:space="preserve"> ir jo pavaduotojo</w:t>
      </w:r>
      <w:r w:rsidRPr="00921590">
        <w:rPr>
          <w:color w:val="000000"/>
        </w:rPr>
        <w:t xml:space="preserve"> ir vaiko teisių apsaugos kontrolieriaus sprendimų</w:t>
      </w:r>
      <w:r>
        <w:rPr>
          <w:color w:val="000000"/>
        </w:rPr>
        <w:t>.“</w:t>
      </w:r>
    </w:p>
    <w:p w:rsidR="00921590" w:rsidRDefault="00921590" w:rsidP="00921590">
      <w:pPr>
        <w:ind w:firstLine="600"/>
        <w:jc w:val="both"/>
      </w:pPr>
    </w:p>
    <w:p w:rsidR="00921590" w:rsidRPr="00370D19" w:rsidRDefault="00921590" w:rsidP="00921590">
      <w:pPr>
        <w:ind w:firstLine="570"/>
        <w:jc w:val="both"/>
        <w:rPr>
          <w:color w:val="000000"/>
        </w:rPr>
      </w:pPr>
      <w:r>
        <w:rPr>
          <w:b/>
        </w:rPr>
        <w:t>3</w:t>
      </w:r>
      <w:r w:rsidRPr="00370D19">
        <w:rPr>
          <w:b/>
          <w:bCs/>
          <w:color w:val="000000"/>
        </w:rPr>
        <w:t xml:space="preserve"> straipsnis. </w:t>
      </w:r>
      <w:r>
        <w:rPr>
          <w:b/>
          <w:bCs/>
          <w:color w:val="000000"/>
        </w:rPr>
        <w:t>112 straipsnio pakeitimas</w:t>
      </w:r>
    </w:p>
    <w:p w:rsidR="00921590" w:rsidRDefault="00921590" w:rsidP="00921590">
      <w:pPr>
        <w:ind w:firstLine="600"/>
        <w:jc w:val="both"/>
        <w:rPr>
          <w:color w:val="000000"/>
        </w:rPr>
      </w:pPr>
      <w:r w:rsidRPr="00327024">
        <w:rPr>
          <w:color w:val="000000"/>
        </w:rPr>
        <w:t>Pa</w:t>
      </w:r>
      <w:r>
        <w:rPr>
          <w:color w:val="000000"/>
        </w:rPr>
        <w:t>keisti 112 straipsnio 1</w:t>
      </w:r>
      <w:r w:rsidRPr="00327024">
        <w:rPr>
          <w:color w:val="000000"/>
        </w:rPr>
        <w:t xml:space="preserve"> dal</w:t>
      </w:r>
      <w:r>
        <w:rPr>
          <w:color w:val="000000"/>
        </w:rPr>
        <w:t>į ją išdėstyti taip</w:t>
      </w:r>
      <w:r w:rsidRPr="00327024">
        <w:rPr>
          <w:color w:val="000000"/>
        </w:rPr>
        <w:t>:</w:t>
      </w:r>
    </w:p>
    <w:p w:rsidR="00921590" w:rsidRPr="00C912E6" w:rsidRDefault="00921590" w:rsidP="00921590">
      <w:pPr>
        <w:ind w:firstLine="600"/>
        <w:jc w:val="both"/>
        <w:rPr>
          <w:color w:val="000000"/>
        </w:rPr>
      </w:pPr>
      <w:r>
        <w:rPr>
          <w:color w:val="000000"/>
        </w:rPr>
        <w:t xml:space="preserve">„1. </w:t>
      </w:r>
      <w:r w:rsidR="00FB3943" w:rsidRPr="00FB3943">
        <w:rPr>
          <w:color w:val="000000"/>
        </w:rPr>
        <w:t xml:space="preserve">Kreiptis į administracinį teismą prašydami ištirti, ar norminis administracinis aktas (ar jo dalis) atitinka įstatymą ar Vyriausybės norminį teisės aktą, turi teisę Seimo nariai, Seimo kontrolieriai, </w:t>
      </w:r>
      <w:r w:rsidR="00182D39">
        <w:rPr>
          <w:b/>
          <w:color w:val="000000"/>
        </w:rPr>
        <w:t>Ž</w:t>
      </w:r>
      <w:r w:rsidR="00FB3943">
        <w:rPr>
          <w:b/>
          <w:color w:val="000000"/>
        </w:rPr>
        <w:t xml:space="preserve">valgybos kontrolierius ir jo pavaduotojas, </w:t>
      </w:r>
      <w:r w:rsidR="00FB3943" w:rsidRPr="00FB3943">
        <w:rPr>
          <w:color w:val="000000"/>
        </w:rPr>
        <w:t>vaiko teisių apsaugos kontrolierius, lygių galimybių kontrolierius, valstybės kontrolierius, bendrosios kompetencijos ir specializuoti teismai, prokurorai ir profesinės savivaldos asociacijos, įsteigtos pagal įstatymą vykdyti viešąsias funkcijas. Šie subjektai taip pat turi teisę kreiptis į administracinį teismą prašydami ištirti konkrečios bendrijos, politinės partijos, politinės organizacijos ar asociacijos priimto bendro pobūdžio teisės akto teisėtumą. Kreiptis į administracinį teismą prašydama ištirti, ar su aplinka susijęs norminis administracinis aktas (ar jo dalis) atitinka įstatymą ar Vyriausybės norminį teisės aktą, taip pat turi teisę suinteresuota visuomenė, kaip ji apibrėžta Lietuvos Respublikos aplinkos apsaugos įstatyme. Šioje dalyje nurodyti subjektai, išskyrus bendrosios kompetencijos ir specializuotus teismus, kreipiasi į administracinį teismą su pareiškimu. Bendrosios kompetencijos ir specializuoti teismai prašymą ištirti norminio administracinio akto teisėtumą išdėsto nutartyje</w:t>
      </w:r>
      <w:r>
        <w:rPr>
          <w:color w:val="000000"/>
        </w:rPr>
        <w:t>.“</w:t>
      </w:r>
    </w:p>
    <w:p w:rsidR="00921590" w:rsidRDefault="00921590" w:rsidP="00921590">
      <w:pPr>
        <w:ind w:firstLine="600"/>
        <w:jc w:val="both"/>
      </w:pPr>
    </w:p>
    <w:p w:rsidR="00921590" w:rsidRPr="00A22143" w:rsidRDefault="00921590" w:rsidP="00921590">
      <w:pPr>
        <w:ind w:firstLine="600"/>
        <w:jc w:val="both"/>
        <w:rPr>
          <w:b/>
        </w:rPr>
      </w:pPr>
      <w:r>
        <w:rPr>
          <w:b/>
        </w:rPr>
        <w:t>4</w:t>
      </w:r>
      <w:r w:rsidRPr="00A22143">
        <w:rPr>
          <w:b/>
        </w:rPr>
        <w:t xml:space="preserve"> straipsnis. Įstatymo įsigaliojimas</w:t>
      </w:r>
    </w:p>
    <w:p w:rsidR="00921590" w:rsidRPr="00FF4CC0" w:rsidRDefault="00921590" w:rsidP="00921590">
      <w:pPr>
        <w:ind w:firstLine="570"/>
        <w:jc w:val="both"/>
      </w:pPr>
      <w:r>
        <w:rPr>
          <w:color w:val="000000"/>
        </w:rPr>
        <w:lastRenderedPageBreak/>
        <w:t>Šis įstatymas</w:t>
      </w:r>
      <w:r w:rsidRPr="004674DA">
        <w:rPr>
          <w:color w:val="000000"/>
        </w:rPr>
        <w:t xml:space="preserve"> </w:t>
      </w:r>
      <w:r>
        <w:rPr>
          <w:color w:val="000000"/>
        </w:rPr>
        <w:t>įsigalioja 2022 m. sausio 1 d.</w:t>
      </w:r>
    </w:p>
    <w:p w:rsidR="00921590" w:rsidRDefault="00921590" w:rsidP="00921590">
      <w:pPr>
        <w:ind w:firstLine="600"/>
        <w:jc w:val="both"/>
      </w:pPr>
    </w:p>
    <w:p w:rsidR="00921590" w:rsidRPr="00370D19" w:rsidRDefault="00921590" w:rsidP="00921590">
      <w:pPr>
        <w:ind w:firstLine="600"/>
        <w:jc w:val="both"/>
      </w:pPr>
    </w:p>
    <w:p w:rsidR="00921590" w:rsidRPr="00370D19" w:rsidRDefault="00921590" w:rsidP="00921590">
      <w:pPr>
        <w:ind w:firstLine="600"/>
        <w:jc w:val="both"/>
      </w:pPr>
    </w:p>
    <w:p w:rsidR="00921590" w:rsidRPr="00370D19" w:rsidRDefault="00921590" w:rsidP="00921590">
      <w:pPr>
        <w:ind w:firstLine="600"/>
        <w:jc w:val="both"/>
        <w:rPr>
          <w:i/>
        </w:rPr>
      </w:pPr>
      <w:r w:rsidRPr="00370D19">
        <w:rPr>
          <w:i/>
          <w:color w:val="000000"/>
        </w:rPr>
        <w:t>Skelbiu šį Lietuvos Respublikos Seimo priimtą įstatymą.</w:t>
      </w:r>
    </w:p>
    <w:p w:rsidR="00921590" w:rsidRPr="00370D19" w:rsidRDefault="00921590" w:rsidP="00921590">
      <w:pPr>
        <w:jc w:val="both"/>
      </w:pPr>
    </w:p>
    <w:p w:rsidR="00921590" w:rsidRPr="00370D19" w:rsidRDefault="00921590" w:rsidP="00921590">
      <w:pPr>
        <w:jc w:val="both"/>
      </w:pPr>
    </w:p>
    <w:p w:rsidR="00921590" w:rsidRPr="00370D19" w:rsidRDefault="00921590" w:rsidP="00921590">
      <w:pPr>
        <w:jc w:val="both"/>
      </w:pPr>
    </w:p>
    <w:p w:rsidR="003E0F6A" w:rsidRDefault="00921590">
      <w:r w:rsidRPr="00370D19">
        <w:t>Respublikos Prezidentas</w:t>
      </w:r>
    </w:p>
    <w:p w:rsidR="00830071" w:rsidRDefault="00830071"/>
    <w:p w:rsidR="00830071" w:rsidRDefault="00830071"/>
    <w:p w:rsidR="00830071" w:rsidRDefault="00830071" w:rsidP="00830071">
      <w:r>
        <w:t>Teikia:</w:t>
      </w:r>
    </w:p>
    <w:p w:rsidR="00830071" w:rsidRDefault="00830071" w:rsidP="00830071">
      <w:bookmarkStart w:id="1" w:name="Tekstas20"/>
      <w:r>
        <w:t>Seimo nariai</w:t>
      </w:r>
      <w:r>
        <w:tab/>
      </w:r>
      <w:r>
        <w:tab/>
      </w:r>
      <w:bookmarkEnd w:id="1"/>
      <w:r>
        <w:rPr>
          <w:color w:val="FFFFFF"/>
        </w:rPr>
        <w:tab/>
      </w:r>
      <w:r>
        <w:rPr>
          <w:color w:val="FFFFFF"/>
        </w:rPr>
        <w:tab/>
      </w:r>
      <w:r>
        <w:rPr>
          <w:color w:val="FFFFFF"/>
        </w:rPr>
        <w:tab/>
      </w:r>
      <w:r>
        <w:t xml:space="preserve">Laurynas </w:t>
      </w:r>
      <w:proofErr w:type="spellStart"/>
      <w:r>
        <w:t>Kasčiūnas</w:t>
      </w:r>
      <w:proofErr w:type="spellEnd"/>
    </w:p>
    <w:p w:rsidR="00830071" w:rsidRDefault="00830071" w:rsidP="00830071"/>
    <w:p w:rsidR="00830071" w:rsidRDefault="00830071" w:rsidP="00830071"/>
    <w:p w:rsidR="00830071" w:rsidRDefault="00830071" w:rsidP="00830071">
      <w:r>
        <w:tab/>
      </w:r>
      <w:r>
        <w:tab/>
      </w:r>
      <w:r>
        <w:tab/>
      </w:r>
      <w:r>
        <w:tab/>
      </w:r>
      <w:r>
        <w:tab/>
        <w:t>Vytautas Bakas</w:t>
      </w:r>
    </w:p>
    <w:p w:rsidR="00830071" w:rsidRDefault="00830071" w:rsidP="00830071"/>
    <w:p w:rsidR="00830071" w:rsidRDefault="00830071" w:rsidP="00830071"/>
    <w:p w:rsidR="00830071" w:rsidRDefault="00830071" w:rsidP="00830071">
      <w:r>
        <w:tab/>
      </w:r>
      <w:r>
        <w:tab/>
      </w:r>
      <w:r>
        <w:tab/>
      </w:r>
      <w:r>
        <w:tab/>
      </w:r>
      <w:r>
        <w:tab/>
        <w:t>Raimundas Lopata</w:t>
      </w:r>
    </w:p>
    <w:p w:rsidR="00830071" w:rsidRDefault="00830071" w:rsidP="00830071"/>
    <w:p w:rsidR="00830071" w:rsidRDefault="00830071" w:rsidP="00830071"/>
    <w:p w:rsidR="00830071" w:rsidRDefault="00830071" w:rsidP="00830071">
      <w:r>
        <w:tab/>
      </w:r>
      <w:r>
        <w:tab/>
      </w:r>
      <w:r>
        <w:tab/>
      </w:r>
      <w:r>
        <w:tab/>
      </w:r>
      <w:r>
        <w:tab/>
        <w:t xml:space="preserve">Saulius </w:t>
      </w:r>
      <w:proofErr w:type="spellStart"/>
      <w:r>
        <w:t>Skvernelis</w:t>
      </w:r>
      <w:proofErr w:type="spellEnd"/>
    </w:p>
    <w:p w:rsidR="00830071" w:rsidRDefault="00830071" w:rsidP="00830071"/>
    <w:p w:rsidR="00830071" w:rsidRDefault="00830071" w:rsidP="00830071"/>
    <w:p w:rsidR="00830071" w:rsidRDefault="00830071" w:rsidP="00830071">
      <w:r>
        <w:tab/>
      </w:r>
      <w:r>
        <w:tab/>
      </w:r>
      <w:r>
        <w:tab/>
      </w:r>
      <w:r>
        <w:tab/>
      </w:r>
      <w:r>
        <w:tab/>
        <w:t xml:space="preserve">Dovilė </w:t>
      </w:r>
      <w:proofErr w:type="spellStart"/>
      <w:r>
        <w:t>Šakalienė</w:t>
      </w:r>
      <w:proofErr w:type="spellEnd"/>
    </w:p>
    <w:sectPr w:rsidR="00830071" w:rsidSect="008F5F88">
      <w:headerReference w:type="even" r:id="rI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D9E" w:rsidRDefault="00954D9E">
      <w:r>
        <w:separator/>
      </w:r>
    </w:p>
  </w:endnote>
  <w:endnote w:type="continuationSeparator" w:id="0">
    <w:p w:rsidR="00954D9E" w:rsidRDefault="0095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D9E" w:rsidRDefault="00954D9E">
      <w:r>
        <w:separator/>
      </w:r>
    </w:p>
  </w:footnote>
  <w:footnote w:type="continuationSeparator" w:id="0">
    <w:p w:rsidR="00954D9E" w:rsidRDefault="0095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88" w:rsidRDefault="008F5F88" w:rsidP="008F5F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F5F88" w:rsidRDefault="008F5F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F88" w:rsidRDefault="008F5F88" w:rsidP="008F5F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3B57">
      <w:rPr>
        <w:rStyle w:val="Puslapionumeris"/>
        <w:noProof/>
      </w:rPr>
      <w:t>2</w:t>
    </w:r>
    <w:r>
      <w:rPr>
        <w:rStyle w:val="Puslapionumeris"/>
      </w:rPr>
      <w:fldChar w:fldCharType="end"/>
    </w:r>
  </w:p>
  <w:p w:rsidR="008F5F88" w:rsidRDefault="008F5F8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90"/>
    <w:rsid w:val="00182D39"/>
    <w:rsid w:val="003E0F6A"/>
    <w:rsid w:val="004758E2"/>
    <w:rsid w:val="00544A12"/>
    <w:rsid w:val="00830071"/>
    <w:rsid w:val="008967ED"/>
    <w:rsid w:val="008F5F88"/>
    <w:rsid w:val="00921590"/>
    <w:rsid w:val="00954D9E"/>
    <w:rsid w:val="00B05D92"/>
    <w:rsid w:val="00B514B8"/>
    <w:rsid w:val="00E53B57"/>
    <w:rsid w:val="00E76869"/>
    <w:rsid w:val="00FB3943"/>
    <w:rsid w:val="00FF68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FBA5C"/>
  <w15:chartTrackingRefBased/>
  <w15:docId w15:val="{D41E0125-807F-4819-BBE9-4F3352A2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59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21590"/>
    <w:pPr>
      <w:tabs>
        <w:tab w:val="center" w:pos="4819"/>
        <w:tab w:val="right" w:pos="9638"/>
      </w:tabs>
    </w:pPr>
  </w:style>
  <w:style w:type="character" w:styleId="Puslapionumeris">
    <w:name w:val="page number"/>
    <w:basedOn w:val="Numatytasispastraiposriftas"/>
    <w:rsid w:val="00921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9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3197</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dc:title>
  <dc:subject/>
  <dc:creator>Simonas Klimanskis</dc:creator>
  <cp:keywords/>
  <dc:description/>
  <cp:lastModifiedBy>EITUTIENĖ Rasa</cp:lastModifiedBy>
  <cp:revision>3</cp:revision>
  <dcterms:created xsi:type="dcterms:W3CDTF">2021-06-18T05:25:00Z</dcterms:created>
  <dcterms:modified xsi:type="dcterms:W3CDTF">2021-06-18T05:27:00Z</dcterms:modified>
</cp:coreProperties>
</file>