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C9ADE" w14:textId="77777777" w:rsidR="00BB1AF8" w:rsidRPr="005163D1" w:rsidRDefault="00BB1AF8" w:rsidP="00EB2CB1">
      <w:pPr>
        <w:spacing w:after="0"/>
        <w:rPr>
          <w:rFonts w:ascii="Times New Roman" w:hAnsi="Times New Roman" w:cs="Times New Roman"/>
          <w:b/>
          <w:bCs/>
          <w:sz w:val="24"/>
          <w:szCs w:val="24"/>
          <w:lang w:val="lt-LT"/>
        </w:rPr>
      </w:pPr>
    </w:p>
    <w:p w14:paraId="7732A280" w14:textId="41679B27" w:rsidR="000A69FC" w:rsidRDefault="000A69FC" w:rsidP="00154451">
      <w:pPr>
        <w:spacing w:after="0"/>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PAŽYMA</w:t>
      </w:r>
      <w:r w:rsidR="000E5B78">
        <w:rPr>
          <w:rFonts w:ascii="Times New Roman" w:hAnsi="Times New Roman" w:cs="Times New Roman"/>
          <w:b/>
          <w:bCs/>
          <w:sz w:val="24"/>
          <w:szCs w:val="24"/>
          <w:lang w:val="lt-LT"/>
        </w:rPr>
        <w:t xml:space="preserve"> DĖL LIETUVOS RESPUBLIKOS POZICIJŲ </w:t>
      </w:r>
      <w:r w:rsidR="000E5B78">
        <w:rPr>
          <w:rFonts w:ascii="Times New Roman" w:hAnsi="Times New Roman" w:cs="Times New Roman"/>
          <w:b/>
          <w:bCs/>
          <w:sz w:val="24"/>
          <w:szCs w:val="24"/>
          <w:lang w:val="en-GB"/>
        </w:rPr>
        <w:t xml:space="preserve">2020 M. </w:t>
      </w:r>
      <w:r w:rsidR="006724E5">
        <w:rPr>
          <w:rFonts w:ascii="Times New Roman" w:hAnsi="Times New Roman" w:cs="Times New Roman"/>
          <w:b/>
          <w:bCs/>
          <w:sz w:val="24"/>
          <w:szCs w:val="24"/>
          <w:lang w:val="lt-LT"/>
        </w:rPr>
        <w:t xml:space="preserve">GRUODŽIO </w:t>
      </w:r>
      <w:r w:rsidR="006724E5">
        <w:rPr>
          <w:rFonts w:ascii="Times New Roman" w:hAnsi="Times New Roman" w:cs="Times New Roman"/>
          <w:b/>
          <w:bCs/>
          <w:sz w:val="24"/>
          <w:szCs w:val="24"/>
          <w:lang w:val="en-GB"/>
        </w:rPr>
        <w:t>14</w:t>
      </w:r>
      <w:r w:rsidR="000E5B78">
        <w:rPr>
          <w:rFonts w:ascii="Times New Roman" w:hAnsi="Times New Roman" w:cs="Times New Roman"/>
          <w:b/>
          <w:bCs/>
          <w:sz w:val="24"/>
          <w:szCs w:val="24"/>
          <w:lang w:val="lt-LT"/>
        </w:rPr>
        <w:t xml:space="preserve"> D. NEFORMALIOJE ENERGETIKOS MINISTRŲ VAIZDO KONFERENCIJOJE </w:t>
      </w:r>
    </w:p>
    <w:p w14:paraId="50930EF1" w14:textId="34B114CF" w:rsidR="00154451" w:rsidRPr="005163D1" w:rsidRDefault="00154451">
      <w:pPr>
        <w:rPr>
          <w:lang w:val="lt-LT"/>
        </w:rPr>
      </w:pPr>
    </w:p>
    <w:p w14:paraId="1C321675" w14:textId="68A643AA" w:rsidR="000E5B78" w:rsidRDefault="00DE3FF4" w:rsidP="00DE3FF4">
      <w:pPr>
        <w:jc w:val="both"/>
        <w:rPr>
          <w:rFonts w:ascii="Times New Roman" w:hAnsi="Times New Roman" w:cs="Times New Roman"/>
          <w:sz w:val="24"/>
          <w:szCs w:val="24"/>
          <w:lang w:val="lt-LT"/>
        </w:rPr>
      </w:pPr>
      <w:r w:rsidRPr="005163D1">
        <w:rPr>
          <w:rFonts w:ascii="Times New Roman" w:hAnsi="Times New Roman" w:cs="Times New Roman"/>
          <w:sz w:val="24"/>
          <w:szCs w:val="24"/>
          <w:lang w:val="lt-LT"/>
        </w:rPr>
        <w:t xml:space="preserve">2020 m. </w:t>
      </w:r>
      <w:r w:rsidR="006724E5">
        <w:rPr>
          <w:rFonts w:ascii="Times New Roman" w:hAnsi="Times New Roman" w:cs="Times New Roman"/>
          <w:sz w:val="24"/>
          <w:szCs w:val="24"/>
          <w:lang w:val="lt-LT"/>
        </w:rPr>
        <w:t>gruodžio 14</w:t>
      </w:r>
      <w:r w:rsidRPr="005163D1">
        <w:rPr>
          <w:rFonts w:ascii="Times New Roman" w:hAnsi="Times New Roman" w:cs="Times New Roman"/>
          <w:sz w:val="24"/>
          <w:szCs w:val="24"/>
          <w:lang w:val="lt-LT"/>
        </w:rPr>
        <w:t xml:space="preserve"> d. </w:t>
      </w:r>
      <w:r w:rsidR="00897CEA" w:rsidRPr="005163D1">
        <w:rPr>
          <w:rFonts w:ascii="Times New Roman" w:hAnsi="Times New Roman" w:cs="Times New Roman"/>
          <w:sz w:val="24"/>
          <w:szCs w:val="24"/>
          <w:lang w:val="lt-LT"/>
        </w:rPr>
        <w:t xml:space="preserve">neformalioje </w:t>
      </w:r>
      <w:r w:rsidRPr="005163D1">
        <w:rPr>
          <w:rFonts w:ascii="Times New Roman" w:hAnsi="Times New Roman" w:cs="Times New Roman"/>
          <w:sz w:val="24"/>
          <w:szCs w:val="24"/>
          <w:lang w:val="lt-LT"/>
        </w:rPr>
        <w:t xml:space="preserve">energetikos ministrų </w:t>
      </w:r>
      <w:r w:rsidR="005163D1">
        <w:rPr>
          <w:rFonts w:ascii="Times New Roman" w:hAnsi="Times New Roman" w:cs="Times New Roman"/>
          <w:sz w:val="24"/>
          <w:szCs w:val="24"/>
          <w:lang w:val="lt-LT"/>
        </w:rPr>
        <w:t xml:space="preserve">vaizdo </w:t>
      </w:r>
      <w:r w:rsidRPr="005163D1">
        <w:rPr>
          <w:rFonts w:ascii="Times New Roman" w:hAnsi="Times New Roman" w:cs="Times New Roman"/>
          <w:sz w:val="24"/>
          <w:szCs w:val="24"/>
          <w:lang w:val="lt-LT"/>
        </w:rPr>
        <w:t>konferencijo</w:t>
      </w:r>
      <w:r w:rsidR="000E5B78">
        <w:rPr>
          <w:rFonts w:ascii="Times New Roman" w:hAnsi="Times New Roman" w:cs="Times New Roman"/>
          <w:sz w:val="24"/>
          <w:szCs w:val="24"/>
          <w:lang w:val="lt-LT"/>
        </w:rPr>
        <w:t>s darbotvarkėje numatomi trys klausimai:</w:t>
      </w:r>
    </w:p>
    <w:p w14:paraId="624E2C36" w14:textId="7688E5D1" w:rsidR="006724E5" w:rsidRDefault="006724E5" w:rsidP="006724E5">
      <w:pPr>
        <w:pStyle w:val="ListParagraph"/>
        <w:numPr>
          <w:ilvl w:val="0"/>
          <w:numId w:val="20"/>
        </w:numPr>
        <w:jc w:val="both"/>
        <w:rPr>
          <w:rFonts w:ascii="Times New Roman" w:hAnsi="Times New Roman" w:cs="Times New Roman"/>
          <w:sz w:val="24"/>
          <w:szCs w:val="24"/>
          <w:lang w:val="lt-LT"/>
        </w:rPr>
      </w:pPr>
      <w:r w:rsidRPr="006724E5">
        <w:rPr>
          <w:rFonts w:ascii="Times New Roman" w:hAnsi="Times New Roman" w:cs="Times New Roman"/>
          <w:i/>
          <w:iCs/>
          <w:sz w:val="24"/>
          <w:szCs w:val="24"/>
          <w:lang w:val="lt-LT"/>
        </w:rPr>
        <w:t>Energetikos sektoriaus integracija: kelias link klimatui neutralios Europos ekonomikos</w:t>
      </w:r>
      <w:r w:rsidRPr="006724E5">
        <w:rPr>
          <w:rFonts w:ascii="Times New Roman" w:hAnsi="Times New Roman" w:cs="Times New Roman"/>
          <w:sz w:val="24"/>
          <w:szCs w:val="24"/>
          <w:lang w:val="lt-LT"/>
        </w:rPr>
        <w:t xml:space="preserve"> – politiniai debatai </w:t>
      </w:r>
    </w:p>
    <w:p w14:paraId="7CE57DF4" w14:textId="565D112F" w:rsidR="006724E5" w:rsidRPr="006724E5" w:rsidRDefault="006724E5" w:rsidP="006724E5">
      <w:pPr>
        <w:ind w:left="360"/>
        <w:jc w:val="both"/>
        <w:rPr>
          <w:rFonts w:ascii="Times New Roman" w:hAnsi="Times New Roman" w:cs="Times New Roman"/>
          <w:sz w:val="24"/>
          <w:szCs w:val="24"/>
          <w:lang w:val="lt-LT"/>
        </w:rPr>
      </w:pPr>
      <w:r>
        <w:rPr>
          <w:rFonts w:ascii="Times New Roman" w:hAnsi="Times New Roman" w:cs="Times New Roman"/>
          <w:sz w:val="24"/>
          <w:szCs w:val="24"/>
          <w:lang w:val="lt-LT"/>
        </w:rPr>
        <w:t>Kiti klausimai:</w:t>
      </w:r>
    </w:p>
    <w:p w14:paraId="6C02ECC8" w14:textId="77777777" w:rsidR="006724E5" w:rsidRPr="006724E5" w:rsidRDefault="006724E5" w:rsidP="006724E5">
      <w:pPr>
        <w:pStyle w:val="ListParagraph"/>
        <w:numPr>
          <w:ilvl w:val="0"/>
          <w:numId w:val="20"/>
        </w:numPr>
        <w:jc w:val="both"/>
        <w:rPr>
          <w:rFonts w:ascii="Times New Roman" w:hAnsi="Times New Roman" w:cs="Times New Roman"/>
          <w:sz w:val="24"/>
          <w:szCs w:val="24"/>
          <w:lang w:val="lt-LT"/>
        </w:rPr>
      </w:pPr>
      <w:r w:rsidRPr="006724E5">
        <w:rPr>
          <w:rFonts w:ascii="Times New Roman" w:hAnsi="Times New Roman" w:cs="Times New Roman"/>
          <w:sz w:val="24"/>
          <w:szCs w:val="24"/>
          <w:lang w:val="lt-LT"/>
        </w:rPr>
        <w:t>Išorinių ES santykių energetikos srityje eiga - Europos Komisijos pristatymas.</w:t>
      </w:r>
    </w:p>
    <w:p w14:paraId="2BEAC857" w14:textId="13F909CC" w:rsidR="000E5B78" w:rsidRPr="006724E5" w:rsidRDefault="006724E5" w:rsidP="00DE3FF4">
      <w:pPr>
        <w:pStyle w:val="ListParagraph"/>
        <w:numPr>
          <w:ilvl w:val="0"/>
          <w:numId w:val="20"/>
        </w:numPr>
        <w:jc w:val="both"/>
        <w:rPr>
          <w:rFonts w:ascii="Times New Roman" w:hAnsi="Times New Roman" w:cs="Times New Roman"/>
          <w:sz w:val="24"/>
          <w:szCs w:val="24"/>
          <w:lang w:val="lt-LT"/>
        </w:rPr>
      </w:pPr>
      <w:r w:rsidRPr="006724E5">
        <w:rPr>
          <w:rFonts w:ascii="Times New Roman" w:hAnsi="Times New Roman" w:cs="Times New Roman"/>
          <w:sz w:val="24"/>
          <w:szCs w:val="24"/>
          <w:lang w:val="lt-LT"/>
        </w:rPr>
        <w:t xml:space="preserve">2021 m. I pusmečio Pirmininkavimo programa (Portugalija) – Portugalijos delegacijos pristatymas. </w:t>
      </w:r>
    </w:p>
    <w:p w14:paraId="63C89431" w14:textId="77777777" w:rsidR="006724E5" w:rsidRDefault="006724E5" w:rsidP="006724E5">
      <w:pPr>
        <w:jc w:val="both"/>
        <w:rPr>
          <w:rFonts w:ascii="Times New Roman" w:hAnsi="Times New Roman" w:cs="Times New Roman"/>
          <w:sz w:val="24"/>
          <w:szCs w:val="24"/>
          <w:lang w:val="lt-LT"/>
        </w:rPr>
      </w:pPr>
      <w:r>
        <w:rPr>
          <w:rFonts w:ascii="Times New Roman" w:hAnsi="Times New Roman" w:cs="Times New Roman"/>
          <w:sz w:val="24"/>
          <w:szCs w:val="24"/>
          <w:lang w:val="lt-LT"/>
        </w:rPr>
        <w:t>Klausimų ir pozicijų pristatymas:</w:t>
      </w:r>
    </w:p>
    <w:p w14:paraId="17952858" w14:textId="530FBBDF" w:rsidR="006724E5" w:rsidRPr="006724E5" w:rsidRDefault="006724E5" w:rsidP="006724E5">
      <w:pPr>
        <w:jc w:val="both"/>
        <w:rPr>
          <w:rFonts w:ascii="Times New Roman" w:hAnsi="Times New Roman" w:cs="Times New Roman"/>
          <w:sz w:val="24"/>
          <w:szCs w:val="24"/>
          <w:lang w:val="lt-LT"/>
        </w:rPr>
      </w:pPr>
      <w:r w:rsidRPr="006724E5">
        <w:rPr>
          <w:rFonts w:ascii="Times New Roman" w:hAnsi="Times New Roman" w:cs="Times New Roman"/>
          <w:sz w:val="24"/>
          <w:szCs w:val="24"/>
          <w:lang w:val="lt-LT"/>
        </w:rPr>
        <w:t>1.</w:t>
      </w:r>
      <w:r>
        <w:rPr>
          <w:rFonts w:ascii="Times New Roman" w:hAnsi="Times New Roman" w:cs="Times New Roman"/>
          <w:sz w:val="24"/>
          <w:szCs w:val="24"/>
          <w:lang w:val="lt-LT"/>
        </w:rPr>
        <w:t xml:space="preserve"> </w:t>
      </w:r>
      <w:r w:rsidRPr="006724E5">
        <w:rPr>
          <w:rFonts w:ascii="Times New Roman" w:hAnsi="Times New Roman" w:cs="Times New Roman"/>
          <w:sz w:val="24"/>
          <w:szCs w:val="24"/>
          <w:lang w:val="lt-LT"/>
        </w:rPr>
        <w:t xml:space="preserve">Konferencijos metu vyks diskusija dėl energetikos sektoriaus integracijos, įgalinančios ES pasiekti nusistatytus tikslus klimato srityje. ES visiškas neutralumas klimato atžvilgiu iki 2050 m. gali būti pasiektas tik derinant energijos vartojimo efektyvumo skatinimą su ženkliu atsinaujinančios energijos dalies didinimu. Norint sumažinti CO2 emisijas visuose sektoriuose, tai įgalinti turi labiau integruota energetikos sistema. </w:t>
      </w:r>
    </w:p>
    <w:p w14:paraId="1AD88883" w14:textId="503977F5" w:rsidR="006724E5" w:rsidRPr="006724E5" w:rsidRDefault="006724E5" w:rsidP="006724E5">
      <w:pPr>
        <w:jc w:val="both"/>
        <w:rPr>
          <w:rFonts w:ascii="Times New Roman" w:hAnsi="Times New Roman" w:cs="Times New Roman"/>
          <w:sz w:val="24"/>
          <w:szCs w:val="24"/>
          <w:lang w:val="lt-LT"/>
        </w:rPr>
      </w:pPr>
      <w:r w:rsidRPr="006724E5">
        <w:rPr>
          <w:rFonts w:ascii="Times New Roman" w:hAnsi="Times New Roman" w:cs="Times New Roman"/>
          <w:sz w:val="24"/>
          <w:szCs w:val="24"/>
          <w:lang w:val="lt-LT"/>
        </w:rPr>
        <w:t xml:space="preserve">Energijos sistemos integravimo strategijoje, Europos Komisija siūlo tolesnes priemones, skirtas naujai integruotai energetikos sistemai formuoti. Strategijos tikslas yra sukurti labiau žiedinę energetikos sistemą, kurios pagrindas būtų „energijos vartojimo efektyvumas pirmiausia“ principas, pasiekti didesnį tiesioginį galutinio vartojimo sektorių elektrifikavimą, remiantis iš esmės atsinaujinančia energija, ir skatinti atsinaujinančio ir </w:t>
      </w:r>
      <w:proofErr w:type="spellStart"/>
      <w:r w:rsidRPr="006724E5">
        <w:rPr>
          <w:rFonts w:ascii="Times New Roman" w:hAnsi="Times New Roman" w:cs="Times New Roman"/>
          <w:sz w:val="24"/>
          <w:szCs w:val="24"/>
          <w:lang w:val="lt-LT"/>
        </w:rPr>
        <w:t>dekarbonizuoto</w:t>
      </w:r>
      <w:proofErr w:type="spellEnd"/>
      <w:r w:rsidRPr="006724E5">
        <w:rPr>
          <w:rFonts w:ascii="Times New Roman" w:hAnsi="Times New Roman" w:cs="Times New Roman"/>
          <w:sz w:val="24"/>
          <w:szCs w:val="24"/>
          <w:lang w:val="lt-LT"/>
        </w:rPr>
        <w:t xml:space="preserve"> kuro, įskaitant vandenilį, panaudojimą tuose sektoriuose, kuriuos sunku </w:t>
      </w:r>
      <w:proofErr w:type="spellStart"/>
      <w:r w:rsidRPr="006724E5">
        <w:rPr>
          <w:rFonts w:ascii="Times New Roman" w:hAnsi="Times New Roman" w:cs="Times New Roman"/>
          <w:sz w:val="24"/>
          <w:szCs w:val="24"/>
          <w:lang w:val="lt-LT"/>
        </w:rPr>
        <w:t>dekarbonizuoti</w:t>
      </w:r>
      <w:proofErr w:type="spellEnd"/>
      <w:r w:rsidRPr="006724E5">
        <w:rPr>
          <w:rFonts w:ascii="Times New Roman" w:hAnsi="Times New Roman" w:cs="Times New Roman"/>
          <w:sz w:val="24"/>
          <w:szCs w:val="24"/>
          <w:lang w:val="lt-LT"/>
        </w:rPr>
        <w:t>.</w:t>
      </w:r>
    </w:p>
    <w:p w14:paraId="7FF9DA6F" w14:textId="77777777" w:rsidR="006724E5" w:rsidRPr="006724E5" w:rsidRDefault="006724E5" w:rsidP="006724E5">
      <w:pPr>
        <w:jc w:val="both"/>
        <w:rPr>
          <w:rFonts w:ascii="Times New Roman" w:hAnsi="Times New Roman" w:cs="Times New Roman"/>
          <w:sz w:val="24"/>
          <w:szCs w:val="24"/>
          <w:lang w:val="lt-LT"/>
        </w:rPr>
      </w:pPr>
      <w:r w:rsidRPr="006724E5">
        <w:rPr>
          <w:rFonts w:ascii="Times New Roman" w:hAnsi="Times New Roman" w:cs="Times New Roman"/>
          <w:sz w:val="24"/>
          <w:szCs w:val="24"/>
          <w:lang w:val="lt-LT"/>
        </w:rPr>
        <w:t xml:space="preserve">          Europos Komisija taip pat siūlo imtis veiksmų, kad energijos rinkos taptų tinkamos </w:t>
      </w:r>
      <w:proofErr w:type="spellStart"/>
      <w:r w:rsidRPr="006724E5">
        <w:rPr>
          <w:rFonts w:ascii="Times New Roman" w:hAnsi="Times New Roman" w:cs="Times New Roman"/>
          <w:sz w:val="24"/>
          <w:szCs w:val="24"/>
          <w:lang w:val="lt-LT"/>
        </w:rPr>
        <w:t>dekarbonizuoti</w:t>
      </w:r>
      <w:proofErr w:type="spellEnd"/>
      <w:r w:rsidRPr="006724E5">
        <w:rPr>
          <w:rFonts w:ascii="Times New Roman" w:hAnsi="Times New Roman" w:cs="Times New Roman"/>
          <w:sz w:val="24"/>
          <w:szCs w:val="24"/>
          <w:lang w:val="lt-LT"/>
        </w:rPr>
        <w:t xml:space="preserve"> ir paskirstyti išteklius, pereiti prie labiau integruotos energetikos infrastruktūros ir skaitmeninimo. Be to, Klimato tikslų planas suponuoja, kad siekiant ambicingesnių ES klimato tikslų iki 2030 m. (pasiekti bent 55% šiltnamio efektą sukeliančių dujų išmetimo mažėjimą), reikėtų padidinti energijos vartojimo efektyvumo ambiciją ir atsinaujinančių išteklių dalies tikslą 2030 m.</w:t>
      </w:r>
    </w:p>
    <w:p w14:paraId="2F3DD427" w14:textId="77777777" w:rsidR="006724E5" w:rsidRPr="006724E5" w:rsidRDefault="006724E5" w:rsidP="006724E5">
      <w:pPr>
        <w:jc w:val="both"/>
        <w:rPr>
          <w:rFonts w:ascii="Times New Roman" w:hAnsi="Times New Roman" w:cs="Times New Roman"/>
          <w:sz w:val="24"/>
          <w:szCs w:val="24"/>
          <w:lang w:val="lt-LT"/>
        </w:rPr>
      </w:pPr>
      <w:r w:rsidRPr="006724E5">
        <w:rPr>
          <w:rFonts w:ascii="Times New Roman" w:hAnsi="Times New Roman" w:cs="Times New Roman"/>
          <w:sz w:val="24"/>
          <w:szCs w:val="24"/>
          <w:lang w:val="lt-LT"/>
        </w:rPr>
        <w:t xml:space="preserve">EK paskelbė, kokie teisės aktų pasiūlymai, atspindintys didesnius užmojus, bus pateikti 2021 m. (Atitikties -55 proc. paketas). </w:t>
      </w:r>
    </w:p>
    <w:p w14:paraId="1FA6C429" w14:textId="3C3E0DF9" w:rsidR="006724E5" w:rsidRPr="006724E5" w:rsidRDefault="006724E5" w:rsidP="006724E5">
      <w:pPr>
        <w:jc w:val="both"/>
        <w:rPr>
          <w:rFonts w:ascii="Times New Roman" w:hAnsi="Times New Roman" w:cs="Times New Roman"/>
          <w:sz w:val="24"/>
          <w:szCs w:val="24"/>
          <w:lang w:val="lt-LT"/>
        </w:rPr>
      </w:pPr>
      <w:r w:rsidRPr="006724E5">
        <w:rPr>
          <w:rFonts w:ascii="Times New Roman" w:hAnsi="Times New Roman" w:cs="Times New Roman"/>
          <w:sz w:val="24"/>
          <w:szCs w:val="24"/>
          <w:lang w:val="lt-LT"/>
        </w:rPr>
        <w:t xml:space="preserve">         Pirmininkaujanti valstybė susitikimui pateikė diskusinį dokumentą su klausimais energetikos ministrams. Diskusijai pateikiami šie klausimai:</w:t>
      </w:r>
    </w:p>
    <w:p w14:paraId="5BC01D27" w14:textId="77777777" w:rsidR="006724E5" w:rsidRPr="006724E5" w:rsidRDefault="006724E5" w:rsidP="006724E5">
      <w:pPr>
        <w:jc w:val="both"/>
        <w:rPr>
          <w:rFonts w:ascii="Times New Roman" w:hAnsi="Times New Roman" w:cs="Times New Roman"/>
          <w:i/>
          <w:iCs/>
          <w:sz w:val="24"/>
          <w:szCs w:val="24"/>
          <w:lang w:val="lt-LT"/>
        </w:rPr>
      </w:pPr>
      <w:r w:rsidRPr="006724E5">
        <w:rPr>
          <w:rFonts w:ascii="Times New Roman" w:hAnsi="Times New Roman" w:cs="Times New Roman"/>
          <w:i/>
          <w:iCs/>
          <w:sz w:val="24"/>
          <w:szCs w:val="24"/>
          <w:lang w:val="lt-LT"/>
        </w:rPr>
        <w:t>1. Kokias politikos priemones matote kaip prioritetines gerinant ES reguliacinę aplinką, kuri įgalintų energetikos sistemos integraciją ir padėtų laikytis krypties link klimatui neutralios Europos 2050? Kokie bus didžiausi iššūkiai ir kaip juos įveikti?</w:t>
      </w:r>
    </w:p>
    <w:p w14:paraId="16DEFD80" w14:textId="742B4D36" w:rsidR="000E5B78" w:rsidRPr="006724E5" w:rsidRDefault="006724E5" w:rsidP="006724E5">
      <w:pPr>
        <w:jc w:val="both"/>
        <w:rPr>
          <w:rFonts w:ascii="Times New Roman" w:hAnsi="Times New Roman" w:cs="Times New Roman"/>
          <w:i/>
          <w:iCs/>
          <w:sz w:val="24"/>
          <w:szCs w:val="24"/>
          <w:lang w:val="lt-LT"/>
        </w:rPr>
      </w:pPr>
      <w:r w:rsidRPr="006724E5">
        <w:rPr>
          <w:rFonts w:ascii="Times New Roman" w:hAnsi="Times New Roman" w:cs="Times New Roman"/>
          <w:i/>
          <w:iCs/>
          <w:sz w:val="24"/>
          <w:szCs w:val="24"/>
          <w:lang w:val="lt-LT"/>
        </w:rPr>
        <w:t>2. Kokia jūsų nuomonė dėl 2030 m. tikslų energetikos srityje suderinamumo su didesne ES klimato ambicija?</w:t>
      </w:r>
    </w:p>
    <w:p w14:paraId="4FE1BC94" w14:textId="25E9BE04" w:rsidR="00DE3FF4" w:rsidRPr="006724E5" w:rsidRDefault="00DE3FF4" w:rsidP="005513F2">
      <w:pPr>
        <w:jc w:val="both"/>
        <w:rPr>
          <w:rFonts w:ascii="Times New Roman" w:hAnsi="Times New Roman" w:cs="Times New Roman"/>
          <w:b/>
          <w:bCs/>
          <w:sz w:val="24"/>
          <w:szCs w:val="24"/>
          <w:u w:val="single"/>
          <w:lang w:val="lt-LT"/>
        </w:rPr>
      </w:pPr>
      <w:r w:rsidRPr="006724E5">
        <w:rPr>
          <w:rFonts w:ascii="Times New Roman" w:hAnsi="Times New Roman" w:cs="Times New Roman"/>
          <w:b/>
          <w:bCs/>
          <w:sz w:val="24"/>
          <w:szCs w:val="24"/>
          <w:u w:val="single"/>
          <w:lang w:val="lt-LT"/>
        </w:rPr>
        <w:t>Lietuvos pozicij</w:t>
      </w:r>
      <w:r w:rsidR="00423248" w:rsidRPr="006724E5">
        <w:rPr>
          <w:rFonts w:ascii="Times New Roman" w:hAnsi="Times New Roman" w:cs="Times New Roman"/>
          <w:b/>
          <w:bCs/>
          <w:sz w:val="24"/>
          <w:szCs w:val="24"/>
          <w:u w:val="single"/>
          <w:lang w:val="lt-LT"/>
        </w:rPr>
        <w:t>os</w:t>
      </w:r>
    </w:p>
    <w:p w14:paraId="5B95D334" w14:textId="77777777" w:rsidR="006724E5" w:rsidRPr="006724E5" w:rsidRDefault="006724E5" w:rsidP="006724E5">
      <w:pPr>
        <w:jc w:val="both"/>
        <w:rPr>
          <w:rFonts w:ascii="Times New Roman" w:hAnsi="Times New Roman" w:cs="Times New Roman"/>
          <w:b/>
          <w:bCs/>
          <w:sz w:val="24"/>
          <w:szCs w:val="24"/>
          <w:u w:val="single"/>
          <w:lang w:val="lt-LT"/>
        </w:rPr>
      </w:pPr>
      <w:r w:rsidRPr="006724E5">
        <w:rPr>
          <w:rFonts w:ascii="Times New Roman" w:hAnsi="Times New Roman" w:cs="Times New Roman"/>
          <w:b/>
          <w:bCs/>
          <w:i/>
          <w:iCs/>
          <w:sz w:val="24"/>
          <w:szCs w:val="24"/>
          <w:lang w:val="lt-LT"/>
        </w:rPr>
        <w:t>Pirmuoju klausimu</w:t>
      </w:r>
      <w:r w:rsidRPr="006724E5">
        <w:rPr>
          <w:rFonts w:ascii="Times New Roman" w:hAnsi="Times New Roman" w:cs="Times New Roman"/>
          <w:b/>
          <w:bCs/>
          <w:sz w:val="24"/>
          <w:szCs w:val="24"/>
          <w:lang w:val="lt-LT"/>
        </w:rPr>
        <w:t xml:space="preserve"> </w:t>
      </w:r>
      <w:r w:rsidRPr="006724E5">
        <w:rPr>
          <w:rFonts w:ascii="Times New Roman" w:hAnsi="Times New Roman" w:cs="Times New Roman"/>
          <w:sz w:val="24"/>
          <w:szCs w:val="24"/>
          <w:lang w:val="lt-LT"/>
        </w:rPr>
        <w:t xml:space="preserve">Lietuva nuosekliai pritaria, kad siekiant ES tikslų klimato srityje būtina energetikos sektoriaus transformacija į integruotą, inovatyvią ir konkurencingą sistemą, užtikrinančią energijos tiekimo saugumą. Tam svarbu integruotai įgyvendinti ES nustatytus tikslus Sektoriaus integravimo, Vandenilio ir Jūrinių atsinaujinančių energetikos išteklių strategijose. Esminį vaidmenį vaidins ir inovatyvių technologijų energetikos srityje skatinimas. </w:t>
      </w:r>
    </w:p>
    <w:p w14:paraId="1DD46C1A" w14:textId="77777777" w:rsidR="006724E5" w:rsidRPr="006724E5" w:rsidRDefault="006724E5" w:rsidP="006724E5">
      <w:pPr>
        <w:jc w:val="both"/>
        <w:rPr>
          <w:rFonts w:ascii="Times New Roman" w:hAnsi="Times New Roman" w:cs="Times New Roman"/>
          <w:sz w:val="24"/>
          <w:szCs w:val="24"/>
          <w:lang w:val="lt-LT"/>
        </w:rPr>
      </w:pPr>
      <w:r w:rsidRPr="006724E5">
        <w:rPr>
          <w:rFonts w:ascii="Times New Roman" w:hAnsi="Times New Roman" w:cs="Times New Roman"/>
          <w:sz w:val="24"/>
          <w:szCs w:val="24"/>
          <w:lang w:val="lt-LT"/>
        </w:rPr>
        <w:lastRenderedPageBreak/>
        <w:t xml:space="preserve">    Pritariame, kad visos EK planuojamos pateikti iniciatyvos dėl teisėkūros pritaikymo didesniems klimato tikslams (</w:t>
      </w:r>
      <w:proofErr w:type="spellStart"/>
      <w:r w:rsidRPr="006724E5">
        <w:rPr>
          <w:rFonts w:ascii="Times New Roman" w:hAnsi="Times New Roman" w:cs="Times New Roman"/>
          <w:sz w:val="24"/>
          <w:szCs w:val="24"/>
          <w:lang w:val="lt-LT"/>
        </w:rPr>
        <w:t>Fit</w:t>
      </w:r>
      <w:proofErr w:type="spellEnd"/>
      <w:r w:rsidRPr="006724E5">
        <w:rPr>
          <w:rFonts w:ascii="Times New Roman" w:hAnsi="Times New Roman" w:cs="Times New Roman"/>
          <w:sz w:val="24"/>
          <w:szCs w:val="24"/>
          <w:lang w:val="lt-LT"/>
        </w:rPr>
        <w:t xml:space="preserve"> </w:t>
      </w:r>
      <w:proofErr w:type="spellStart"/>
      <w:r w:rsidRPr="006724E5">
        <w:rPr>
          <w:rFonts w:ascii="Times New Roman" w:hAnsi="Times New Roman" w:cs="Times New Roman"/>
          <w:sz w:val="24"/>
          <w:szCs w:val="24"/>
          <w:lang w:val="lt-LT"/>
        </w:rPr>
        <w:t>for</w:t>
      </w:r>
      <w:proofErr w:type="spellEnd"/>
      <w:r w:rsidRPr="006724E5">
        <w:rPr>
          <w:rFonts w:ascii="Times New Roman" w:hAnsi="Times New Roman" w:cs="Times New Roman"/>
          <w:sz w:val="24"/>
          <w:szCs w:val="24"/>
          <w:lang w:val="lt-LT"/>
        </w:rPr>
        <w:t xml:space="preserve"> 55 </w:t>
      </w:r>
      <w:proofErr w:type="spellStart"/>
      <w:r w:rsidRPr="006724E5">
        <w:rPr>
          <w:rFonts w:ascii="Times New Roman" w:hAnsi="Times New Roman" w:cs="Times New Roman"/>
          <w:sz w:val="24"/>
          <w:szCs w:val="24"/>
          <w:lang w:val="lt-LT"/>
        </w:rPr>
        <w:t>package</w:t>
      </w:r>
      <w:proofErr w:type="spellEnd"/>
      <w:r w:rsidRPr="006724E5">
        <w:rPr>
          <w:rFonts w:ascii="Times New Roman" w:hAnsi="Times New Roman" w:cs="Times New Roman"/>
          <w:sz w:val="24"/>
          <w:szCs w:val="24"/>
          <w:lang w:val="lt-LT"/>
        </w:rPr>
        <w:t xml:space="preserve">) yra labai aktualios. Europai siekiant tapti neutraliu klimatui žemynu svarbu, kad šiam tikslui įgalinti būtų teisiškai įtvirtintos priemonės visuose sektoriuose. Teisėkūros paketai bus didelės apimties, labai svarbu bus užtikrinti, kad priemonės bus tarpusavyje suderintos ir padės siekti tikslo visų valstybių narių atžvilgiu sąžiningiausiais ir kainos atžvilgiu palankiausiais būdais. </w:t>
      </w:r>
    </w:p>
    <w:p w14:paraId="7943DEBC" w14:textId="77777777" w:rsidR="006724E5" w:rsidRPr="006724E5" w:rsidRDefault="006724E5" w:rsidP="006724E5">
      <w:pPr>
        <w:jc w:val="both"/>
        <w:rPr>
          <w:rFonts w:ascii="Times New Roman" w:hAnsi="Times New Roman" w:cs="Times New Roman"/>
          <w:sz w:val="24"/>
          <w:szCs w:val="24"/>
          <w:lang w:val="lt-LT"/>
        </w:rPr>
      </w:pPr>
      <w:r w:rsidRPr="006724E5">
        <w:rPr>
          <w:rFonts w:ascii="Times New Roman" w:hAnsi="Times New Roman" w:cs="Times New Roman"/>
          <w:sz w:val="24"/>
          <w:szCs w:val="24"/>
          <w:lang w:val="lt-LT"/>
        </w:rPr>
        <w:t xml:space="preserve">      Energetikos sektoriuje labai svari reguliacinė aplinka įgalinanti atsinaujinančių išteklių, visų pirma jūrinio vėjo projektų plėtrą. Paskelbtoje strategijoje nustatyti ambicingi tikslai 2030 m., tam kad jie būtų įgyvendinti, būtina spartinti detalaus teisinio reglamentavimo tarpvalstybinių bendradarbiavimo (pvz. jūrinių teritorijų planavimo, poveikio vertinimo) ir finansavimo srityse procesus. Taip pat, labai svarbu įgalinti ir skatinti nacionalinius projektus, nes šie projektai turi potencialą greičiausiai padidinti atsinaujinančių išteklių dalį ES. </w:t>
      </w:r>
    </w:p>
    <w:p w14:paraId="3BC4C277" w14:textId="77777777" w:rsidR="006724E5" w:rsidRPr="006724E5" w:rsidRDefault="006724E5" w:rsidP="006724E5">
      <w:pPr>
        <w:jc w:val="both"/>
        <w:rPr>
          <w:rFonts w:ascii="Times New Roman" w:hAnsi="Times New Roman" w:cs="Times New Roman"/>
          <w:sz w:val="24"/>
          <w:szCs w:val="24"/>
          <w:lang w:val="lt-LT"/>
        </w:rPr>
      </w:pPr>
      <w:r w:rsidRPr="006724E5">
        <w:rPr>
          <w:rFonts w:ascii="Times New Roman" w:hAnsi="Times New Roman" w:cs="Times New Roman"/>
          <w:sz w:val="24"/>
          <w:szCs w:val="24"/>
          <w:lang w:val="lt-LT"/>
        </w:rPr>
        <w:t xml:space="preserve">      Kita svarbi reglamentavimo sritis – dujų ir elektros energetikos sektorių suderinimas. Reikalingos gairės reguliacinių sistemų ir veiklos standartų suvienodinimui tarp valstybių narių. </w:t>
      </w:r>
    </w:p>
    <w:p w14:paraId="066525ED" w14:textId="77777777" w:rsidR="006724E5" w:rsidRPr="006724E5" w:rsidRDefault="006724E5" w:rsidP="006724E5">
      <w:pPr>
        <w:jc w:val="both"/>
        <w:rPr>
          <w:rFonts w:ascii="Times New Roman" w:hAnsi="Times New Roman" w:cs="Times New Roman"/>
          <w:sz w:val="24"/>
          <w:szCs w:val="24"/>
          <w:lang w:val="lt-LT"/>
        </w:rPr>
      </w:pPr>
      <w:r w:rsidRPr="006724E5">
        <w:rPr>
          <w:rFonts w:ascii="Times New Roman" w:hAnsi="Times New Roman" w:cs="Times New Roman"/>
          <w:sz w:val="24"/>
          <w:szCs w:val="24"/>
          <w:lang w:val="lt-LT"/>
        </w:rPr>
        <w:t xml:space="preserve">Pritariame, kad labai svarbų vaidmenį sistemos integravime vaidins vandenilio technologijos. Pereinamuoju laikotarpiu turi būti skatinami kainos atžvilgiu efektyviausi būdai padidinti ES pagaminamo vandenilio kiekius </w:t>
      </w:r>
      <w:proofErr w:type="spellStart"/>
      <w:r w:rsidRPr="006724E5">
        <w:rPr>
          <w:rFonts w:ascii="Times New Roman" w:hAnsi="Times New Roman" w:cs="Times New Roman"/>
          <w:sz w:val="24"/>
          <w:szCs w:val="24"/>
          <w:lang w:val="lt-LT"/>
        </w:rPr>
        <w:t>t.y</w:t>
      </w:r>
      <w:proofErr w:type="spellEnd"/>
      <w:r w:rsidRPr="006724E5">
        <w:rPr>
          <w:rFonts w:ascii="Times New Roman" w:hAnsi="Times New Roman" w:cs="Times New Roman"/>
          <w:sz w:val="24"/>
          <w:szCs w:val="24"/>
          <w:lang w:val="lt-LT"/>
        </w:rPr>
        <w:t>. prieinamos mažai taršios (</w:t>
      </w:r>
      <w:proofErr w:type="spellStart"/>
      <w:r w:rsidRPr="006724E5">
        <w:rPr>
          <w:rFonts w:ascii="Times New Roman" w:hAnsi="Times New Roman" w:cs="Times New Roman"/>
          <w:i/>
          <w:iCs/>
          <w:sz w:val="24"/>
          <w:szCs w:val="24"/>
          <w:lang w:val="lt-LT"/>
        </w:rPr>
        <w:t>low-carbon</w:t>
      </w:r>
      <w:proofErr w:type="spellEnd"/>
      <w:r w:rsidRPr="006724E5">
        <w:rPr>
          <w:rFonts w:ascii="Times New Roman" w:hAnsi="Times New Roman" w:cs="Times New Roman"/>
          <w:sz w:val="24"/>
          <w:szCs w:val="24"/>
          <w:lang w:val="lt-LT"/>
        </w:rPr>
        <w:t xml:space="preserve">) vandenilio technologijos, tokios kaip gamyba iš gamtinių dujų su anglies sugavimu. Vandenilio ir kitų </w:t>
      </w:r>
      <w:proofErr w:type="spellStart"/>
      <w:r w:rsidRPr="006724E5">
        <w:rPr>
          <w:rFonts w:ascii="Times New Roman" w:hAnsi="Times New Roman" w:cs="Times New Roman"/>
          <w:sz w:val="24"/>
          <w:szCs w:val="24"/>
          <w:lang w:val="lt-LT"/>
        </w:rPr>
        <w:t>dekarbonizuotų</w:t>
      </w:r>
      <w:proofErr w:type="spellEnd"/>
      <w:r w:rsidRPr="006724E5">
        <w:rPr>
          <w:rFonts w:ascii="Times New Roman" w:hAnsi="Times New Roman" w:cs="Times New Roman"/>
          <w:sz w:val="24"/>
          <w:szCs w:val="24"/>
          <w:lang w:val="lt-LT"/>
        </w:rPr>
        <w:t xml:space="preserve"> dujų panaudojimui turi būti įgalintas esamos dujų infrastruktūros pritaikymas. ES taip pat turi inicijuoti gamtinių dujų kokybės reikalavimų suvienodinimą tarp valstybių narių ir ieškoti sprendimų dėl tarpvalstybinių srautų su trečiosiomis šalimis. „</w:t>
      </w:r>
      <w:r w:rsidRPr="006724E5">
        <w:rPr>
          <w:rFonts w:ascii="Times New Roman" w:hAnsi="Times New Roman" w:cs="Times New Roman"/>
          <w:i/>
          <w:iCs/>
          <w:sz w:val="24"/>
          <w:szCs w:val="24"/>
          <w:lang w:val="lt-LT"/>
        </w:rPr>
        <w:t>Power-to-</w:t>
      </w:r>
      <w:proofErr w:type="spellStart"/>
      <w:r w:rsidRPr="006724E5">
        <w:rPr>
          <w:rFonts w:ascii="Times New Roman" w:hAnsi="Times New Roman" w:cs="Times New Roman"/>
          <w:i/>
          <w:iCs/>
          <w:sz w:val="24"/>
          <w:szCs w:val="24"/>
          <w:lang w:val="lt-LT"/>
        </w:rPr>
        <w:t>Gas</w:t>
      </w:r>
      <w:proofErr w:type="spellEnd"/>
      <w:r w:rsidRPr="006724E5">
        <w:rPr>
          <w:rFonts w:ascii="Times New Roman" w:hAnsi="Times New Roman" w:cs="Times New Roman"/>
          <w:sz w:val="24"/>
          <w:szCs w:val="24"/>
          <w:lang w:val="lt-LT"/>
        </w:rPr>
        <w:t xml:space="preserve">“ technologijos atveju, neatliekant vandenilio </w:t>
      </w:r>
      <w:proofErr w:type="spellStart"/>
      <w:r w:rsidRPr="006724E5">
        <w:rPr>
          <w:rFonts w:ascii="Times New Roman" w:hAnsi="Times New Roman" w:cs="Times New Roman"/>
          <w:sz w:val="24"/>
          <w:szCs w:val="24"/>
          <w:lang w:val="lt-LT"/>
        </w:rPr>
        <w:t>metanizacijos</w:t>
      </w:r>
      <w:proofErr w:type="spellEnd"/>
      <w:r w:rsidRPr="006724E5">
        <w:rPr>
          <w:rFonts w:ascii="Times New Roman" w:hAnsi="Times New Roman" w:cs="Times New Roman"/>
          <w:sz w:val="24"/>
          <w:szCs w:val="24"/>
          <w:lang w:val="lt-LT"/>
        </w:rPr>
        <w:t xml:space="preserve"> tarpvalstybiniai perdavimai keltų problemų dėl skirtingų kokybės reikalavimų.</w:t>
      </w:r>
      <w:r w:rsidRPr="006724E5">
        <w:rPr>
          <w:lang w:val="lt-LT"/>
        </w:rPr>
        <w:t xml:space="preserve"> R</w:t>
      </w:r>
      <w:r w:rsidRPr="006724E5">
        <w:rPr>
          <w:rFonts w:ascii="Times New Roman" w:hAnsi="Times New Roman" w:cs="Times New Roman"/>
          <w:sz w:val="24"/>
          <w:szCs w:val="24"/>
          <w:lang w:val="lt-LT"/>
        </w:rPr>
        <w:t>engiant infrastruktūros plėtros planus turėtų būti išsamiau įvertinamos energijos rūšį transformuojančių technologijų (pvz. „</w:t>
      </w:r>
      <w:r w:rsidRPr="006724E5">
        <w:rPr>
          <w:rFonts w:ascii="Times New Roman" w:hAnsi="Times New Roman" w:cs="Times New Roman"/>
          <w:i/>
          <w:iCs/>
          <w:sz w:val="24"/>
          <w:szCs w:val="24"/>
          <w:lang w:val="lt-LT"/>
        </w:rPr>
        <w:t>Power-to-</w:t>
      </w:r>
      <w:proofErr w:type="spellStart"/>
      <w:r w:rsidRPr="006724E5">
        <w:rPr>
          <w:rFonts w:ascii="Times New Roman" w:hAnsi="Times New Roman" w:cs="Times New Roman"/>
          <w:i/>
          <w:iCs/>
          <w:sz w:val="24"/>
          <w:szCs w:val="24"/>
          <w:lang w:val="lt-LT"/>
        </w:rPr>
        <w:t>Gas</w:t>
      </w:r>
      <w:proofErr w:type="spellEnd"/>
      <w:r w:rsidRPr="006724E5">
        <w:rPr>
          <w:rFonts w:ascii="Times New Roman" w:hAnsi="Times New Roman" w:cs="Times New Roman"/>
          <w:sz w:val="24"/>
          <w:szCs w:val="24"/>
          <w:lang w:val="lt-LT"/>
        </w:rPr>
        <w:t xml:space="preserve">“) galimybės optimizuoti elektros ir dujų tinklų vystymą ir maksimizuoti </w:t>
      </w:r>
      <w:proofErr w:type="spellStart"/>
      <w:r w:rsidRPr="006724E5">
        <w:rPr>
          <w:rFonts w:ascii="Times New Roman" w:hAnsi="Times New Roman" w:cs="Times New Roman"/>
          <w:sz w:val="24"/>
          <w:szCs w:val="24"/>
          <w:lang w:val="lt-LT"/>
        </w:rPr>
        <w:t>socio</w:t>
      </w:r>
      <w:proofErr w:type="spellEnd"/>
      <w:r w:rsidRPr="006724E5">
        <w:rPr>
          <w:rFonts w:ascii="Times New Roman" w:hAnsi="Times New Roman" w:cs="Times New Roman"/>
          <w:sz w:val="24"/>
          <w:szCs w:val="24"/>
          <w:lang w:val="lt-LT"/>
        </w:rPr>
        <w:t>-ekonominę naudą.</w:t>
      </w:r>
    </w:p>
    <w:p w14:paraId="44DE8B09" w14:textId="194C133E" w:rsidR="006724E5" w:rsidRPr="006724E5" w:rsidRDefault="006724E5" w:rsidP="006724E5">
      <w:pPr>
        <w:jc w:val="both"/>
        <w:rPr>
          <w:rFonts w:ascii="Times New Roman" w:hAnsi="Times New Roman" w:cs="Times New Roman"/>
          <w:sz w:val="24"/>
          <w:szCs w:val="24"/>
          <w:lang w:val="lt-LT"/>
        </w:rPr>
      </w:pPr>
      <w:r w:rsidRPr="006724E5">
        <w:rPr>
          <w:rFonts w:ascii="Times New Roman" w:hAnsi="Times New Roman" w:cs="Times New Roman"/>
          <w:sz w:val="24"/>
          <w:szCs w:val="24"/>
          <w:lang w:val="lt-LT"/>
        </w:rPr>
        <w:t xml:space="preserve">    </w:t>
      </w:r>
      <w:r w:rsidRPr="006724E5">
        <w:rPr>
          <w:rFonts w:ascii="Times New Roman" w:hAnsi="Times New Roman" w:cs="Times New Roman"/>
          <w:b/>
          <w:bCs/>
          <w:i/>
          <w:iCs/>
          <w:sz w:val="24"/>
          <w:szCs w:val="24"/>
          <w:lang w:val="lt-LT"/>
        </w:rPr>
        <w:t>Kalbant apie energetikos sektoriaus ir klimato tikslų suderinamumą (antrasis klausimas)</w:t>
      </w:r>
      <w:r w:rsidRPr="006724E5">
        <w:rPr>
          <w:rFonts w:ascii="Times New Roman" w:hAnsi="Times New Roman" w:cs="Times New Roman"/>
          <w:sz w:val="24"/>
          <w:szCs w:val="24"/>
          <w:lang w:val="lt-LT"/>
        </w:rPr>
        <w:t xml:space="preserve">, manome, kad sektoriaus transformacija yra viena pagrindinių ES ekonomikos </w:t>
      </w:r>
      <w:proofErr w:type="spellStart"/>
      <w:r w:rsidRPr="006724E5">
        <w:rPr>
          <w:rFonts w:ascii="Times New Roman" w:hAnsi="Times New Roman" w:cs="Times New Roman"/>
          <w:sz w:val="24"/>
          <w:szCs w:val="24"/>
          <w:lang w:val="lt-LT"/>
        </w:rPr>
        <w:t>dekarbonizacijos</w:t>
      </w:r>
      <w:proofErr w:type="spellEnd"/>
      <w:r w:rsidRPr="006724E5">
        <w:rPr>
          <w:rFonts w:ascii="Times New Roman" w:hAnsi="Times New Roman" w:cs="Times New Roman"/>
          <w:sz w:val="24"/>
          <w:szCs w:val="24"/>
          <w:lang w:val="lt-LT"/>
        </w:rPr>
        <w:t xml:space="preserve"> dalių. Svarbiausią vaidmenį energetikos sektoriuje vaidins Atsinaujinančių energijos išteklių ir Energinio efektyvumo direktyvų peržiūros. Šios direktyvos turi būti pritaikytos didesniems tikslams, išlaikant sąžiningo pastangų pasidalijimo tarp valstybių narių principus. Didėjantys tikslai, ypač energijos efektyvumo sektoriuje, sukels iššūkių, kuriuos įveikti galimai reikės reformų ir papildomo finansavimo. Manome, jog itin reikšmingas bus AEI dalies ES energijos balanse didinimas, šioje srityje palaikome ambicingą scenarijų. Tam, kad būtų įgalinta technologijų plėtra, sustiprintos ES AEI vertės grandinės ir didinama gamyba taip pat svarbu užtikrinti lygias konkurencines sąlygas su trečiųjų šalių elektros gamintojais</w:t>
      </w:r>
      <w:r w:rsidR="008D2B64">
        <w:rPr>
          <w:rFonts w:ascii="Times New Roman" w:hAnsi="Times New Roman" w:cs="Times New Roman"/>
          <w:sz w:val="24"/>
          <w:szCs w:val="24"/>
          <w:lang w:val="lt-LT"/>
        </w:rPr>
        <w:t>, kurie nesilaiko atitinkamų aplinkosauginių ir saugos reikalavimų</w:t>
      </w:r>
      <w:r w:rsidRPr="006724E5">
        <w:rPr>
          <w:rFonts w:ascii="Times New Roman" w:hAnsi="Times New Roman" w:cs="Times New Roman"/>
          <w:sz w:val="24"/>
          <w:szCs w:val="24"/>
          <w:lang w:val="lt-LT"/>
        </w:rPr>
        <w:t xml:space="preserve">. Akivaizdu, kad auganti ambicija reikalaus reikšmingų papildomų investicijų. Tam visų pirma turi būti efektyviai panaudotos ES Atsigavimo paketo lėšos. </w:t>
      </w:r>
      <w:bookmarkStart w:id="0" w:name="_GoBack"/>
      <w:bookmarkEnd w:id="0"/>
    </w:p>
    <w:p w14:paraId="258DF083" w14:textId="73B85ECF" w:rsidR="006724E5" w:rsidRPr="006724E5" w:rsidRDefault="006724E5" w:rsidP="006724E5">
      <w:pPr>
        <w:jc w:val="both"/>
        <w:rPr>
          <w:rFonts w:ascii="Times New Roman" w:hAnsi="Times New Roman" w:cs="Times New Roman"/>
          <w:sz w:val="24"/>
          <w:szCs w:val="24"/>
          <w:lang w:val="lt-LT"/>
        </w:rPr>
      </w:pPr>
      <w:r w:rsidRPr="006724E5">
        <w:rPr>
          <w:rFonts w:ascii="Times New Roman" w:hAnsi="Times New Roman" w:cs="Times New Roman"/>
          <w:sz w:val="24"/>
          <w:szCs w:val="24"/>
          <w:lang w:val="lt-LT"/>
        </w:rPr>
        <w:t xml:space="preserve">2. </w:t>
      </w:r>
      <w:r w:rsidRPr="006724E5">
        <w:rPr>
          <w:rFonts w:ascii="Times New Roman" w:hAnsi="Times New Roman" w:cs="Times New Roman"/>
          <w:b/>
          <w:bCs/>
          <w:sz w:val="24"/>
          <w:szCs w:val="24"/>
          <w:lang w:val="lt-LT"/>
        </w:rPr>
        <w:t>Išorinių ES santykių energetikos srityje eiga - Europos Komisijos pristatymas.</w:t>
      </w:r>
    </w:p>
    <w:p w14:paraId="73ADB390" w14:textId="77777777" w:rsidR="006724E5" w:rsidRPr="006724E5" w:rsidRDefault="006724E5" w:rsidP="006724E5">
      <w:pPr>
        <w:rPr>
          <w:rFonts w:ascii="Times New Roman" w:hAnsi="Times New Roman" w:cs="Times New Roman"/>
          <w:i/>
          <w:iCs/>
          <w:sz w:val="24"/>
          <w:szCs w:val="24"/>
          <w:lang w:val="lt-LT"/>
        </w:rPr>
      </w:pPr>
      <w:r w:rsidRPr="006724E5">
        <w:rPr>
          <w:rFonts w:ascii="Times New Roman" w:hAnsi="Times New Roman" w:cs="Times New Roman"/>
          <w:i/>
          <w:iCs/>
          <w:sz w:val="24"/>
          <w:szCs w:val="24"/>
          <w:lang w:val="lt-LT"/>
        </w:rPr>
        <w:t xml:space="preserve">Išklausyti informaciją. </w:t>
      </w:r>
    </w:p>
    <w:p w14:paraId="378984F7" w14:textId="6EE21E34" w:rsidR="006724E5" w:rsidRPr="006724E5" w:rsidRDefault="006724E5" w:rsidP="006724E5">
      <w:pPr>
        <w:rPr>
          <w:rFonts w:ascii="Times New Roman" w:hAnsi="Times New Roman" w:cs="Times New Roman"/>
          <w:i/>
          <w:iCs/>
          <w:sz w:val="24"/>
          <w:szCs w:val="24"/>
          <w:lang w:val="lt-LT"/>
        </w:rPr>
      </w:pPr>
      <w:r w:rsidRPr="006724E5">
        <w:rPr>
          <w:rFonts w:ascii="Times New Roman" w:hAnsi="Times New Roman" w:cs="Times New Roman"/>
          <w:sz w:val="24"/>
          <w:szCs w:val="24"/>
          <w:lang w:val="lt-LT"/>
        </w:rPr>
        <w:t>3.</w:t>
      </w:r>
      <w:r w:rsidRPr="006724E5">
        <w:rPr>
          <w:rFonts w:ascii="Times New Roman" w:hAnsi="Times New Roman" w:cs="Times New Roman"/>
          <w:i/>
          <w:iCs/>
          <w:sz w:val="24"/>
          <w:szCs w:val="24"/>
          <w:lang w:val="lt-LT"/>
        </w:rPr>
        <w:t xml:space="preserve"> </w:t>
      </w:r>
      <w:r w:rsidRPr="006724E5">
        <w:rPr>
          <w:rFonts w:ascii="Times New Roman" w:hAnsi="Times New Roman" w:cs="Times New Roman"/>
          <w:b/>
          <w:bCs/>
          <w:sz w:val="24"/>
          <w:szCs w:val="24"/>
          <w:lang w:val="lt-LT"/>
        </w:rPr>
        <w:t xml:space="preserve">2021 m. I pusmečio Pirmininkavimo programa (Portugalija) – Portugalijos delegacijos pristatymas. </w:t>
      </w:r>
    </w:p>
    <w:p w14:paraId="7F4CC42A" w14:textId="77777777" w:rsidR="006724E5" w:rsidRPr="006724E5" w:rsidRDefault="006724E5" w:rsidP="006724E5">
      <w:pPr>
        <w:rPr>
          <w:rFonts w:ascii="Times New Roman" w:hAnsi="Times New Roman" w:cs="Times New Roman"/>
          <w:i/>
          <w:iCs/>
          <w:sz w:val="24"/>
          <w:szCs w:val="24"/>
          <w:lang w:val="lt-LT"/>
        </w:rPr>
      </w:pPr>
      <w:r w:rsidRPr="006724E5">
        <w:rPr>
          <w:rFonts w:ascii="Times New Roman" w:hAnsi="Times New Roman" w:cs="Times New Roman"/>
          <w:i/>
          <w:iCs/>
          <w:sz w:val="24"/>
          <w:szCs w:val="24"/>
          <w:lang w:val="lt-LT"/>
        </w:rPr>
        <w:t xml:space="preserve">Išklausyti informaciją. </w:t>
      </w:r>
    </w:p>
    <w:p w14:paraId="231B1492" w14:textId="2859B64A" w:rsidR="00C17173" w:rsidRPr="005513F2" w:rsidRDefault="00C17173" w:rsidP="006724E5">
      <w:pPr>
        <w:jc w:val="both"/>
        <w:rPr>
          <w:rFonts w:ascii="Times New Roman" w:hAnsi="Times New Roman" w:cs="Times New Roman"/>
          <w:sz w:val="24"/>
          <w:szCs w:val="24"/>
          <w:lang w:val="lt-LT"/>
        </w:rPr>
      </w:pPr>
    </w:p>
    <w:sectPr w:rsidR="00C17173" w:rsidRPr="005513F2" w:rsidSect="000E5B78">
      <w:pgSz w:w="11906" w:h="16838"/>
      <w:pgMar w:top="851" w:right="567"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E48C2"/>
    <w:multiLevelType w:val="hybridMultilevel"/>
    <w:tmpl w:val="DB70E310"/>
    <w:lvl w:ilvl="0" w:tplc="847E4AB8">
      <w:start w:val="1"/>
      <w:numFmt w:val="bullet"/>
      <w:lvlText w:val="•"/>
      <w:lvlJc w:val="left"/>
      <w:pPr>
        <w:tabs>
          <w:tab w:val="num" w:pos="720"/>
        </w:tabs>
        <w:ind w:left="720" w:hanging="360"/>
      </w:pPr>
      <w:rPr>
        <w:rFonts w:ascii="Arial" w:hAnsi="Arial" w:hint="default"/>
      </w:rPr>
    </w:lvl>
    <w:lvl w:ilvl="1" w:tplc="056EB688" w:tentative="1">
      <w:start w:val="1"/>
      <w:numFmt w:val="bullet"/>
      <w:lvlText w:val="•"/>
      <w:lvlJc w:val="left"/>
      <w:pPr>
        <w:tabs>
          <w:tab w:val="num" w:pos="1440"/>
        </w:tabs>
        <w:ind w:left="1440" w:hanging="360"/>
      </w:pPr>
      <w:rPr>
        <w:rFonts w:ascii="Arial" w:hAnsi="Arial" w:hint="default"/>
      </w:rPr>
    </w:lvl>
    <w:lvl w:ilvl="2" w:tplc="306C0E28" w:tentative="1">
      <w:start w:val="1"/>
      <w:numFmt w:val="bullet"/>
      <w:lvlText w:val="•"/>
      <w:lvlJc w:val="left"/>
      <w:pPr>
        <w:tabs>
          <w:tab w:val="num" w:pos="2160"/>
        </w:tabs>
        <w:ind w:left="2160" w:hanging="360"/>
      </w:pPr>
      <w:rPr>
        <w:rFonts w:ascii="Arial" w:hAnsi="Arial" w:hint="default"/>
      </w:rPr>
    </w:lvl>
    <w:lvl w:ilvl="3" w:tplc="817E5BA8" w:tentative="1">
      <w:start w:val="1"/>
      <w:numFmt w:val="bullet"/>
      <w:lvlText w:val="•"/>
      <w:lvlJc w:val="left"/>
      <w:pPr>
        <w:tabs>
          <w:tab w:val="num" w:pos="2880"/>
        </w:tabs>
        <w:ind w:left="2880" w:hanging="360"/>
      </w:pPr>
      <w:rPr>
        <w:rFonts w:ascii="Arial" w:hAnsi="Arial" w:hint="default"/>
      </w:rPr>
    </w:lvl>
    <w:lvl w:ilvl="4" w:tplc="A10CDE70" w:tentative="1">
      <w:start w:val="1"/>
      <w:numFmt w:val="bullet"/>
      <w:lvlText w:val="•"/>
      <w:lvlJc w:val="left"/>
      <w:pPr>
        <w:tabs>
          <w:tab w:val="num" w:pos="3600"/>
        </w:tabs>
        <w:ind w:left="3600" w:hanging="360"/>
      </w:pPr>
      <w:rPr>
        <w:rFonts w:ascii="Arial" w:hAnsi="Arial" w:hint="default"/>
      </w:rPr>
    </w:lvl>
    <w:lvl w:ilvl="5" w:tplc="E7DCA368" w:tentative="1">
      <w:start w:val="1"/>
      <w:numFmt w:val="bullet"/>
      <w:lvlText w:val="•"/>
      <w:lvlJc w:val="left"/>
      <w:pPr>
        <w:tabs>
          <w:tab w:val="num" w:pos="4320"/>
        </w:tabs>
        <w:ind w:left="4320" w:hanging="360"/>
      </w:pPr>
      <w:rPr>
        <w:rFonts w:ascii="Arial" w:hAnsi="Arial" w:hint="default"/>
      </w:rPr>
    </w:lvl>
    <w:lvl w:ilvl="6" w:tplc="7C1EED8E" w:tentative="1">
      <w:start w:val="1"/>
      <w:numFmt w:val="bullet"/>
      <w:lvlText w:val="•"/>
      <w:lvlJc w:val="left"/>
      <w:pPr>
        <w:tabs>
          <w:tab w:val="num" w:pos="5040"/>
        </w:tabs>
        <w:ind w:left="5040" w:hanging="360"/>
      </w:pPr>
      <w:rPr>
        <w:rFonts w:ascii="Arial" w:hAnsi="Arial" w:hint="default"/>
      </w:rPr>
    </w:lvl>
    <w:lvl w:ilvl="7" w:tplc="FF6A1DDA" w:tentative="1">
      <w:start w:val="1"/>
      <w:numFmt w:val="bullet"/>
      <w:lvlText w:val="•"/>
      <w:lvlJc w:val="left"/>
      <w:pPr>
        <w:tabs>
          <w:tab w:val="num" w:pos="5760"/>
        </w:tabs>
        <w:ind w:left="5760" w:hanging="360"/>
      </w:pPr>
      <w:rPr>
        <w:rFonts w:ascii="Arial" w:hAnsi="Arial" w:hint="default"/>
      </w:rPr>
    </w:lvl>
    <w:lvl w:ilvl="8" w:tplc="B216A76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3669DA"/>
    <w:multiLevelType w:val="hybridMultilevel"/>
    <w:tmpl w:val="5860C23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BE3D77"/>
    <w:multiLevelType w:val="hybridMultilevel"/>
    <w:tmpl w:val="ED264C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B22EED"/>
    <w:multiLevelType w:val="hybridMultilevel"/>
    <w:tmpl w:val="D36EDEEA"/>
    <w:lvl w:ilvl="0" w:tplc="86BA3446">
      <w:start w:val="2020"/>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596D2B"/>
    <w:multiLevelType w:val="hybridMultilevel"/>
    <w:tmpl w:val="7AA6BF66"/>
    <w:lvl w:ilvl="0" w:tplc="85F0CDBE">
      <w:start w:val="20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EE2A61"/>
    <w:multiLevelType w:val="multilevel"/>
    <w:tmpl w:val="2AAC6F1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CD5562F"/>
    <w:multiLevelType w:val="hybridMultilevel"/>
    <w:tmpl w:val="C5BA2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7A1AEA"/>
    <w:multiLevelType w:val="hybridMultilevel"/>
    <w:tmpl w:val="63226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16833"/>
    <w:multiLevelType w:val="multilevel"/>
    <w:tmpl w:val="4FD63EA0"/>
    <w:lvl w:ilvl="0">
      <w:start w:val="2016"/>
      <w:numFmt w:val="bullet"/>
      <w:lvlText w:val="-"/>
      <w:lvlJc w:val="left"/>
      <w:pPr>
        <w:tabs>
          <w:tab w:val="num" w:pos="1080"/>
        </w:tabs>
        <w:ind w:left="1080" w:hanging="360"/>
      </w:pPr>
      <w:rPr>
        <w:rFonts w:ascii="Times New Roman" w:eastAsia="Times New Roman" w:hAnsi="Times New Roman" w:cs="Times New Roman"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70B0594"/>
    <w:multiLevelType w:val="hybridMultilevel"/>
    <w:tmpl w:val="51F6B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344189"/>
    <w:multiLevelType w:val="hybridMultilevel"/>
    <w:tmpl w:val="EF18F61E"/>
    <w:lvl w:ilvl="0" w:tplc="2B8A9326">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BD5EC7"/>
    <w:multiLevelType w:val="hybridMultilevel"/>
    <w:tmpl w:val="3F2A7C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A3760D"/>
    <w:multiLevelType w:val="hybridMultilevel"/>
    <w:tmpl w:val="EBC0B7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8E7D89"/>
    <w:multiLevelType w:val="hybridMultilevel"/>
    <w:tmpl w:val="085C011C"/>
    <w:lvl w:ilvl="0" w:tplc="429A7556">
      <w:start w:val="20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DAD60D2"/>
    <w:multiLevelType w:val="hybridMultilevel"/>
    <w:tmpl w:val="2506C43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94A614B"/>
    <w:multiLevelType w:val="hybridMultilevel"/>
    <w:tmpl w:val="21DAED9A"/>
    <w:lvl w:ilvl="0" w:tplc="9EA6EA10">
      <w:start w:val="20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B4D1DC4"/>
    <w:multiLevelType w:val="multilevel"/>
    <w:tmpl w:val="3AF8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A247E7"/>
    <w:multiLevelType w:val="hybridMultilevel"/>
    <w:tmpl w:val="2752F21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32125D"/>
    <w:multiLevelType w:val="hybridMultilevel"/>
    <w:tmpl w:val="4E78B51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F9F5EAB"/>
    <w:multiLevelType w:val="hybridMultilevel"/>
    <w:tmpl w:val="0EBCA772"/>
    <w:lvl w:ilvl="0" w:tplc="9BFCBC40">
      <w:start w:val="201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57A34ACA"/>
    <w:multiLevelType w:val="hybridMultilevel"/>
    <w:tmpl w:val="C7CEDD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982524"/>
    <w:multiLevelType w:val="hybridMultilevel"/>
    <w:tmpl w:val="EFCE4A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405181"/>
    <w:multiLevelType w:val="hybridMultilevel"/>
    <w:tmpl w:val="200029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B5D29F3"/>
    <w:multiLevelType w:val="hybridMultilevel"/>
    <w:tmpl w:val="1C8A48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1F80C76"/>
    <w:multiLevelType w:val="hybridMultilevel"/>
    <w:tmpl w:val="7042FCAE"/>
    <w:lvl w:ilvl="0" w:tplc="52B0A4C2">
      <w:start w:val="1"/>
      <w:numFmt w:val="bullet"/>
      <w:lvlText w:val="•"/>
      <w:lvlJc w:val="left"/>
      <w:pPr>
        <w:tabs>
          <w:tab w:val="num" w:pos="720"/>
        </w:tabs>
        <w:ind w:left="720" w:hanging="360"/>
      </w:pPr>
      <w:rPr>
        <w:rFonts w:ascii="Arial" w:hAnsi="Arial" w:hint="default"/>
      </w:rPr>
    </w:lvl>
    <w:lvl w:ilvl="1" w:tplc="19867D78" w:tentative="1">
      <w:start w:val="1"/>
      <w:numFmt w:val="bullet"/>
      <w:lvlText w:val="•"/>
      <w:lvlJc w:val="left"/>
      <w:pPr>
        <w:tabs>
          <w:tab w:val="num" w:pos="1440"/>
        </w:tabs>
        <w:ind w:left="1440" w:hanging="360"/>
      </w:pPr>
      <w:rPr>
        <w:rFonts w:ascii="Arial" w:hAnsi="Arial" w:hint="default"/>
      </w:rPr>
    </w:lvl>
    <w:lvl w:ilvl="2" w:tplc="ED940084" w:tentative="1">
      <w:start w:val="1"/>
      <w:numFmt w:val="bullet"/>
      <w:lvlText w:val="•"/>
      <w:lvlJc w:val="left"/>
      <w:pPr>
        <w:tabs>
          <w:tab w:val="num" w:pos="2160"/>
        </w:tabs>
        <w:ind w:left="2160" w:hanging="360"/>
      </w:pPr>
      <w:rPr>
        <w:rFonts w:ascii="Arial" w:hAnsi="Arial" w:hint="default"/>
      </w:rPr>
    </w:lvl>
    <w:lvl w:ilvl="3" w:tplc="465226B0" w:tentative="1">
      <w:start w:val="1"/>
      <w:numFmt w:val="bullet"/>
      <w:lvlText w:val="•"/>
      <w:lvlJc w:val="left"/>
      <w:pPr>
        <w:tabs>
          <w:tab w:val="num" w:pos="2880"/>
        </w:tabs>
        <w:ind w:left="2880" w:hanging="360"/>
      </w:pPr>
      <w:rPr>
        <w:rFonts w:ascii="Arial" w:hAnsi="Arial" w:hint="default"/>
      </w:rPr>
    </w:lvl>
    <w:lvl w:ilvl="4" w:tplc="A76E99D2" w:tentative="1">
      <w:start w:val="1"/>
      <w:numFmt w:val="bullet"/>
      <w:lvlText w:val="•"/>
      <w:lvlJc w:val="left"/>
      <w:pPr>
        <w:tabs>
          <w:tab w:val="num" w:pos="3600"/>
        </w:tabs>
        <w:ind w:left="3600" w:hanging="360"/>
      </w:pPr>
      <w:rPr>
        <w:rFonts w:ascii="Arial" w:hAnsi="Arial" w:hint="default"/>
      </w:rPr>
    </w:lvl>
    <w:lvl w:ilvl="5" w:tplc="BB181C24" w:tentative="1">
      <w:start w:val="1"/>
      <w:numFmt w:val="bullet"/>
      <w:lvlText w:val="•"/>
      <w:lvlJc w:val="left"/>
      <w:pPr>
        <w:tabs>
          <w:tab w:val="num" w:pos="4320"/>
        </w:tabs>
        <w:ind w:left="4320" w:hanging="360"/>
      </w:pPr>
      <w:rPr>
        <w:rFonts w:ascii="Arial" w:hAnsi="Arial" w:hint="default"/>
      </w:rPr>
    </w:lvl>
    <w:lvl w:ilvl="6" w:tplc="DD7C7776" w:tentative="1">
      <w:start w:val="1"/>
      <w:numFmt w:val="bullet"/>
      <w:lvlText w:val="•"/>
      <w:lvlJc w:val="left"/>
      <w:pPr>
        <w:tabs>
          <w:tab w:val="num" w:pos="5040"/>
        </w:tabs>
        <w:ind w:left="5040" w:hanging="360"/>
      </w:pPr>
      <w:rPr>
        <w:rFonts w:ascii="Arial" w:hAnsi="Arial" w:hint="default"/>
      </w:rPr>
    </w:lvl>
    <w:lvl w:ilvl="7" w:tplc="65F02FB6" w:tentative="1">
      <w:start w:val="1"/>
      <w:numFmt w:val="bullet"/>
      <w:lvlText w:val="•"/>
      <w:lvlJc w:val="left"/>
      <w:pPr>
        <w:tabs>
          <w:tab w:val="num" w:pos="5760"/>
        </w:tabs>
        <w:ind w:left="5760" w:hanging="360"/>
      </w:pPr>
      <w:rPr>
        <w:rFonts w:ascii="Arial" w:hAnsi="Arial" w:hint="default"/>
      </w:rPr>
    </w:lvl>
    <w:lvl w:ilvl="8" w:tplc="CA1077F4"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13"/>
  </w:num>
  <w:num w:numId="3">
    <w:abstractNumId w:val="10"/>
  </w:num>
  <w:num w:numId="4">
    <w:abstractNumId w:val="4"/>
  </w:num>
  <w:num w:numId="5">
    <w:abstractNumId w:val="2"/>
  </w:num>
  <w:num w:numId="6">
    <w:abstractNumId w:val="11"/>
  </w:num>
  <w:num w:numId="7">
    <w:abstractNumId w:val="3"/>
  </w:num>
  <w:num w:numId="8">
    <w:abstractNumId w:val="0"/>
  </w:num>
  <w:num w:numId="9">
    <w:abstractNumId w:val="24"/>
  </w:num>
  <w:num w:numId="10">
    <w:abstractNumId w:val="5"/>
  </w:num>
  <w:num w:numId="11">
    <w:abstractNumId w:val="16"/>
  </w:num>
  <w:num w:numId="12">
    <w:abstractNumId w:val="1"/>
  </w:num>
  <w:num w:numId="13">
    <w:abstractNumId w:val="9"/>
  </w:num>
  <w:num w:numId="14">
    <w:abstractNumId w:val="6"/>
  </w:num>
  <w:num w:numId="15">
    <w:abstractNumId w:val="7"/>
  </w:num>
  <w:num w:numId="16">
    <w:abstractNumId w:val="8"/>
  </w:num>
  <w:num w:numId="17">
    <w:abstractNumId w:val="19"/>
  </w:num>
  <w:num w:numId="18">
    <w:abstractNumId w:val="23"/>
  </w:num>
  <w:num w:numId="19">
    <w:abstractNumId w:val="21"/>
  </w:num>
  <w:num w:numId="20">
    <w:abstractNumId w:val="22"/>
  </w:num>
  <w:num w:numId="21">
    <w:abstractNumId w:val="20"/>
  </w:num>
  <w:num w:numId="22">
    <w:abstractNumId w:val="14"/>
  </w:num>
  <w:num w:numId="23">
    <w:abstractNumId w:val="12"/>
  </w:num>
  <w:num w:numId="24">
    <w:abstractNumId w:val="1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3A"/>
    <w:rsid w:val="000A69FC"/>
    <w:rsid w:val="000E5B78"/>
    <w:rsid w:val="001307F0"/>
    <w:rsid w:val="00154451"/>
    <w:rsid w:val="00157182"/>
    <w:rsid w:val="00186A53"/>
    <w:rsid w:val="00196193"/>
    <w:rsid w:val="001B0C91"/>
    <w:rsid w:val="001B7A22"/>
    <w:rsid w:val="00214E43"/>
    <w:rsid w:val="00220854"/>
    <w:rsid w:val="00226203"/>
    <w:rsid w:val="0023640E"/>
    <w:rsid w:val="0024524B"/>
    <w:rsid w:val="00297D04"/>
    <w:rsid w:val="002A27D9"/>
    <w:rsid w:val="002E493A"/>
    <w:rsid w:val="00313F09"/>
    <w:rsid w:val="00347685"/>
    <w:rsid w:val="00380339"/>
    <w:rsid w:val="00423248"/>
    <w:rsid w:val="004A0E92"/>
    <w:rsid w:val="004C4C93"/>
    <w:rsid w:val="005163D1"/>
    <w:rsid w:val="00520D08"/>
    <w:rsid w:val="00533BE3"/>
    <w:rsid w:val="005513F2"/>
    <w:rsid w:val="0056426F"/>
    <w:rsid w:val="005D64A7"/>
    <w:rsid w:val="006724E5"/>
    <w:rsid w:val="00677F94"/>
    <w:rsid w:val="006D780B"/>
    <w:rsid w:val="007137EC"/>
    <w:rsid w:val="007B332C"/>
    <w:rsid w:val="007D51C6"/>
    <w:rsid w:val="007E6178"/>
    <w:rsid w:val="00826897"/>
    <w:rsid w:val="00897CEA"/>
    <w:rsid w:val="008A61EF"/>
    <w:rsid w:val="008B2D67"/>
    <w:rsid w:val="008D2B64"/>
    <w:rsid w:val="008F6662"/>
    <w:rsid w:val="00975AF2"/>
    <w:rsid w:val="00A77989"/>
    <w:rsid w:val="00A92B0C"/>
    <w:rsid w:val="00B07DA1"/>
    <w:rsid w:val="00B2757B"/>
    <w:rsid w:val="00B529AE"/>
    <w:rsid w:val="00BB1AF8"/>
    <w:rsid w:val="00C103D6"/>
    <w:rsid w:val="00C17173"/>
    <w:rsid w:val="00C45FC1"/>
    <w:rsid w:val="00CD543C"/>
    <w:rsid w:val="00CF7DD3"/>
    <w:rsid w:val="00D36078"/>
    <w:rsid w:val="00DB34E1"/>
    <w:rsid w:val="00DD6A8C"/>
    <w:rsid w:val="00DD6B62"/>
    <w:rsid w:val="00DE3FF4"/>
    <w:rsid w:val="00E23229"/>
    <w:rsid w:val="00EB2CB1"/>
    <w:rsid w:val="00EB4F69"/>
    <w:rsid w:val="00EC38C2"/>
    <w:rsid w:val="00F256D0"/>
    <w:rsid w:val="00F42EB4"/>
    <w:rsid w:val="00FA08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72C8E"/>
  <w15:chartTrackingRefBased/>
  <w15:docId w15:val="{E9B3D462-DC52-480C-BB0E-CC39EB92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2CB1"/>
    <w:pPr>
      <w:pBdr>
        <w:top w:val="nil"/>
        <w:left w:val="nil"/>
        <w:bottom w:val="nil"/>
        <w:right w:val="nil"/>
        <w:between w:val="nil"/>
        <w:bar w:val="nil"/>
      </w:pBdr>
    </w:pPr>
    <w:rPr>
      <w:rFonts w:ascii="Calibri" w:eastAsia="Calibri" w:hAnsi="Calibri" w:cs="Calibri"/>
      <w:color w:val="000000"/>
      <w:u w:color="00000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1A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AF8"/>
    <w:rPr>
      <w:rFonts w:ascii="Segoe UI" w:eastAsia="Calibri" w:hAnsi="Segoe UI" w:cs="Segoe UI"/>
      <w:color w:val="000000"/>
      <w:sz w:val="18"/>
      <w:szCs w:val="18"/>
      <w:u w:color="000000"/>
      <w:bdr w:val="nil"/>
      <w:lang w:val="en-US"/>
    </w:rPr>
  </w:style>
  <w:style w:type="paragraph" w:styleId="ListParagraph">
    <w:name w:val="List Paragraph"/>
    <w:basedOn w:val="Normal"/>
    <w:uiPriority w:val="34"/>
    <w:qFormat/>
    <w:rsid w:val="00DE3FF4"/>
    <w:pPr>
      <w:ind w:left="720"/>
      <w:contextualSpacing/>
    </w:pPr>
  </w:style>
  <w:style w:type="paragraph" w:customStyle="1" w:styleId="Default">
    <w:name w:val="Default"/>
    <w:rsid w:val="007D51C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77485">
      <w:bodyDiv w:val="1"/>
      <w:marLeft w:val="0"/>
      <w:marRight w:val="0"/>
      <w:marTop w:val="0"/>
      <w:marBottom w:val="0"/>
      <w:divBdr>
        <w:top w:val="none" w:sz="0" w:space="0" w:color="auto"/>
        <w:left w:val="none" w:sz="0" w:space="0" w:color="auto"/>
        <w:bottom w:val="none" w:sz="0" w:space="0" w:color="auto"/>
        <w:right w:val="none" w:sz="0" w:space="0" w:color="auto"/>
      </w:divBdr>
      <w:divsChild>
        <w:div w:id="603149319">
          <w:marLeft w:val="0"/>
          <w:marRight w:val="0"/>
          <w:marTop w:val="0"/>
          <w:marBottom w:val="0"/>
          <w:divBdr>
            <w:top w:val="none" w:sz="0" w:space="0" w:color="auto"/>
            <w:left w:val="none" w:sz="0" w:space="0" w:color="auto"/>
            <w:bottom w:val="none" w:sz="0" w:space="0" w:color="auto"/>
            <w:right w:val="none" w:sz="0" w:space="0" w:color="auto"/>
          </w:divBdr>
        </w:div>
        <w:div w:id="837814530">
          <w:marLeft w:val="0"/>
          <w:marRight w:val="0"/>
          <w:marTop w:val="0"/>
          <w:marBottom w:val="0"/>
          <w:divBdr>
            <w:top w:val="none" w:sz="0" w:space="0" w:color="auto"/>
            <w:left w:val="none" w:sz="0" w:space="0" w:color="auto"/>
            <w:bottom w:val="none" w:sz="0" w:space="0" w:color="auto"/>
            <w:right w:val="none" w:sz="0" w:space="0" w:color="auto"/>
          </w:divBdr>
        </w:div>
        <w:div w:id="247471606">
          <w:marLeft w:val="0"/>
          <w:marRight w:val="0"/>
          <w:marTop w:val="0"/>
          <w:marBottom w:val="0"/>
          <w:divBdr>
            <w:top w:val="none" w:sz="0" w:space="0" w:color="auto"/>
            <w:left w:val="none" w:sz="0" w:space="0" w:color="auto"/>
            <w:bottom w:val="none" w:sz="0" w:space="0" w:color="auto"/>
            <w:right w:val="none" w:sz="0" w:space="0" w:color="auto"/>
          </w:divBdr>
        </w:div>
        <w:div w:id="2059894763">
          <w:marLeft w:val="0"/>
          <w:marRight w:val="0"/>
          <w:marTop w:val="0"/>
          <w:marBottom w:val="0"/>
          <w:divBdr>
            <w:top w:val="none" w:sz="0" w:space="0" w:color="auto"/>
            <w:left w:val="none" w:sz="0" w:space="0" w:color="auto"/>
            <w:bottom w:val="none" w:sz="0" w:space="0" w:color="auto"/>
            <w:right w:val="none" w:sz="0" w:space="0" w:color="auto"/>
          </w:divBdr>
        </w:div>
        <w:div w:id="667363130">
          <w:marLeft w:val="0"/>
          <w:marRight w:val="0"/>
          <w:marTop w:val="0"/>
          <w:marBottom w:val="0"/>
          <w:divBdr>
            <w:top w:val="none" w:sz="0" w:space="0" w:color="auto"/>
            <w:left w:val="none" w:sz="0" w:space="0" w:color="auto"/>
            <w:bottom w:val="none" w:sz="0" w:space="0" w:color="auto"/>
            <w:right w:val="none" w:sz="0" w:space="0" w:color="auto"/>
          </w:divBdr>
        </w:div>
        <w:div w:id="1841581176">
          <w:marLeft w:val="0"/>
          <w:marRight w:val="0"/>
          <w:marTop w:val="0"/>
          <w:marBottom w:val="0"/>
          <w:divBdr>
            <w:top w:val="none" w:sz="0" w:space="0" w:color="auto"/>
            <w:left w:val="none" w:sz="0" w:space="0" w:color="auto"/>
            <w:bottom w:val="none" w:sz="0" w:space="0" w:color="auto"/>
            <w:right w:val="none" w:sz="0" w:space="0" w:color="auto"/>
          </w:divBdr>
        </w:div>
        <w:div w:id="799736247">
          <w:marLeft w:val="0"/>
          <w:marRight w:val="0"/>
          <w:marTop w:val="0"/>
          <w:marBottom w:val="0"/>
          <w:divBdr>
            <w:top w:val="none" w:sz="0" w:space="0" w:color="auto"/>
            <w:left w:val="none" w:sz="0" w:space="0" w:color="auto"/>
            <w:bottom w:val="none" w:sz="0" w:space="0" w:color="auto"/>
            <w:right w:val="none" w:sz="0" w:space="0" w:color="auto"/>
          </w:divBdr>
        </w:div>
        <w:div w:id="1205481160">
          <w:marLeft w:val="0"/>
          <w:marRight w:val="0"/>
          <w:marTop w:val="0"/>
          <w:marBottom w:val="0"/>
          <w:divBdr>
            <w:top w:val="none" w:sz="0" w:space="0" w:color="auto"/>
            <w:left w:val="none" w:sz="0" w:space="0" w:color="auto"/>
            <w:bottom w:val="none" w:sz="0" w:space="0" w:color="auto"/>
            <w:right w:val="none" w:sz="0" w:space="0" w:color="auto"/>
          </w:divBdr>
        </w:div>
        <w:div w:id="439028961">
          <w:marLeft w:val="0"/>
          <w:marRight w:val="0"/>
          <w:marTop w:val="0"/>
          <w:marBottom w:val="0"/>
          <w:divBdr>
            <w:top w:val="none" w:sz="0" w:space="0" w:color="auto"/>
            <w:left w:val="none" w:sz="0" w:space="0" w:color="auto"/>
            <w:bottom w:val="none" w:sz="0" w:space="0" w:color="auto"/>
            <w:right w:val="none" w:sz="0" w:space="0" w:color="auto"/>
          </w:divBdr>
        </w:div>
        <w:div w:id="212154578">
          <w:marLeft w:val="0"/>
          <w:marRight w:val="0"/>
          <w:marTop w:val="0"/>
          <w:marBottom w:val="0"/>
          <w:divBdr>
            <w:top w:val="none" w:sz="0" w:space="0" w:color="auto"/>
            <w:left w:val="none" w:sz="0" w:space="0" w:color="auto"/>
            <w:bottom w:val="none" w:sz="0" w:space="0" w:color="auto"/>
            <w:right w:val="none" w:sz="0" w:space="0" w:color="auto"/>
          </w:divBdr>
        </w:div>
        <w:div w:id="2000767642">
          <w:marLeft w:val="0"/>
          <w:marRight w:val="0"/>
          <w:marTop w:val="0"/>
          <w:marBottom w:val="0"/>
          <w:divBdr>
            <w:top w:val="none" w:sz="0" w:space="0" w:color="auto"/>
            <w:left w:val="none" w:sz="0" w:space="0" w:color="auto"/>
            <w:bottom w:val="none" w:sz="0" w:space="0" w:color="auto"/>
            <w:right w:val="none" w:sz="0" w:space="0" w:color="auto"/>
          </w:divBdr>
        </w:div>
      </w:divsChild>
    </w:div>
    <w:div w:id="1089740248">
      <w:bodyDiv w:val="1"/>
      <w:marLeft w:val="0"/>
      <w:marRight w:val="0"/>
      <w:marTop w:val="0"/>
      <w:marBottom w:val="0"/>
      <w:divBdr>
        <w:top w:val="none" w:sz="0" w:space="0" w:color="auto"/>
        <w:left w:val="none" w:sz="0" w:space="0" w:color="auto"/>
        <w:bottom w:val="none" w:sz="0" w:space="0" w:color="auto"/>
        <w:right w:val="none" w:sz="0" w:space="0" w:color="auto"/>
      </w:divBdr>
      <w:divsChild>
        <w:div w:id="2113936848">
          <w:marLeft w:val="446"/>
          <w:marRight w:val="0"/>
          <w:marTop w:val="0"/>
          <w:marBottom w:val="0"/>
          <w:divBdr>
            <w:top w:val="none" w:sz="0" w:space="0" w:color="auto"/>
            <w:left w:val="none" w:sz="0" w:space="0" w:color="auto"/>
            <w:bottom w:val="none" w:sz="0" w:space="0" w:color="auto"/>
            <w:right w:val="none" w:sz="0" w:space="0" w:color="auto"/>
          </w:divBdr>
        </w:div>
        <w:div w:id="1970545362">
          <w:marLeft w:val="446"/>
          <w:marRight w:val="0"/>
          <w:marTop w:val="0"/>
          <w:marBottom w:val="0"/>
          <w:divBdr>
            <w:top w:val="none" w:sz="0" w:space="0" w:color="auto"/>
            <w:left w:val="none" w:sz="0" w:space="0" w:color="auto"/>
            <w:bottom w:val="none" w:sz="0" w:space="0" w:color="auto"/>
            <w:right w:val="none" w:sz="0" w:space="0" w:color="auto"/>
          </w:divBdr>
        </w:div>
        <w:div w:id="1175144382">
          <w:marLeft w:val="446"/>
          <w:marRight w:val="0"/>
          <w:marTop w:val="0"/>
          <w:marBottom w:val="0"/>
          <w:divBdr>
            <w:top w:val="none" w:sz="0" w:space="0" w:color="auto"/>
            <w:left w:val="none" w:sz="0" w:space="0" w:color="auto"/>
            <w:bottom w:val="none" w:sz="0" w:space="0" w:color="auto"/>
            <w:right w:val="none" w:sz="0" w:space="0" w:color="auto"/>
          </w:divBdr>
        </w:div>
        <w:div w:id="1184053265">
          <w:marLeft w:val="446"/>
          <w:marRight w:val="0"/>
          <w:marTop w:val="0"/>
          <w:marBottom w:val="0"/>
          <w:divBdr>
            <w:top w:val="none" w:sz="0" w:space="0" w:color="auto"/>
            <w:left w:val="none" w:sz="0" w:space="0" w:color="auto"/>
            <w:bottom w:val="none" w:sz="0" w:space="0" w:color="auto"/>
            <w:right w:val="none" w:sz="0" w:space="0" w:color="auto"/>
          </w:divBdr>
        </w:div>
        <w:div w:id="91038580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4343</Words>
  <Characters>2477</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Matulevičienė</dc:creator>
  <cp:keywords/>
  <dc:description/>
  <cp:lastModifiedBy>Donata Matulevičienė</cp:lastModifiedBy>
  <cp:revision>3</cp:revision>
  <dcterms:created xsi:type="dcterms:W3CDTF">2020-12-02T07:01:00Z</dcterms:created>
  <dcterms:modified xsi:type="dcterms:W3CDTF">2020-12-02T07:02:00Z</dcterms:modified>
</cp:coreProperties>
</file>