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9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2410"/>
        <w:gridCol w:w="1671"/>
        <w:gridCol w:w="279"/>
        <w:gridCol w:w="1701"/>
      </w:tblGrid>
      <w:tr w:rsidR="00B7456A" w:rsidRPr="00495558" w14:paraId="41540989" w14:textId="77777777" w:rsidTr="00052B63">
        <w:trPr>
          <w:gridAfter w:val="2"/>
          <w:wAfter w:w="1980" w:type="dxa"/>
          <w:cantSplit/>
          <w:trHeight w:val="666"/>
          <w:jc w:val="center"/>
        </w:trPr>
        <w:tc>
          <w:tcPr>
            <w:tcW w:w="4678" w:type="dxa"/>
            <w:vAlign w:val="center"/>
          </w:tcPr>
          <w:p w14:paraId="130A90B1" w14:textId="77777777" w:rsidR="00B7456A" w:rsidRPr="00495558" w:rsidRDefault="00B7456A" w:rsidP="00192431">
            <w:pPr>
              <w:pStyle w:val="Pagrindinistekstas"/>
              <w:jc w:val="left"/>
              <w:rPr>
                <w:sz w:val="24"/>
                <w:szCs w:val="24"/>
              </w:rPr>
            </w:pPr>
          </w:p>
          <w:p w14:paraId="175DA055" w14:textId="77777777" w:rsidR="00B7456A" w:rsidRPr="00495558" w:rsidRDefault="00B7456A" w:rsidP="00192431">
            <w:pPr>
              <w:pStyle w:val="Pagrindinistekstas"/>
              <w:jc w:val="left"/>
              <w:rPr>
                <w:sz w:val="24"/>
                <w:szCs w:val="24"/>
              </w:rPr>
            </w:pPr>
            <w:r w:rsidRPr="00495558">
              <w:rPr>
                <w:sz w:val="24"/>
                <w:szCs w:val="24"/>
              </w:rPr>
              <w:t>LR Švietimo, mokslo ir sporto ministerijai</w:t>
            </w:r>
          </w:p>
          <w:p w14:paraId="7DDCA209" w14:textId="77777777" w:rsidR="00B7456A" w:rsidRPr="00495558" w:rsidRDefault="00B7456A" w:rsidP="00192431">
            <w:pPr>
              <w:pStyle w:val="Pagrindinistekstas"/>
              <w:jc w:val="lef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4412636" w14:textId="77777777" w:rsidR="00B7456A" w:rsidRPr="00495558" w:rsidRDefault="00B7456A" w:rsidP="00192431">
            <w:pPr>
              <w:jc w:val="right"/>
              <w:rPr>
                <w:szCs w:val="24"/>
              </w:rPr>
            </w:pPr>
          </w:p>
          <w:p w14:paraId="2263B1AC" w14:textId="77777777" w:rsidR="00B7456A" w:rsidRPr="00495558" w:rsidRDefault="00B7456A" w:rsidP="00192431">
            <w:pPr>
              <w:jc w:val="right"/>
              <w:rPr>
                <w:szCs w:val="24"/>
              </w:rPr>
            </w:pPr>
            <w:r w:rsidRPr="00495558">
              <w:rPr>
                <w:szCs w:val="24"/>
              </w:rPr>
              <w:t xml:space="preserve">  202</w:t>
            </w:r>
            <w:r w:rsidR="00A714B2">
              <w:rPr>
                <w:szCs w:val="24"/>
              </w:rPr>
              <w:t>1</w:t>
            </w:r>
            <w:r w:rsidRPr="00495558">
              <w:rPr>
                <w:szCs w:val="24"/>
              </w:rPr>
              <w:t>-</w:t>
            </w:r>
            <w:r w:rsidR="00A714B2">
              <w:rPr>
                <w:szCs w:val="24"/>
              </w:rPr>
              <w:t>0</w:t>
            </w:r>
            <w:r w:rsidR="00F27DB5">
              <w:rPr>
                <w:szCs w:val="24"/>
              </w:rPr>
              <w:t>6</w:t>
            </w:r>
            <w:r w:rsidRPr="00495558">
              <w:rPr>
                <w:szCs w:val="24"/>
              </w:rPr>
              <w:t>-</w:t>
            </w:r>
            <w:r w:rsidR="00557C32">
              <w:rPr>
                <w:szCs w:val="24"/>
              </w:rPr>
              <w:t>01</w:t>
            </w:r>
          </w:p>
          <w:p w14:paraId="65A3D4F8" w14:textId="77777777" w:rsidR="00B7456A" w:rsidRPr="00495558" w:rsidRDefault="00B7456A" w:rsidP="00B35C48">
            <w:pPr>
              <w:jc w:val="right"/>
              <w:rPr>
                <w:szCs w:val="24"/>
              </w:rPr>
            </w:pPr>
            <w:r w:rsidRPr="00495558">
              <w:rPr>
                <w:szCs w:val="24"/>
              </w:rPr>
              <w:t xml:space="preserve">Į </w:t>
            </w:r>
            <w:r w:rsidR="00B35C48">
              <w:rPr>
                <w:szCs w:val="24"/>
              </w:rPr>
              <w:t xml:space="preserve">              </w:t>
            </w:r>
            <w:r>
              <w:rPr>
                <w:szCs w:val="24"/>
              </w:rPr>
              <w:t>-</w:t>
            </w:r>
          </w:p>
        </w:tc>
        <w:tc>
          <w:tcPr>
            <w:tcW w:w="1671" w:type="dxa"/>
          </w:tcPr>
          <w:p w14:paraId="592E24DB" w14:textId="77777777" w:rsidR="00B7456A" w:rsidRPr="00495558" w:rsidRDefault="00B7456A" w:rsidP="00192431">
            <w:pPr>
              <w:jc w:val="both"/>
              <w:rPr>
                <w:szCs w:val="24"/>
              </w:rPr>
            </w:pPr>
          </w:p>
          <w:p w14:paraId="5A48BB93" w14:textId="77777777" w:rsidR="00B7456A" w:rsidRPr="00495558" w:rsidRDefault="00B7456A" w:rsidP="00192431">
            <w:pPr>
              <w:jc w:val="right"/>
              <w:rPr>
                <w:szCs w:val="24"/>
              </w:rPr>
            </w:pPr>
            <w:r w:rsidRPr="00495558">
              <w:rPr>
                <w:szCs w:val="24"/>
              </w:rPr>
              <w:t xml:space="preserve">Nr. </w:t>
            </w:r>
          </w:p>
          <w:p w14:paraId="3350E453" w14:textId="77777777" w:rsidR="00B7456A" w:rsidRPr="00B7456A" w:rsidRDefault="00B7456A" w:rsidP="008321ED">
            <w:pPr>
              <w:jc w:val="right"/>
              <w:rPr>
                <w:szCs w:val="24"/>
              </w:rPr>
            </w:pPr>
            <w:r w:rsidRPr="00495558">
              <w:rPr>
                <w:szCs w:val="24"/>
              </w:rPr>
              <w:t xml:space="preserve"> </w:t>
            </w:r>
            <w:r w:rsidRPr="00B7456A">
              <w:rPr>
                <w:szCs w:val="24"/>
              </w:rPr>
              <w:t xml:space="preserve">Nr. </w:t>
            </w:r>
          </w:p>
        </w:tc>
      </w:tr>
      <w:tr w:rsidR="00961409" w:rsidRPr="00B62CC5" w14:paraId="4B4C5167" w14:textId="77777777" w:rsidTr="00052B63">
        <w:tblPrEx>
          <w:jc w:val="left"/>
        </w:tblPrEx>
        <w:trPr>
          <w:cantSplit/>
          <w:trHeight w:val="629"/>
        </w:trPr>
        <w:tc>
          <w:tcPr>
            <w:tcW w:w="9038" w:type="dxa"/>
            <w:gridSpan w:val="4"/>
          </w:tcPr>
          <w:p w14:paraId="4FFEAE40" w14:textId="77777777" w:rsidR="00961409" w:rsidRDefault="00961409" w:rsidP="00192431">
            <w:pPr>
              <w:rPr>
                <w:b/>
                <w:caps/>
                <w:szCs w:val="24"/>
              </w:rPr>
            </w:pPr>
            <w:bookmarkStart w:id="0" w:name="Antraste"/>
          </w:p>
          <w:bookmarkEnd w:id="0"/>
          <w:p w14:paraId="786FB326" w14:textId="77777777" w:rsidR="00961409" w:rsidRPr="00B35C48" w:rsidRDefault="00F27DB5" w:rsidP="00B35C48">
            <w:pPr>
              <w:jc w:val="both"/>
              <w:rPr>
                <w:b/>
              </w:rPr>
            </w:pPr>
            <w:r w:rsidRPr="000E0DAD">
              <w:rPr>
                <w:b/>
              </w:rPr>
              <w:t>DĖL L</w:t>
            </w:r>
            <w:r w:rsidRPr="000E0DAD">
              <w:rPr>
                <w:b/>
                <w:color w:val="000000"/>
              </w:rPr>
              <w:t>IETUVOS RESPUBLIKOS ŠVIETIMO, MOKSLO IR SPORTO MINISTERIJOS</w:t>
            </w:r>
            <w:r w:rsidRPr="000E0DAD">
              <w:rPr>
                <w:b/>
              </w:rPr>
              <w:t xml:space="preserve"> TEIKIAMO </w:t>
            </w:r>
            <w:r w:rsidRPr="000E0DAD">
              <w:rPr>
                <w:b/>
                <w:color w:val="000000"/>
              </w:rPr>
              <w:t>LIETUVOS RESPUBLIKOS MOKSLO IR STUDIJ</w:t>
            </w:r>
            <w:r w:rsidRPr="000E0DAD">
              <w:rPr>
                <w:rFonts w:ascii="Cambria" w:hAnsi="Cambria"/>
                <w:b/>
                <w:color w:val="000000"/>
              </w:rPr>
              <w:t>Ų</w:t>
            </w:r>
            <w:r w:rsidRPr="000E0DAD">
              <w:rPr>
                <w:b/>
                <w:color w:val="000000"/>
              </w:rPr>
              <w:t> </w:t>
            </w:r>
            <w:r w:rsidRPr="000E0DAD">
              <w:rPr>
                <w:rFonts w:ascii="Cambria" w:hAnsi="Cambria"/>
                <w:b/>
                <w:color w:val="000000"/>
              </w:rPr>
              <w:t>Į</w:t>
            </w:r>
            <w:r w:rsidRPr="000E0DAD">
              <w:rPr>
                <w:b/>
                <w:color w:val="000000"/>
              </w:rPr>
              <w:t>STATYMO NR. XI-242 9, 59, 74, 76, 77, 82 IR 83 STRAIPSNI</w:t>
            </w:r>
            <w:r w:rsidRPr="000E0DAD">
              <w:rPr>
                <w:rFonts w:ascii="Cambria" w:hAnsi="Cambria"/>
                <w:b/>
                <w:color w:val="000000"/>
              </w:rPr>
              <w:t>Ų</w:t>
            </w:r>
            <w:r>
              <w:rPr>
                <w:rFonts w:ascii="Cambria" w:hAnsi="Cambria"/>
                <w:b/>
                <w:color w:val="000000"/>
              </w:rPr>
              <w:t xml:space="preserve"> </w:t>
            </w:r>
            <w:r w:rsidRPr="000E0DAD">
              <w:rPr>
                <w:b/>
                <w:color w:val="000000"/>
              </w:rPr>
              <w:t>PAKEITIMO</w:t>
            </w:r>
            <w:r>
              <w:rPr>
                <w:b/>
                <w:color w:val="000000"/>
              </w:rPr>
              <w:t xml:space="preserve"> </w:t>
            </w:r>
            <w:r w:rsidRPr="000E0DAD">
              <w:rPr>
                <w:rFonts w:ascii="Cambria" w:hAnsi="Cambria"/>
                <w:b/>
                <w:color w:val="000000"/>
              </w:rPr>
              <w:t>Į</w:t>
            </w:r>
            <w:r w:rsidRPr="000E0DAD">
              <w:rPr>
                <w:b/>
                <w:color w:val="000000"/>
              </w:rPr>
              <w:t>STATYMO PROJEKTO</w:t>
            </w:r>
          </w:p>
        </w:tc>
        <w:tc>
          <w:tcPr>
            <w:tcW w:w="1701" w:type="dxa"/>
          </w:tcPr>
          <w:p w14:paraId="7038BA34" w14:textId="77777777" w:rsidR="00961409" w:rsidRPr="00B62CC5" w:rsidRDefault="00961409" w:rsidP="00192431">
            <w:pPr>
              <w:rPr>
                <w:b/>
              </w:rPr>
            </w:pPr>
          </w:p>
        </w:tc>
      </w:tr>
    </w:tbl>
    <w:p w14:paraId="49DBC7A4" w14:textId="77777777" w:rsidR="00961409" w:rsidRDefault="00961409" w:rsidP="00961409">
      <w:pPr>
        <w:tabs>
          <w:tab w:val="left" w:pos="0"/>
        </w:tabs>
        <w:ind w:firstLine="709"/>
        <w:jc w:val="both"/>
        <w:rPr>
          <w:szCs w:val="24"/>
        </w:rPr>
      </w:pPr>
    </w:p>
    <w:p w14:paraId="0F86B5A6" w14:textId="77777777" w:rsidR="00961409" w:rsidRDefault="00961409" w:rsidP="00961409">
      <w:pPr>
        <w:tabs>
          <w:tab w:val="left" w:pos="0"/>
        </w:tabs>
        <w:ind w:firstLine="709"/>
        <w:jc w:val="both"/>
        <w:rPr>
          <w:szCs w:val="24"/>
        </w:rPr>
      </w:pPr>
    </w:p>
    <w:p w14:paraId="3DF35754" w14:textId="77777777" w:rsidR="00961409" w:rsidRDefault="00961409" w:rsidP="00961409">
      <w:pPr>
        <w:tabs>
          <w:tab w:val="left" w:pos="0"/>
        </w:tabs>
        <w:ind w:firstLine="709"/>
        <w:jc w:val="both"/>
        <w:rPr>
          <w:szCs w:val="24"/>
        </w:rPr>
      </w:pPr>
      <w:r>
        <w:rPr>
          <w:szCs w:val="24"/>
        </w:rPr>
        <w:t>Lietuvos universitetų rektorių konferencijo</w:t>
      </w:r>
      <w:r w:rsidR="004508F8">
        <w:rPr>
          <w:szCs w:val="24"/>
        </w:rPr>
        <w:t>s Studijų komitete</w:t>
      </w:r>
      <w:r w:rsidRPr="00B27E70">
        <w:rPr>
          <w:szCs w:val="24"/>
        </w:rPr>
        <w:t xml:space="preserve">, išnagrinėję </w:t>
      </w:r>
      <w:r w:rsidR="00891915" w:rsidRPr="00FA76CA">
        <w:t xml:space="preserve">Lietuvos Respublikos </w:t>
      </w:r>
      <w:r w:rsidR="00F27DB5" w:rsidRPr="00F27DB5">
        <w:t>Š</w:t>
      </w:r>
      <w:r w:rsidR="00F27DB5" w:rsidRPr="00F27DB5">
        <w:rPr>
          <w:color w:val="000000"/>
        </w:rPr>
        <w:t>vietimo, mokslo ir sporto ministerijos</w:t>
      </w:r>
      <w:r w:rsidR="00F27DB5" w:rsidRPr="00F27DB5">
        <w:t xml:space="preserve"> teikiamo </w:t>
      </w:r>
      <w:r w:rsidR="00F27DB5" w:rsidRPr="00F27DB5">
        <w:rPr>
          <w:color w:val="000000"/>
        </w:rPr>
        <w:t>Lietuvos Respublikos mokslo ir studij</w:t>
      </w:r>
      <w:r w:rsidR="00F27DB5" w:rsidRPr="00F27DB5">
        <w:rPr>
          <w:rFonts w:ascii="Cambria" w:hAnsi="Cambria"/>
          <w:color w:val="000000"/>
        </w:rPr>
        <w:t>ų</w:t>
      </w:r>
      <w:r w:rsidR="00F27DB5" w:rsidRPr="00F27DB5">
        <w:rPr>
          <w:color w:val="000000"/>
        </w:rPr>
        <w:t> </w:t>
      </w:r>
      <w:r w:rsidR="00F27DB5" w:rsidRPr="00F27DB5">
        <w:rPr>
          <w:rFonts w:ascii="Cambria" w:hAnsi="Cambria"/>
          <w:color w:val="000000"/>
        </w:rPr>
        <w:t>į</w:t>
      </w:r>
      <w:r w:rsidR="00F27DB5" w:rsidRPr="00F27DB5">
        <w:rPr>
          <w:color w:val="000000"/>
        </w:rPr>
        <w:t>statymo Nr. XI-242 9, 59, 74, 76, 77, 82 ir 83 straipsni</w:t>
      </w:r>
      <w:r w:rsidR="00F27DB5" w:rsidRPr="00F27DB5">
        <w:rPr>
          <w:rFonts w:ascii="Cambria" w:hAnsi="Cambria"/>
          <w:color w:val="000000"/>
        </w:rPr>
        <w:t xml:space="preserve">ų </w:t>
      </w:r>
      <w:r w:rsidR="00F27DB5" w:rsidRPr="00F27DB5">
        <w:rPr>
          <w:color w:val="000000"/>
        </w:rPr>
        <w:t xml:space="preserve">pakeitimo </w:t>
      </w:r>
      <w:r w:rsidR="00F27DB5" w:rsidRPr="00F27DB5">
        <w:rPr>
          <w:rFonts w:ascii="Cambria" w:hAnsi="Cambria"/>
          <w:color w:val="000000"/>
        </w:rPr>
        <w:t>į</w:t>
      </w:r>
      <w:r w:rsidR="00F27DB5" w:rsidRPr="00F27DB5">
        <w:rPr>
          <w:color w:val="000000"/>
        </w:rPr>
        <w:t>statymo</w:t>
      </w:r>
      <w:r w:rsidR="00F27DB5" w:rsidRPr="000E0DAD">
        <w:rPr>
          <w:b/>
          <w:color w:val="000000"/>
        </w:rPr>
        <w:t xml:space="preserve"> </w:t>
      </w:r>
      <w:r w:rsidR="00891915">
        <w:t>projektą</w:t>
      </w:r>
      <w:r w:rsidRPr="00B27E70">
        <w:rPr>
          <w:szCs w:val="24"/>
        </w:rPr>
        <w:t xml:space="preserve">, </w:t>
      </w:r>
      <w:r w:rsidR="00891915">
        <w:rPr>
          <w:szCs w:val="24"/>
        </w:rPr>
        <w:t xml:space="preserve">iš esmės pritariame Švietimo, mokslo </w:t>
      </w:r>
      <w:r w:rsidR="00204566">
        <w:rPr>
          <w:szCs w:val="24"/>
        </w:rPr>
        <w:t>ir sporto ministerijos siūl</w:t>
      </w:r>
      <w:r w:rsidR="00F27DB5">
        <w:rPr>
          <w:szCs w:val="24"/>
        </w:rPr>
        <w:t>o</w:t>
      </w:r>
      <w:r w:rsidR="00204566">
        <w:rPr>
          <w:szCs w:val="24"/>
        </w:rPr>
        <w:t>m</w:t>
      </w:r>
      <w:r w:rsidR="00F27DB5">
        <w:rPr>
          <w:szCs w:val="24"/>
        </w:rPr>
        <w:t xml:space="preserve">iems </w:t>
      </w:r>
      <w:r w:rsidR="00651B1D">
        <w:rPr>
          <w:szCs w:val="24"/>
        </w:rPr>
        <w:t xml:space="preserve">įstatymo </w:t>
      </w:r>
      <w:r w:rsidR="00F27DB5">
        <w:rPr>
          <w:szCs w:val="24"/>
        </w:rPr>
        <w:t>pakeitimams</w:t>
      </w:r>
      <w:r w:rsidR="00651B1D">
        <w:rPr>
          <w:szCs w:val="24"/>
        </w:rPr>
        <w:t>, kartu teikdami</w:t>
      </w:r>
      <w:r w:rsidR="000434A1">
        <w:rPr>
          <w:szCs w:val="24"/>
        </w:rPr>
        <w:t xml:space="preserve"> Lietuvos universitetų rektorių konferencijos pakeitim</w:t>
      </w:r>
      <w:r w:rsidR="009E5564">
        <w:rPr>
          <w:szCs w:val="24"/>
        </w:rPr>
        <w:t>u</w:t>
      </w:r>
      <w:r w:rsidR="000434A1">
        <w:rPr>
          <w:szCs w:val="24"/>
        </w:rPr>
        <w:t>s ir pa</w:t>
      </w:r>
      <w:r w:rsidR="0089118C">
        <w:rPr>
          <w:szCs w:val="24"/>
        </w:rPr>
        <w:t>siūlym</w:t>
      </w:r>
      <w:r w:rsidR="009E5564">
        <w:rPr>
          <w:szCs w:val="24"/>
        </w:rPr>
        <w:t>u</w:t>
      </w:r>
      <w:r w:rsidR="0089118C">
        <w:rPr>
          <w:szCs w:val="24"/>
        </w:rPr>
        <w:t>s</w:t>
      </w:r>
      <w:r>
        <w:rPr>
          <w:szCs w:val="24"/>
        </w:rPr>
        <w:t>:</w:t>
      </w:r>
    </w:p>
    <w:p w14:paraId="3B6A09EE" w14:textId="77777777" w:rsidR="0094186E" w:rsidRDefault="00651B1D" w:rsidP="00B41598">
      <w:pPr>
        <w:pStyle w:val="Sraopastraipa"/>
        <w:numPr>
          <w:ilvl w:val="0"/>
          <w:numId w:val="8"/>
        </w:numPr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2 straipsnyje išdėstytos sąlygos ir toliau įtvirtina skirtingus minimalius reikalavimus stojant į universitetus ir kolegijas, nors abiejų tipų aukštosios mokyklos vykdo šeštojo lygmens studijas</w:t>
      </w:r>
      <w:r w:rsidR="0094186E">
        <w:rPr>
          <w:iCs/>
          <w:color w:val="000000"/>
          <w:szCs w:val="24"/>
        </w:rPr>
        <w:t xml:space="preserve">. Dėl šios priežasties, 59 straipsnio 1 dalyje išimtis, kam netaikomas privalomas valstybinis matematikos egzamino reikalavimas, siūlome papildyti humanitarinių mokslų studijų krypčių grupe ir komunikacijos studijų kryptimi. </w:t>
      </w:r>
    </w:p>
    <w:p w14:paraId="6E0BD62F" w14:textId="77777777" w:rsidR="008F0C4E" w:rsidRDefault="00651B1D" w:rsidP="0094186E">
      <w:pPr>
        <w:pStyle w:val="Sraopastraipa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59 straipsnio 1 dalyje </w:t>
      </w:r>
      <w:r w:rsidR="00906DCA">
        <w:rPr>
          <w:iCs/>
          <w:color w:val="000000"/>
          <w:szCs w:val="24"/>
        </w:rPr>
        <w:t xml:space="preserve">įvedama nauja vertinimo sistema stokoja pagrindimo, neaiški jų sąsaja su kitų švietimo grandžių vertinimo sistemomis. </w:t>
      </w:r>
    </w:p>
    <w:p w14:paraId="5724CA66" w14:textId="77777777" w:rsidR="008F0C4E" w:rsidRDefault="0094186E" w:rsidP="008F0C4E">
      <w:pPr>
        <w:pStyle w:val="Sraopastraipa"/>
        <w:jc w:val="both"/>
      </w:pPr>
      <w:r>
        <w:rPr>
          <w:iCs/>
          <w:color w:val="000000"/>
          <w:szCs w:val="24"/>
        </w:rPr>
        <w:t xml:space="preserve">Prašome peržiūrėti sąrašą asmenų, kuriems numatoma netaikyti 59 straipsnio 1 dalies reikalavimų, atkreipiant dėmesį į asmenis, </w:t>
      </w:r>
      <w:r>
        <w:rPr>
          <w:color w:val="000000"/>
        </w:rPr>
        <w:t xml:space="preserve">įgijusius kvalifikaciją, suteikiančią teisę į aukštąjį mokslą,  pagal tarptautinių organizacijų arba užsienio valstybių švietimo programas. </w:t>
      </w:r>
      <w:r>
        <w:t>Tokia situacija, nesant objektyvių skirtingą traktavimą pagrindžiančių dokumentų, gali prilygti diskriminacijai.</w:t>
      </w:r>
    </w:p>
    <w:p w14:paraId="397598AD" w14:textId="77777777" w:rsidR="00B41598" w:rsidRDefault="00671B5A" w:rsidP="008F0C4E">
      <w:pPr>
        <w:pStyle w:val="Sraopastraipa"/>
        <w:jc w:val="both"/>
        <w:rPr>
          <w:iCs/>
          <w:color w:val="000000"/>
          <w:szCs w:val="24"/>
        </w:rPr>
      </w:pPr>
      <w:r>
        <w:t xml:space="preserve">Taip pat siūlome išbraukti iš </w:t>
      </w:r>
      <w:r>
        <w:rPr>
          <w:iCs/>
          <w:color w:val="000000"/>
          <w:szCs w:val="24"/>
        </w:rPr>
        <w:t xml:space="preserve">sąrašo asmenų, kuriems numatoma netaikyti 59 straipsnio 1 dalies reikalavimų, </w:t>
      </w:r>
      <w:r>
        <w:rPr>
          <w:color w:val="000000"/>
        </w:rPr>
        <w:t>asmenis, Lietuvos Respublikoje vidurinį išsilavinimą įgijusius iki šio įstatymo įsigaliojimo, nes šios pakeitimo įstatymo nuostatos yra palankesnės stojantiesiems, nei buvusios</w:t>
      </w:r>
      <w:r w:rsidR="00FF4416">
        <w:rPr>
          <w:color w:val="000000"/>
        </w:rPr>
        <w:t>ios</w:t>
      </w:r>
      <w:r>
        <w:rPr>
          <w:color w:val="000000"/>
        </w:rPr>
        <w:t>.</w:t>
      </w:r>
    </w:p>
    <w:p w14:paraId="6F6EF4B8" w14:textId="77777777" w:rsidR="00B41598" w:rsidRPr="00671B5A" w:rsidRDefault="00B41598" w:rsidP="00671B5A">
      <w:pPr>
        <w:pStyle w:val="Sraopastraipa"/>
        <w:numPr>
          <w:ilvl w:val="0"/>
          <w:numId w:val="8"/>
        </w:numPr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5 straipsnyje pateiktame MSĮ 77 straipsnio pakeitime, 6 dalyje siūlome </w:t>
      </w:r>
      <w:r>
        <w:t xml:space="preserve">keisti numatytą tvarką, kai pašalinus studentą iš aukštosios mokyklos arba studentui nutraukus studijas, studijų vietai skirtas valstybės finansavimas išlieka </w:t>
      </w:r>
      <w:r w:rsidRPr="00B41598">
        <w:t>tik iki biudžetinių metų pabaigos. T</w:t>
      </w:r>
      <w:r>
        <w:t xml:space="preserve">okia praktika yra ydinga, kadangi finansavimui mažėjant proporcingai studentų nubyrėjimui, aukštosios mokyklos negali tvariai planuoti investicijų, žmogiškųjų ir materialiųjų resursų. Kai kuriais atvejais, programos tampa nerentabilios, </w:t>
      </w:r>
      <w:proofErr w:type="spellStart"/>
      <w:r>
        <w:t>t.y</w:t>
      </w:r>
      <w:proofErr w:type="spellEnd"/>
      <w:r>
        <w:t xml:space="preserve">. jų vykdymo sąnaudos yra didesnės nei gaunamas finansavimas. Siūlome numatyti, kad </w:t>
      </w:r>
      <w:r w:rsidRPr="00B41598">
        <w:t>studijų vietai skirtas finansavimas būtų išlaikomas visą studijų laikotarpį (siūloma maksimali leistina atsilaisvinusių ir neužimtų valstybės finansuojamų studijų vietų dalis nuo visų priėmimo metais užfiksuoto valstybės finansuojamų vietų skaičiaus – 30 proc.),</w:t>
      </w:r>
      <w:r>
        <w:t xml:space="preserve"> poįstatyminiuose aktuose būtinai numatant tam tikrus saugiklius, pvz., studentas pirmosios pakopos studijose pirmąjį semestrą nutraukti studijas be krepšelio grąžinimo Valstybiniam studijų fondui galėtų tik vieną kartą, ir pan.</w:t>
      </w:r>
    </w:p>
    <w:p w14:paraId="0EAF28D0" w14:textId="77777777" w:rsidR="00671B5A" w:rsidRPr="00671B5A" w:rsidRDefault="00671B5A" w:rsidP="00671B5A">
      <w:pPr>
        <w:pStyle w:val="Sraopastraipa"/>
        <w:numPr>
          <w:ilvl w:val="0"/>
          <w:numId w:val="8"/>
        </w:numPr>
        <w:jc w:val="both"/>
        <w:rPr>
          <w:iCs/>
          <w:color w:val="000000"/>
          <w:szCs w:val="24"/>
        </w:rPr>
      </w:pPr>
      <w:r>
        <w:t>8 straipsnio 3 ir 4 dalis siūloma išbraukti.</w:t>
      </w:r>
    </w:p>
    <w:p w14:paraId="70BD71AD" w14:textId="77777777" w:rsidR="00B365F1" w:rsidRDefault="00263010" w:rsidP="000434A1">
      <w:pPr>
        <w:ind w:firstLine="720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Lietuvos universitetų rektorių konferencij</w:t>
      </w:r>
      <w:r w:rsidR="004508F8">
        <w:rPr>
          <w:iCs/>
          <w:color w:val="000000"/>
          <w:szCs w:val="24"/>
        </w:rPr>
        <w:t>os Studijų komitetas</w:t>
      </w:r>
      <w:r>
        <w:rPr>
          <w:iCs/>
          <w:color w:val="000000"/>
          <w:szCs w:val="24"/>
        </w:rPr>
        <w:t xml:space="preserve"> </w:t>
      </w:r>
      <w:r w:rsidR="008F5D28">
        <w:rPr>
          <w:iCs/>
          <w:color w:val="000000"/>
          <w:szCs w:val="24"/>
        </w:rPr>
        <w:t xml:space="preserve">atkreipia dėmesį, </w:t>
      </w:r>
      <w:r w:rsidR="005C1948">
        <w:rPr>
          <w:iCs/>
          <w:color w:val="000000"/>
          <w:szCs w:val="24"/>
        </w:rPr>
        <w:t xml:space="preserve">jog </w:t>
      </w:r>
      <w:r w:rsidR="008F5D28">
        <w:rPr>
          <w:iCs/>
          <w:color w:val="000000"/>
          <w:szCs w:val="24"/>
        </w:rPr>
        <w:t xml:space="preserve">aukščiau išdėstyti </w:t>
      </w:r>
      <w:r w:rsidR="000749E2">
        <w:rPr>
          <w:szCs w:val="24"/>
        </w:rPr>
        <w:t xml:space="preserve">siūlomi pakeitimai ir pasiūlymai neapima visų </w:t>
      </w:r>
      <w:r w:rsidR="008F5D28">
        <w:rPr>
          <w:iCs/>
          <w:color w:val="000000"/>
          <w:szCs w:val="24"/>
        </w:rPr>
        <w:t>universitet</w:t>
      </w:r>
      <w:r w:rsidR="000749E2">
        <w:rPr>
          <w:iCs/>
          <w:color w:val="000000"/>
          <w:szCs w:val="24"/>
        </w:rPr>
        <w:t>ų</w:t>
      </w:r>
      <w:r w:rsidR="008F5D28">
        <w:rPr>
          <w:iCs/>
          <w:color w:val="000000"/>
          <w:szCs w:val="24"/>
        </w:rPr>
        <w:t xml:space="preserve"> </w:t>
      </w:r>
      <w:r w:rsidR="000749E2">
        <w:rPr>
          <w:szCs w:val="24"/>
        </w:rPr>
        <w:t>atskirų</w:t>
      </w:r>
      <w:r w:rsidR="000749E2">
        <w:rPr>
          <w:iCs/>
          <w:color w:val="000000"/>
          <w:szCs w:val="24"/>
        </w:rPr>
        <w:t xml:space="preserve"> </w:t>
      </w:r>
      <w:r w:rsidR="008F5D28">
        <w:rPr>
          <w:iCs/>
          <w:color w:val="000000"/>
          <w:szCs w:val="24"/>
        </w:rPr>
        <w:t>nuomon</w:t>
      </w:r>
      <w:r w:rsidR="000749E2">
        <w:rPr>
          <w:iCs/>
          <w:color w:val="000000"/>
          <w:szCs w:val="24"/>
        </w:rPr>
        <w:t>ių. Universitetams, kurių nuomonių neapima šis raštas, yra rekomenduo</w:t>
      </w:r>
      <w:r w:rsidR="003C01AB">
        <w:rPr>
          <w:iCs/>
          <w:color w:val="000000"/>
          <w:szCs w:val="24"/>
        </w:rPr>
        <w:t>jam</w:t>
      </w:r>
      <w:r w:rsidR="000749E2">
        <w:rPr>
          <w:iCs/>
          <w:color w:val="000000"/>
          <w:szCs w:val="24"/>
        </w:rPr>
        <w:t xml:space="preserve">a </w:t>
      </w:r>
      <w:r w:rsidR="00FF4416">
        <w:rPr>
          <w:iCs/>
          <w:color w:val="000000"/>
          <w:szCs w:val="24"/>
        </w:rPr>
        <w:t xml:space="preserve">atskiras nuomones </w:t>
      </w:r>
      <w:r w:rsidR="000749E2">
        <w:rPr>
          <w:iCs/>
          <w:color w:val="000000"/>
          <w:szCs w:val="24"/>
        </w:rPr>
        <w:t>pateikti tiesi</w:t>
      </w:r>
      <w:r w:rsidR="003C01AB">
        <w:rPr>
          <w:iCs/>
          <w:color w:val="000000"/>
          <w:szCs w:val="24"/>
        </w:rPr>
        <w:t>a</w:t>
      </w:r>
      <w:r w:rsidR="000749E2">
        <w:rPr>
          <w:iCs/>
          <w:color w:val="000000"/>
          <w:szCs w:val="24"/>
        </w:rPr>
        <w:t>i Švietimo, mokslo ir sporto ministerijai.</w:t>
      </w:r>
    </w:p>
    <w:p w14:paraId="2EBEE9F1" w14:textId="77777777" w:rsidR="00F83182" w:rsidRDefault="00F83182" w:rsidP="00F83182">
      <w:pPr>
        <w:jc w:val="both"/>
        <w:rPr>
          <w:iCs/>
          <w:color w:val="000000"/>
          <w:szCs w:val="24"/>
        </w:rPr>
      </w:pPr>
    </w:p>
    <w:p w14:paraId="6D219232" w14:textId="77777777" w:rsidR="00F83182" w:rsidRDefault="00F83182" w:rsidP="00F83182">
      <w:pPr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LURK Studijų komiteto pirmininkė</w:t>
      </w:r>
      <w:r>
        <w:rPr>
          <w:iCs/>
          <w:color w:val="000000"/>
          <w:szCs w:val="24"/>
        </w:rPr>
        <w:tab/>
      </w:r>
      <w:r>
        <w:rPr>
          <w:iCs/>
          <w:color w:val="000000"/>
          <w:szCs w:val="24"/>
        </w:rPr>
        <w:tab/>
      </w:r>
      <w:r>
        <w:rPr>
          <w:iCs/>
          <w:color w:val="000000"/>
          <w:szCs w:val="24"/>
        </w:rPr>
        <w:tab/>
        <w:t xml:space="preserve">dr. </w:t>
      </w:r>
      <w:r w:rsidRPr="00F83182">
        <w:rPr>
          <w:iCs/>
          <w:color w:val="000000"/>
          <w:szCs w:val="24"/>
        </w:rPr>
        <w:t>Sonata Mačiulskytė</w:t>
      </w:r>
    </w:p>
    <w:sectPr w:rsidR="00F831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6839"/>
    <w:multiLevelType w:val="hybridMultilevel"/>
    <w:tmpl w:val="1A603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548C"/>
    <w:multiLevelType w:val="hybridMultilevel"/>
    <w:tmpl w:val="AB1265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3D0F"/>
    <w:multiLevelType w:val="hybridMultilevel"/>
    <w:tmpl w:val="C3726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566B5"/>
    <w:multiLevelType w:val="hybridMultilevel"/>
    <w:tmpl w:val="F83E2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13A0D"/>
    <w:multiLevelType w:val="hybridMultilevel"/>
    <w:tmpl w:val="BA8071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6F487CF8"/>
    <w:multiLevelType w:val="hybridMultilevel"/>
    <w:tmpl w:val="2CD0AE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33672"/>
    <w:multiLevelType w:val="hybridMultilevel"/>
    <w:tmpl w:val="4CD4D6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09"/>
    <w:rsid w:val="00024CE3"/>
    <w:rsid w:val="000434A1"/>
    <w:rsid w:val="00052B63"/>
    <w:rsid w:val="000749E2"/>
    <w:rsid w:val="00204566"/>
    <w:rsid w:val="00263010"/>
    <w:rsid w:val="00312D84"/>
    <w:rsid w:val="003C01AB"/>
    <w:rsid w:val="00403763"/>
    <w:rsid w:val="004508F8"/>
    <w:rsid w:val="004E096C"/>
    <w:rsid w:val="005160B0"/>
    <w:rsid w:val="00557C32"/>
    <w:rsid w:val="005C1948"/>
    <w:rsid w:val="00651B1D"/>
    <w:rsid w:val="00671B5A"/>
    <w:rsid w:val="006A7DB5"/>
    <w:rsid w:val="006F04D3"/>
    <w:rsid w:val="00703D4A"/>
    <w:rsid w:val="008321ED"/>
    <w:rsid w:val="00880B07"/>
    <w:rsid w:val="0089118C"/>
    <w:rsid w:val="00891915"/>
    <w:rsid w:val="008F0C4E"/>
    <w:rsid w:val="008F5D28"/>
    <w:rsid w:val="00906DCA"/>
    <w:rsid w:val="009258A4"/>
    <w:rsid w:val="00940D77"/>
    <w:rsid w:val="0094186E"/>
    <w:rsid w:val="00961409"/>
    <w:rsid w:val="009B3B01"/>
    <w:rsid w:val="009E5564"/>
    <w:rsid w:val="00A714B2"/>
    <w:rsid w:val="00A97E9F"/>
    <w:rsid w:val="00B35C48"/>
    <w:rsid w:val="00B365F1"/>
    <w:rsid w:val="00B41598"/>
    <w:rsid w:val="00B7456A"/>
    <w:rsid w:val="00BA2099"/>
    <w:rsid w:val="00BB6D71"/>
    <w:rsid w:val="00C14C3E"/>
    <w:rsid w:val="00CE63D2"/>
    <w:rsid w:val="00D774A7"/>
    <w:rsid w:val="00E47FC0"/>
    <w:rsid w:val="00E728A4"/>
    <w:rsid w:val="00EC36B1"/>
    <w:rsid w:val="00F02C54"/>
    <w:rsid w:val="00F27DB5"/>
    <w:rsid w:val="00F83182"/>
    <w:rsid w:val="00FF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EA68"/>
  <w15:chartTrackingRefBased/>
  <w15:docId w15:val="{FA9566C2-A17F-4751-ADD1-A5CAC347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4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evel1">
    <w:name w:val="Level 1"/>
    <w:basedOn w:val="prastasis"/>
    <w:rsid w:val="00961409"/>
    <w:pPr>
      <w:numPr>
        <w:numId w:val="1"/>
      </w:numPr>
      <w:spacing w:after="240" w:line="312" w:lineRule="auto"/>
      <w:jc w:val="both"/>
      <w:outlineLvl w:val="0"/>
    </w:pPr>
    <w:rPr>
      <w:rFonts w:ascii="Verdana" w:hAnsi="Verdana"/>
      <w:sz w:val="20"/>
      <w:lang w:val="en-GB" w:eastAsia="en-GB"/>
    </w:rPr>
  </w:style>
  <w:style w:type="paragraph" w:customStyle="1" w:styleId="Level2">
    <w:name w:val="Level 2"/>
    <w:basedOn w:val="prastasis"/>
    <w:rsid w:val="00961409"/>
    <w:pPr>
      <w:numPr>
        <w:ilvl w:val="1"/>
        <w:numId w:val="1"/>
      </w:numPr>
      <w:spacing w:after="240" w:line="312" w:lineRule="auto"/>
      <w:jc w:val="both"/>
      <w:outlineLvl w:val="1"/>
    </w:pPr>
    <w:rPr>
      <w:rFonts w:ascii="Verdana" w:hAnsi="Verdana"/>
      <w:sz w:val="20"/>
      <w:lang w:val="en-GB" w:eastAsia="en-GB"/>
    </w:rPr>
  </w:style>
  <w:style w:type="paragraph" w:customStyle="1" w:styleId="Level3">
    <w:name w:val="Level 3"/>
    <w:basedOn w:val="prastasis"/>
    <w:rsid w:val="00961409"/>
    <w:pPr>
      <w:numPr>
        <w:ilvl w:val="2"/>
        <w:numId w:val="1"/>
      </w:numPr>
      <w:spacing w:after="240" w:line="312" w:lineRule="auto"/>
      <w:jc w:val="both"/>
      <w:outlineLvl w:val="2"/>
    </w:pPr>
    <w:rPr>
      <w:rFonts w:ascii="Verdana" w:hAnsi="Verdana"/>
      <w:sz w:val="20"/>
      <w:lang w:val="en-GB" w:eastAsia="en-GB"/>
    </w:rPr>
  </w:style>
  <w:style w:type="paragraph" w:customStyle="1" w:styleId="Level4">
    <w:name w:val="Level 4"/>
    <w:basedOn w:val="prastasis"/>
    <w:rsid w:val="00961409"/>
    <w:pPr>
      <w:numPr>
        <w:ilvl w:val="3"/>
        <w:numId w:val="1"/>
      </w:numPr>
      <w:spacing w:after="240" w:line="312" w:lineRule="auto"/>
      <w:jc w:val="both"/>
      <w:outlineLvl w:val="3"/>
    </w:pPr>
    <w:rPr>
      <w:rFonts w:ascii="Verdana" w:hAnsi="Verdana"/>
      <w:sz w:val="20"/>
      <w:lang w:val="en-GB" w:eastAsia="en-GB"/>
    </w:rPr>
  </w:style>
  <w:style w:type="paragraph" w:customStyle="1" w:styleId="Level5">
    <w:name w:val="Level 5"/>
    <w:basedOn w:val="prastasis"/>
    <w:rsid w:val="00961409"/>
    <w:pPr>
      <w:numPr>
        <w:ilvl w:val="4"/>
        <w:numId w:val="1"/>
      </w:numPr>
      <w:spacing w:after="240" w:line="312" w:lineRule="auto"/>
      <w:jc w:val="both"/>
      <w:outlineLvl w:val="4"/>
    </w:pPr>
    <w:rPr>
      <w:rFonts w:ascii="Verdana" w:hAnsi="Verdana"/>
      <w:sz w:val="20"/>
      <w:lang w:val="en-GB" w:eastAsia="en-GB"/>
    </w:rPr>
  </w:style>
  <w:style w:type="paragraph" w:styleId="Sraopastraipa">
    <w:name w:val="List Paragraph"/>
    <w:basedOn w:val="prastasis"/>
    <w:uiPriority w:val="34"/>
    <w:qFormat/>
    <w:rsid w:val="00961409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9614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61409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961409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40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409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">
    <w:name w:val="Body Text"/>
    <w:basedOn w:val="prastasis"/>
    <w:link w:val="PagrindinistekstasDiagrama"/>
    <w:rsid w:val="00B7456A"/>
    <w:pPr>
      <w:jc w:val="both"/>
    </w:pPr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7456A"/>
    <w:rPr>
      <w:rFonts w:ascii="Times New Roman" w:eastAsia="Times New Roman" w:hAnsi="Times New Roman" w:cs="Times New Roman"/>
      <w:sz w:val="28"/>
      <w:szCs w:val="20"/>
    </w:rPr>
  </w:style>
  <w:style w:type="table" w:styleId="Lentelstinklelis">
    <w:name w:val="Table Grid"/>
    <w:basedOn w:val="prastojilentel"/>
    <w:rsid w:val="005160B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E46C4-BDAF-4B5C-BC99-9439BBD754DE}"/>
</file>

<file path=customXml/itemProps2.xml><?xml version="1.0" encoding="utf-8"?>
<ds:datastoreItem xmlns:ds="http://schemas.openxmlformats.org/officeDocument/2006/customXml" ds:itemID="{620BF33A-DCDA-4B2A-84E4-A94680675910}"/>
</file>

<file path=customXml/itemProps3.xml><?xml version="1.0" encoding="utf-8"?>
<ds:datastoreItem xmlns:ds="http://schemas.openxmlformats.org/officeDocument/2006/customXml" ds:itemID="{A688941E-6435-4AE2-9DEC-DE8D843EB9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a9b93a7b-15c0-44e8-a018-d74897316840</dc:title>
  <dc:subject/>
  <dc:creator>Sonata Mačiulskytė</dc:creator>
  <cp:keywords/>
  <dc:description/>
  <cp:lastModifiedBy>Vipartienė Daiva | ŠMSM</cp:lastModifiedBy>
  <cp:revision>2</cp:revision>
  <dcterms:created xsi:type="dcterms:W3CDTF">2021-06-02T11:00:00Z</dcterms:created>
  <dcterms:modified xsi:type="dcterms:W3CDTF">2021-06-02T11:00:00Z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