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0008DD" w14:textId="77777777" w:rsidR="00FD6199" w:rsidRDefault="00FD6199"/>
    <w:tbl>
      <w:tblPr>
        <w:tblW w:w="9833" w:type="dxa"/>
        <w:jc w:val="center"/>
        <w:tblLook w:val="0000" w:firstRow="0" w:lastRow="0" w:firstColumn="0" w:lastColumn="0" w:noHBand="0" w:noVBand="0"/>
      </w:tblPr>
      <w:tblGrid>
        <w:gridCol w:w="3284"/>
        <w:gridCol w:w="2920"/>
        <w:gridCol w:w="3629"/>
      </w:tblGrid>
      <w:tr w:rsidR="00FD6199" w14:paraId="0A0CFA4C" w14:textId="77777777">
        <w:trPr>
          <w:jc w:val="center"/>
        </w:trPr>
        <w:tc>
          <w:tcPr>
            <w:tcW w:w="3284" w:type="dxa"/>
          </w:tcPr>
          <w:p w14:paraId="5160D85E" w14:textId="77777777" w:rsidR="00FD6199" w:rsidRDefault="00FD6199">
            <w:pPr>
              <w:rPr>
                <w:sz w:val="24"/>
                <w:szCs w:val="24"/>
                <w:highlight w:val="yellow"/>
              </w:rPr>
            </w:pPr>
          </w:p>
        </w:tc>
        <w:tc>
          <w:tcPr>
            <w:tcW w:w="2920" w:type="dxa"/>
          </w:tcPr>
          <w:p w14:paraId="0B597AA6" w14:textId="77777777" w:rsidR="00FD6199" w:rsidRDefault="00FD6199">
            <w:pPr>
              <w:jc w:val="center"/>
            </w:pPr>
          </w:p>
        </w:tc>
        <w:tc>
          <w:tcPr>
            <w:tcW w:w="3629" w:type="dxa"/>
          </w:tcPr>
          <w:p w14:paraId="02C2E662" w14:textId="77777777" w:rsidR="00FD6199" w:rsidRDefault="009B0608">
            <w:pPr>
              <w:jc w:val="center"/>
              <w:rPr>
                <w:b/>
                <w:sz w:val="24"/>
              </w:rPr>
            </w:pPr>
            <w:r>
              <w:rPr>
                <w:rStyle w:val="Vietosrezervavimoenklotekstas"/>
              </w:rPr>
              <w:t>.</w:t>
            </w:r>
          </w:p>
        </w:tc>
      </w:tr>
      <w:tr w:rsidR="00FD6199" w14:paraId="76543197" w14:textId="77777777">
        <w:trPr>
          <w:jc w:val="center"/>
        </w:trPr>
        <w:tc>
          <w:tcPr>
            <w:tcW w:w="3284" w:type="dxa"/>
          </w:tcPr>
          <w:p w14:paraId="2EEAEE09" w14:textId="77777777" w:rsidR="00FD6199" w:rsidRDefault="00FD6199">
            <w:pPr>
              <w:jc w:val="center"/>
            </w:pPr>
            <w:bookmarkStart w:id="0" w:name="_MON_1051000718"/>
            <w:bookmarkStart w:id="1" w:name="_MON_1051000472"/>
            <w:bookmarkStart w:id="2" w:name="_MON_1051000430"/>
            <w:bookmarkStart w:id="3" w:name="_MON_1051000405"/>
            <w:bookmarkStart w:id="4" w:name="_MON_1051000241"/>
            <w:bookmarkStart w:id="5" w:name="_MON_1051091062"/>
            <w:bookmarkStart w:id="6" w:name="_MON_1051091041"/>
            <w:bookmarkEnd w:id="0"/>
            <w:bookmarkEnd w:id="1"/>
            <w:bookmarkEnd w:id="2"/>
            <w:bookmarkEnd w:id="3"/>
            <w:bookmarkEnd w:id="4"/>
            <w:bookmarkEnd w:id="5"/>
            <w:bookmarkEnd w:id="6"/>
          </w:p>
        </w:tc>
        <w:tc>
          <w:tcPr>
            <w:tcW w:w="2920" w:type="dxa"/>
          </w:tcPr>
          <w:p w14:paraId="05BA9120" w14:textId="77777777" w:rsidR="00FD6199" w:rsidRDefault="009B0608">
            <w:pPr>
              <w:jc w:val="center"/>
            </w:pPr>
            <w:r>
              <w:object w:dxaOrig="724" w:dyaOrig="824" w14:anchorId="6C983AB2">
                <v:shape id="ole_rId2" o:spid="_x0000_i1025" style="width:36.2pt;height:41.2pt" coordsize="" o:spt="100" adj="0,,0" path="" stroked="f">
                  <v:stroke joinstyle="miter"/>
                  <v:imagedata r:id="rId8" o:title=""/>
                  <v:formulas/>
                  <v:path o:connecttype="segments"/>
                </v:shape>
                <o:OLEObject Type="Embed" ProgID="Word.Picture.8" ShapeID="ole_rId2" DrawAspect="Content" ObjectID="_1679475276" r:id="rId9"/>
              </w:object>
            </w:r>
          </w:p>
        </w:tc>
        <w:tc>
          <w:tcPr>
            <w:tcW w:w="3629" w:type="dxa"/>
          </w:tcPr>
          <w:p w14:paraId="615E3640" w14:textId="77777777" w:rsidR="00FD6199" w:rsidRDefault="00FD6199">
            <w:pPr>
              <w:jc w:val="center"/>
            </w:pPr>
          </w:p>
        </w:tc>
      </w:tr>
    </w:tbl>
    <w:p w14:paraId="16FF6B70" w14:textId="77777777" w:rsidR="00FD6199" w:rsidRDefault="00FD6199">
      <w:pPr>
        <w:jc w:val="center"/>
        <w:rPr>
          <w:sz w:val="26"/>
        </w:rPr>
      </w:pPr>
    </w:p>
    <w:p w14:paraId="5FC96BA5" w14:textId="77777777" w:rsidR="00FD6199" w:rsidRDefault="009B0608">
      <w:pPr>
        <w:jc w:val="center"/>
        <w:rPr>
          <w:b/>
          <w:sz w:val="28"/>
        </w:rPr>
      </w:pPr>
      <w:r>
        <w:rPr>
          <w:b/>
          <w:sz w:val="28"/>
        </w:rPr>
        <w:t>LIETUVOS RESPUBLIKOS SUSISIEKIMO MINISTERIJA</w:t>
      </w:r>
    </w:p>
    <w:p w14:paraId="4D338F7A" w14:textId="77777777" w:rsidR="00FD6199" w:rsidRDefault="00FD6199">
      <w:pPr>
        <w:jc w:val="center"/>
        <w:rPr>
          <w:sz w:val="24"/>
        </w:rPr>
      </w:pPr>
    </w:p>
    <w:p w14:paraId="4E1422CC" w14:textId="77777777" w:rsidR="00FD6199" w:rsidRDefault="009B0608">
      <w:pPr>
        <w:ind w:left="567" w:right="567"/>
        <w:jc w:val="center"/>
        <w:rPr>
          <w:sz w:val="18"/>
        </w:rPr>
      </w:pPr>
      <w:r>
        <w:rPr>
          <w:sz w:val="18"/>
        </w:rPr>
        <w:t>Biudžetinė įstaiga,   Gedimino pr. 17, LT-01505 Vilnius,   tel. (8 5) 261 2363,</w:t>
      </w:r>
    </w:p>
    <w:p w14:paraId="7587C007" w14:textId="77777777" w:rsidR="00FD6199" w:rsidRDefault="009B0608">
      <w:pPr>
        <w:ind w:left="567" w:right="567"/>
        <w:jc w:val="center"/>
        <w:rPr>
          <w:sz w:val="18"/>
        </w:rPr>
      </w:pPr>
      <w:r>
        <w:rPr>
          <w:sz w:val="18"/>
        </w:rPr>
        <w:t xml:space="preserve">faks. (8 5) 212 4335, el. p. </w:t>
      </w:r>
      <w:proofErr w:type="spellStart"/>
      <w:r>
        <w:rPr>
          <w:sz w:val="18"/>
        </w:rPr>
        <w:t>sumin@sumin.lt</w:t>
      </w:r>
      <w:proofErr w:type="spellEnd"/>
      <w:r>
        <w:rPr>
          <w:sz w:val="18"/>
        </w:rPr>
        <w:t>.</w:t>
      </w:r>
    </w:p>
    <w:p w14:paraId="73DEB72A" w14:textId="77777777" w:rsidR="00FD6199" w:rsidRDefault="009B0608">
      <w:pPr>
        <w:ind w:left="567" w:right="567"/>
        <w:jc w:val="center"/>
        <w:rPr>
          <w:sz w:val="18"/>
        </w:rPr>
      </w:pPr>
      <w:r>
        <w:rPr>
          <w:sz w:val="18"/>
        </w:rPr>
        <w:t>Duomenys kaupiami ir saugomi Juridinių asmenų registre,   kodas 188620589</w:t>
      </w:r>
    </w:p>
    <w:p w14:paraId="4225B261" w14:textId="77777777" w:rsidR="00FD6199" w:rsidRDefault="009B0608">
      <w:pPr>
        <w:jc w:val="center"/>
        <w:rPr>
          <w:b/>
          <w:sz w:val="28"/>
        </w:rPr>
      </w:pPr>
      <w:r>
        <w:rPr>
          <w:b/>
          <w:noProof/>
          <w:sz w:val="28"/>
        </w:rPr>
        <mc:AlternateContent>
          <mc:Choice Requires="wps">
            <w:drawing>
              <wp:anchor distT="0" distB="0" distL="114300" distR="114300" simplePos="0" relativeHeight="2" behindDoc="0" locked="0" layoutInCell="1" allowOverlap="1" wp14:anchorId="2710A52B" wp14:editId="449D28AE">
                <wp:simplePos x="0" y="0"/>
                <wp:positionH relativeFrom="column">
                  <wp:posOffset>10160</wp:posOffset>
                </wp:positionH>
                <wp:positionV relativeFrom="paragraph">
                  <wp:posOffset>26035</wp:posOffset>
                </wp:positionV>
                <wp:extent cx="6120765" cy="635"/>
                <wp:effectExtent l="10160" t="6985" r="13335" b="12065"/>
                <wp:wrapTopAndBottom/>
                <wp:docPr id="1" name="Line 2"/>
                <wp:cNvGraphicFramePr/>
                <a:graphic xmlns:a="http://schemas.openxmlformats.org/drawingml/2006/main">
                  <a:graphicData uri="http://schemas.microsoft.com/office/word/2010/wordprocessingShape">
                    <wps:wsp>
                      <wps:cNvCnPr/>
                      <wps:spPr>
                        <a:xfrm>
                          <a:off x="0" y="0"/>
                          <a:ext cx="6120000" cy="0"/>
                        </a:xfrm>
                        <a:prstGeom prst="line">
                          <a:avLst/>
                        </a:prstGeom>
                        <a:ln w="1260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0.8pt,2.05pt" to="482.65pt,2.05pt" ID="Line 2" stroked="t" style="position:absolute" wp14:anchorId="10480386">
                <v:stroke color="black" weight="12600" joinstyle="round" endcap="flat"/>
                <v:fill o:detectmouseclick="t" on="false"/>
              </v:line>
            </w:pict>
          </mc:Fallback>
        </mc:AlternateContent>
      </w:r>
    </w:p>
    <w:p w14:paraId="3B391146" w14:textId="77777777" w:rsidR="00FD6199" w:rsidRDefault="00FD6199">
      <w:pPr>
        <w:jc w:val="center"/>
        <w:rPr>
          <w:b/>
          <w:sz w:val="28"/>
        </w:rPr>
      </w:pPr>
    </w:p>
    <w:tbl>
      <w:tblPr>
        <w:tblW w:w="9852" w:type="dxa"/>
        <w:tblLook w:val="0000" w:firstRow="0" w:lastRow="0" w:firstColumn="0" w:lastColumn="0" w:noHBand="0" w:noVBand="0"/>
      </w:tblPr>
      <w:tblGrid>
        <w:gridCol w:w="4503"/>
        <w:gridCol w:w="849"/>
        <w:gridCol w:w="4500"/>
      </w:tblGrid>
      <w:tr w:rsidR="00FD6199" w14:paraId="7296D5FD" w14:textId="77777777">
        <w:tc>
          <w:tcPr>
            <w:tcW w:w="4503" w:type="dxa"/>
          </w:tcPr>
          <w:p w14:paraId="175882B3" w14:textId="77777777" w:rsidR="00FD6199" w:rsidRDefault="009B0608">
            <w:pPr>
              <w:rPr>
                <w:sz w:val="24"/>
              </w:rPr>
            </w:pPr>
            <w:r>
              <w:rPr>
                <w:sz w:val="24"/>
              </w:rPr>
              <w:t>VĮ Lietuvos automobilių kelių direkcijai</w:t>
            </w:r>
          </w:p>
          <w:p w14:paraId="399ABF74" w14:textId="77777777" w:rsidR="00FD6199" w:rsidRDefault="00FD6199">
            <w:pPr>
              <w:rPr>
                <w:sz w:val="24"/>
              </w:rPr>
            </w:pPr>
          </w:p>
          <w:p w14:paraId="00AFA85A" w14:textId="135F6181" w:rsidR="00FD6199" w:rsidRDefault="009B0608">
            <w:pPr>
              <w:rPr>
                <w:sz w:val="24"/>
              </w:rPr>
            </w:pPr>
            <w:r>
              <w:rPr>
                <w:sz w:val="24"/>
              </w:rPr>
              <w:t xml:space="preserve">Lietuvos </w:t>
            </w:r>
            <w:r w:rsidRPr="009B0608">
              <w:rPr>
                <w:sz w:val="24"/>
              </w:rPr>
              <w:t>Respublikos finansų</w:t>
            </w:r>
            <w:r>
              <w:rPr>
                <w:sz w:val="24"/>
              </w:rPr>
              <w:t xml:space="preserve"> ministerijai</w:t>
            </w:r>
          </w:p>
        </w:tc>
        <w:tc>
          <w:tcPr>
            <w:tcW w:w="849" w:type="dxa"/>
          </w:tcPr>
          <w:p w14:paraId="6DDA24B0" w14:textId="77777777" w:rsidR="00FD6199" w:rsidRDefault="00FD6199">
            <w:pPr>
              <w:jc w:val="center"/>
              <w:rPr>
                <w:sz w:val="24"/>
              </w:rPr>
            </w:pPr>
          </w:p>
        </w:tc>
        <w:tc>
          <w:tcPr>
            <w:tcW w:w="4500" w:type="dxa"/>
          </w:tcPr>
          <w:p w14:paraId="64BE6348" w14:textId="29F92773" w:rsidR="00FD6199" w:rsidRDefault="00972545" w:rsidP="00972545">
            <w:pPr>
              <w:ind w:firstLine="69"/>
              <w:jc w:val="both"/>
              <w:rPr>
                <w:sz w:val="24"/>
              </w:rPr>
            </w:pPr>
            <w:r>
              <w:rPr>
                <w:sz w:val="24"/>
              </w:rPr>
              <w:t xml:space="preserve"> </w:t>
            </w:r>
            <w:r w:rsidR="009B0608">
              <w:rPr>
                <w:sz w:val="24"/>
              </w:rPr>
              <w:t>2021-03-</w:t>
            </w:r>
            <w:r w:rsidR="009B0608">
              <w:rPr>
                <w:sz w:val="24"/>
              </w:rPr>
              <w:tab/>
              <w:t xml:space="preserve">Nr. </w:t>
            </w:r>
            <w:sdt>
              <w:sdtPr>
                <w:id w:val="1755887584"/>
              </w:sdtPr>
              <w:sdtEndPr/>
              <w:sdtContent>
                <w:r w:rsidR="009B0608">
                  <w:rPr>
                    <w:sz w:val="24"/>
                  </w:rPr>
                  <w:t xml:space="preserve">      </w:t>
                </w:r>
              </w:sdtContent>
            </w:sdt>
          </w:p>
          <w:p w14:paraId="76F3A362" w14:textId="77777777" w:rsidR="00FD6199" w:rsidRDefault="00FD6199">
            <w:pPr>
              <w:jc w:val="both"/>
              <w:rPr>
                <w:sz w:val="12"/>
              </w:rPr>
            </w:pPr>
          </w:p>
          <w:p w14:paraId="7BCFEBD2" w14:textId="660FF189" w:rsidR="00FD6199" w:rsidRDefault="009B0608">
            <w:pPr>
              <w:rPr>
                <w:sz w:val="26"/>
              </w:rPr>
            </w:pPr>
            <w:r>
              <w:rPr>
                <w:sz w:val="24"/>
              </w:rPr>
              <w:t>Į 202</w:t>
            </w:r>
            <w:r>
              <w:rPr>
                <w:sz w:val="24"/>
                <w:lang w:val="en-US"/>
              </w:rPr>
              <w:t>1-02-04</w:t>
            </w:r>
            <w:r>
              <w:rPr>
                <w:sz w:val="24"/>
              </w:rPr>
              <w:tab/>
              <w:t>Nr. 2-1916</w:t>
            </w:r>
          </w:p>
        </w:tc>
      </w:tr>
      <w:tr w:rsidR="00FD6199" w14:paraId="49EFD547" w14:textId="77777777">
        <w:tc>
          <w:tcPr>
            <w:tcW w:w="4503" w:type="dxa"/>
          </w:tcPr>
          <w:p w14:paraId="1F9C511C" w14:textId="77777777" w:rsidR="00FD6199" w:rsidRDefault="00FD6199">
            <w:pPr>
              <w:jc w:val="center"/>
              <w:rPr>
                <w:sz w:val="24"/>
              </w:rPr>
            </w:pPr>
          </w:p>
        </w:tc>
        <w:tc>
          <w:tcPr>
            <w:tcW w:w="849" w:type="dxa"/>
          </w:tcPr>
          <w:p w14:paraId="4AE05EEF" w14:textId="77777777" w:rsidR="00FD6199" w:rsidRDefault="00FD6199">
            <w:pPr>
              <w:jc w:val="center"/>
              <w:rPr>
                <w:sz w:val="24"/>
              </w:rPr>
            </w:pPr>
          </w:p>
        </w:tc>
        <w:tc>
          <w:tcPr>
            <w:tcW w:w="4500" w:type="dxa"/>
          </w:tcPr>
          <w:p w14:paraId="1CA6E6C5" w14:textId="77777777" w:rsidR="00FD6199" w:rsidRDefault="00FD6199">
            <w:pPr>
              <w:jc w:val="right"/>
              <w:rPr>
                <w:sz w:val="24"/>
              </w:rPr>
            </w:pPr>
          </w:p>
        </w:tc>
      </w:tr>
    </w:tbl>
    <w:p w14:paraId="4AA9CF40" w14:textId="00DEBBFA" w:rsidR="00FD6199" w:rsidRDefault="00FD6199">
      <w:pPr>
        <w:jc w:val="both"/>
        <w:rPr>
          <w:b/>
          <w:sz w:val="24"/>
          <w:szCs w:val="24"/>
        </w:rPr>
      </w:pPr>
    </w:p>
    <w:p w14:paraId="6F80A330" w14:textId="77777777" w:rsidR="00FD6199" w:rsidRDefault="009B0608">
      <w:pPr>
        <w:jc w:val="both"/>
        <w:rPr>
          <w:b/>
          <w:sz w:val="24"/>
          <w:szCs w:val="24"/>
        </w:rPr>
      </w:pPr>
      <w:r>
        <w:rPr>
          <w:b/>
          <w:sz w:val="24"/>
          <w:szCs w:val="24"/>
        </w:rPr>
        <w:t>IŠVADA DĖL ELEKTRONINĖS KELIŲ RINKLIAVŲ SISTEMOS SUKŪRIMO IR ĮGYVENDINIMO PROJEKTO ĮGYVENDINIMO TIKSLINGUMO</w:t>
      </w:r>
    </w:p>
    <w:p w14:paraId="35015995" w14:textId="77777777" w:rsidR="00FD6199" w:rsidRDefault="00FD6199">
      <w:pPr>
        <w:rPr>
          <w:sz w:val="24"/>
        </w:rPr>
      </w:pPr>
    </w:p>
    <w:p w14:paraId="0FD66766" w14:textId="133715BC" w:rsidR="00FD6199" w:rsidRDefault="009B0608">
      <w:pPr>
        <w:pStyle w:val="BodyTextVSD"/>
        <w:spacing w:before="0" w:after="0" w:line="276" w:lineRule="auto"/>
        <w:rPr>
          <w:rFonts w:ascii="Times New Roman" w:hAnsi="Times New Roman" w:cs="Times New Roman"/>
          <w:color w:val="auto"/>
        </w:rPr>
      </w:pPr>
      <w:r>
        <w:rPr>
          <w:rFonts w:ascii="Times New Roman" w:hAnsi="Times New Roman" w:cs="Times New Roman"/>
          <w:color w:val="auto"/>
        </w:rPr>
        <w:t>Lietuvos Respublikos susisiekimo ministerija (toliau – Susisiekimo ministerija), atsižvelgdama į Valstybės perskolinamų paskolų ir valstybės garantijų teikimo, suteiktų perskolinamų paskolų grąžinimo ir valstybės garantijų administravimo taisyklių</w:t>
      </w:r>
      <w:r>
        <w:rPr>
          <w:rStyle w:val="FootnoteAnchor"/>
          <w:rFonts w:ascii="Times New Roman" w:hAnsi="Times New Roman" w:cs="Times New Roman"/>
          <w:color w:val="auto"/>
        </w:rPr>
        <w:footnoteReference w:id="1"/>
      </w:r>
      <w:r>
        <w:rPr>
          <w:rFonts w:ascii="Times New Roman" w:hAnsi="Times New Roman" w:cs="Times New Roman"/>
          <w:color w:val="auto"/>
        </w:rPr>
        <w:t>, 20.6 papunkčio nuostatas bei į valstybės įmonės Lietuvos automobilių kelių direkcij</w:t>
      </w:r>
      <w:r w:rsidR="00972545">
        <w:rPr>
          <w:rFonts w:ascii="Times New Roman" w:hAnsi="Times New Roman" w:cs="Times New Roman"/>
          <w:color w:val="auto"/>
        </w:rPr>
        <w:t>os</w:t>
      </w:r>
      <w:r>
        <w:rPr>
          <w:rFonts w:ascii="Times New Roman" w:hAnsi="Times New Roman" w:cs="Times New Roman"/>
          <w:color w:val="auto"/>
        </w:rPr>
        <w:t xml:space="preserve"> (toliau – Kelių direkcija) </w:t>
      </w:r>
      <w:r w:rsidR="00972545">
        <w:rPr>
          <w:rFonts w:ascii="Times New Roman" w:hAnsi="Times New Roman" w:cs="Times New Roman"/>
          <w:color w:val="auto"/>
        </w:rPr>
        <w:br/>
      </w:r>
      <w:r>
        <w:rPr>
          <w:rFonts w:ascii="Times New Roman" w:hAnsi="Times New Roman" w:cs="Times New Roman"/>
          <w:color w:val="auto"/>
        </w:rPr>
        <w:t>2021 m. vasario 4 d. raštu Nr. 2-1916 pateiktą prašymą pateikti išvadą dėl investicijų projekto „Elektroninės kelių rinkliavų sistemos sukūrimas“ (toliau – Projektas) įgyvendinimo tikslingumo, teikia savo nuomonę ir išvadą dėl Projekto įgyvendinimo tikslingumo.</w:t>
      </w:r>
    </w:p>
    <w:p w14:paraId="2F49655C" w14:textId="2F4E486B" w:rsidR="00FD6199" w:rsidRDefault="009B0608">
      <w:pPr>
        <w:spacing w:line="276" w:lineRule="auto"/>
        <w:ind w:firstLine="851"/>
        <w:jc w:val="both"/>
        <w:rPr>
          <w:rFonts w:eastAsia="Arial"/>
          <w:sz w:val="24"/>
          <w:szCs w:val="24"/>
          <w:lang w:eastAsia="ar-SA"/>
        </w:rPr>
      </w:pPr>
      <w:r>
        <w:rPr>
          <w:rFonts w:eastAsia="Arial"/>
          <w:sz w:val="24"/>
          <w:szCs w:val="24"/>
          <w:lang w:eastAsia="ar-SA"/>
        </w:rPr>
        <w:t>Kelių direkcija Projektą įgyvendins vadovaudamasi Lietuvos Respublikos kelių priežiūros ir plėtros programos finansavimo įstatymo nuostatomis.</w:t>
      </w:r>
      <w:r>
        <w:rPr>
          <w:sz w:val="22"/>
          <w:szCs w:val="22"/>
        </w:rPr>
        <w:t xml:space="preserve"> </w:t>
      </w:r>
      <w:r>
        <w:rPr>
          <w:rFonts w:eastAsia="Arial"/>
          <w:sz w:val="24"/>
          <w:szCs w:val="24"/>
          <w:lang w:eastAsia="ar-SA"/>
        </w:rPr>
        <w:t xml:space="preserve">Lietuvos Respublikos kelių priežiūros ir plėtros programos finansavimo įstatymo Nr. VIII-2032 2, 6, 9 straipsnių ir 2, 5 priedų pakeitimo įstatymo Nr. XIII-3420 6 straipsnio 3 punkte nustatyta, kad Projekto sukūrimo ir įdiegimo finansavimui užtikrinti Kelių direkcijai </w:t>
      </w:r>
      <w:r w:rsidR="00F7188E" w:rsidRPr="0069686C">
        <w:rPr>
          <w:rFonts w:eastAsia="Arial"/>
          <w:sz w:val="24"/>
          <w:szCs w:val="24"/>
          <w:lang w:eastAsia="ar-SA"/>
        </w:rPr>
        <w:t xml:space="preserve">Lietuvos Respublikos </w:t>
      </w:r>
      <w:r w:rsidRPr="0069686C">
        <w:rPr>
          <w:rFonts w:eastAsia="Arial"/>
          <w:sz w:val="24"/>
          <w:szCs w:val="24"/>
          <w:lang w:eastAsia="ar-SA"/>
        </w:rPr>
        <w:t xml:space="preserve">Vyriausybė </w:t>
      </w:r>
      <w:r w:rsidR="00F7188E" w:rsidRPr="0069686C">
        <w:rPr>
          <w:rFonts w:eastAsia="Arial"/>
          <w:sz w:val="24"/>
          <w:szCs w:val="24"/>
          <w:lang w:eastAsia="ar-SA"/>
        </w:rPr>
        <w:t>(toliau</w:t>
      </w:r>
      <w:r w:rsidR="00F7188E">
        <w:rPr>
          <w:rFonts w:eastAsia="Arial"/>
          <w:sz w:val="24"/>
          <w:szCs w:val="24"/>
          <w:lang w:eastAsia="ar-SA"/>
        </w:rPr>
        <w:t xml:space="preserve"> – Vyriausybė) </w:t>
      </w:r>
      <w:r>
        <w:rPr>
          <w:rFonts w:eastAsia="Arial"/>
          <w:sz w:val="24"/>
          <w:szCs w:val="24"/>
          <w:lang w:eastAsia="ar-SA"/>
        </w:rPr>
        <w:t>skiria ne daugiau kaip 90 mln. Eurų iš Ateities ekonomikos DNR plano arba suteikia valstybės garantiją dėl ne didesnės negu 90 mln. Eurų paskolos.</w:t>
      </w:r>
    </w:p>
    <w:p w14:paraId="2DC241D4" w14:textId="77777777" w:rsidR="00FD6199" w:rsidRDefault="009B0608">
      <w:pPr>
        <w:spacing w:line="276" w:lineRule="auto"/>
        <w:ind w:firstLine="851"/>
        <w:jc w:val="both"/>
        <w:rPr>
          <w:rFonts w:eastAsia="Arial"/>
          <w:sz w:val="24"/>
          <w:szCs w:val="24"/>
          <w:lang w:eastAsia="ar-SA"/>
        </w:rPr>
      </w:pPr>
      <w:r>
        <w:rPr>
          <w:rFonts w:eastAsia="Arial"/>
          <w:sz w:val="24"/>
          <w:szCs w:val="24"/>
          <w:lang w:eastAsia="ar-SA"/>
        </w:rPr>
        <w:t>Projekto tikslas – užtikrinti įmokų už transporto priemonių faktinį naudojimąsi Vyriausybės ar jos įgaliotos institucijos nustatytais mokamais valstybinės reikšmės keliais surinkimą, įgyvendinant Europos Sąjungoje taikomus kelių rinkliavos principus „naudotojas moka – teršėjas moka“ ir susigrąžinti dalį išlaidų, kurios bus naudojamos apmokestinamo valstybinių kelių tinklo infrastruktūros statybai, priežiūrai, eksploatavimui ir plėtrai. Projekto uždavinys – sukurti elektroninę kelių rinkliavos sistemą, kuri pakeis esamą elektroninių vinječių sistemą ir užtikrins įmokų už transporto priemones pagal jų faktinį naudojimąsi kelių infrastruktūra surinkimą.</w:t>
      </w:r>
    </w:p>
    <w:p w14:paraId="10643FD4" w14:textId="77777777" w:rsidR="00FD6199" w:rsidRDefault="009B0608">
      <w:pPr>
        <w:spacing w:line="276" w:lineRule="auto"/>
        <w:ind w:firstLine="851"/>
        <w:jc w:val="both"/>
        <w:rPr>
          <w:rFonts w:eastAsia="Arial"/>
          <w:sz w:val="24"/>
          <w:szCs w:val="24"/>
          <w:lang w:eastAsia="ar-SA"/>
        </w:rPr>
      </w:pPr>
      <w:r>
        <w:rPr>
          <w:rFonts w:eastAsia="Arial"/>
          <w:sz w:val="24"/>
          <w:szCs w:val="24"/>
          <w:lang w:eastAsia="ar-SA"/>
        </w:rPr>
        <w:lastRenderedPageBreak/>
        <w:t>Pagal savo esmę šis Projektas taip pat yra skaitmenizavimo projektas ir kartu žaliąją (taršos mažinimo) kryptį atitinkantis Projektas.</w:t>
      </w:r>
    </w:p>
    <w:p w14:paraId="70F16B60" w14:textId="3EEEBF3B" w:rsidR="00FD6199" w:rsidRDefault="009B0608">
      <w:pPr>
        <w:spacing w:line="276" w:lineRule="auto"/>
        <w:ind w:firstLine="851"/>
        <w:jc w:val="both"/>
        <w:rPr>
          <w:rFonts w:eastAsia="Arial"/>
          <w:sz w:val="24"/>
          <w:szCs w:val="24"/>
          <w:lang w:eastAsia="ar-SA"/>
        </w:rPr>
      </w:pPr>
      <w:r>
        <w:rPr>
          <w:rFonts w:eastAsia="Arial"/>
          <w:sz w:val="24"/>
          <w:szCs w:val="24"/>
          <w:lang w:eastAsia="ar-SA"/>
        </w:rPr>
        <w:t xml:space="preserve">Įgyvendinus Projektą, bus žymiai pagerinta mokamų valstybinės reikšmės kelių būklė, nes iš sugeneruotų kelių rinkliavos įmokų pajamų bus skiriama daugiau lėšų mokamų valstybinės reikšmės kelių atnaujinimui ir plėtrai (papildomai apie 50 mln. Eurų per metus). Tokiu būdu Projekto įgyvendinimas sudarys galimybes pasiekti ES nustatytą Lietuvai strateginį tikslą </w:t>
      </w:r>
      <w:r w:rsidR="00F7188E">
        <w:rPr>
          <w:rFonts w:eastAsia="Arial"/>
          <w:sz w:val="24"/>
          <w:szCs w:val="24"/>
          <w:lang w:eastAsia="ar-SA"/>
        </w:rPr>
        <w:t>–</w:t>
      </w:r>
      <w:r>
        <w:rPr>
          <w:rFonts w:eastAsia="Arial"/>
          <w:sz w:val="24"/>
          <w:szCs w:val="24"/>
          <w:lang w:eastAsia="ar-SA"/>
        </w:rPr>
        <w:t xml:space="preserve"> iki 2030 m. </w:t>
      </w:r>
      <w:r w:rsidR="00F7188E">
        <w:rPr>
          <w:rFonts w:eastAsia="Arial"/>
          <w:sz w:val="24"/>
          <w:szCs w:val="24"/>
          <w:lang w:eastAsia="ar-SA"/>
        </w:rPr>
        <w:br/>
      </w:r>
      <w:r>
        <w:rPr>
          <w:rFonts w:eastAsia="Arial"/>
          <w:sz w:val="24"/>
          <w:szCs w:val="24"/>
          <w:lang w:eastAsia="ar-SA"/>
        </w:rPr>
        <w:t xml:space="preserve">TEN-T pagrindinio kelių tinklo dalis atitiktų ES nustatytus reikalavimus, taip pat prisidės prie anglies dvideginio emisijos ir taršos mažinimo tikslų įgyvendinimo bei prie Europos Sąjungos Direktyvos 1999/62/ES dėl sunkiasvorių krovininių transporto priemonių apmokestinimo už naudojimąsi tam tikra infrastruktūra ir Direktyvos (ES) 2019/520 dėl elektroninių kelių rinkliavos sistemų sąveikumo įgyvendinimo. Pagal Kelių direkcijos pateiktus paskaičiavimus Projekto vertė (sumos apvalinamos) </w:t>
      </w:r>
      <w:r w:rsidR="00F7188E">
        <w:rPr>
          <w:rFonts w:eastAsia="Arial"/>
          <w:sz w:val="24"/>
          <w:szCs w:val="24"/>
          <w:lang w:eastAsia="ar-SA"/>
        </w:rPr>
        <w:t>–</w:t>
      </w:r>
      <w:r>
        <w:rPr>
          <w:rFonts w:eastAsia="Arial"/>
          <w:sz w:val="24"/>
          <w:szCs w:val="24"/>
          <w:lang w:eastAsia="ar-SA"/>
        </w:rPr>
        <w:t xml:space="preserve"> 38,11 mln. Eurų, paskolos poreikis – iki 34,80 mln. Eurų, nes dalis Projekto finansavimui skirtų lėšų bus sukaupta ir reinvestuota iš planuojamų surinkti rinkliavos lėšų.</w:t>
      </w:r>
    </w:p>
    <w:p w14:paraId="78B12706" w14:textId="3980412D" w:rsidR="00FD6199" w:rsidRDefault="009B0608">
      <w:pPr>
        <w:spacing w:line="276" w:lineRule="auto"/>
        <w:ind w:firstLine="851"/>
        <w:jc w:val="both"/>
        <w:rPr>
          <w:b/>
          <w:bCs/>
          <w:sz w:val="24"/>
          <w:szCs w:val="24"/>
          <w:lang w:val="en-US"/>
        </w:rPr>
      </w:pPr>
      <w:r>
        <w:rPr>
          <w:b/>
          <w:bCs/>
          <w:sz w:val="24"/>
          <w:szCs w:val="24"/>
        </w:rPr>
        <w:t xml:space="preserve">Atsižvelgdama į planuojamo įgyvendinti Projekto svarbą bei teigiamą poveikį (jį įgyvendinus) ne tik susisiekimo sektoriui, bet ir ekonomikai bei aplinkosaugai, taip pat atsižvelgdama į Kelių direkcijos pateiktus duomenis apie Projekto atsiperkamumą, Susisiekimo ministerija teikia išvadą, kad Projektą įgyvendinti yra tikslinga. Taip pat, atsižvelgdama į minėto </w:t>
      </w:r>
      <w:r w:rsidR="0069686C">
        <w:rPr>
          <w:b/>
          <w:bCs/>
          <w:sz w:val="24"/>
          <w:szCs w:val="24"/>
        </w:rPr>
        <w:t>į</w:t>
      </w:r>
      <w:r>
        <w:rPr>
          <w:b/>
          <w:bCs/>
          <w:sz w:val="24"/>
          <w:szCs w:val="24"/>
        </w:rPr>
        <w:t xml:space="preserve">statymo nuostatas, Susisiekimo ministerija siūlo Projekto finansavimą vykdyti suteikiant Kelių direkcijai valstybės iždo paskolą, kai paskola suteikiama Valstybės perskolinamų paskolų ir valstybės garantijų teikimo, suteiktų perskolinamų paskolų grąžinimo ir valstybės garantijų administravimo taisyklių nustatyta tvarka, Kelių direkcijos prašomai </w:t>
      </w:r>
      <w:r>
        <w:rPr>
          <w:b/>
          <w:bCs/>
          <w:sz w:val="24"/>
          <w:szCs w:val="24"/>
          <w:lang w:val="en-US"/>
        </w:rPr>
        <w:t>34,</w:t>
      </w:r>
      <w:r w:rsidRPr="009B0608">
        <w:rPr>
          <w:b/>
          <w:bCs/>
          <w:sz w:val="24"/>
          <w:szCs w:val="24"/>
        </w:rPr>
        <w:t>8 mln. eurų sumai, bet ne didesnei nei 90 mln. eurų sumai.</w:t>
      </w:r>
      <w:r>
        <w:rPr>
          <w:b/>
          <w:bCs/>
          <w:sz w:val="24"/>
          <w:szCs w:val="24"/>
          <w:lang w:val="en-US"/>
        </w:rPr>
        <w:t xml:space="preserve"> </w:t>
      </w:r>
    </w:p>
    <w:p w14:paraId="3F3319C6" w14:textId="7EEE19F7" w:rsidR="00FD6199" w:rsidRDefault="00FD6199">
      <w:pPr>
        <w:spacing w:line="276" w:lineRule="auto"/>
        <w:ind w:firstLine="851"/>
        <w:jc w:val="both"/>
        <w:rPr>
          <w:rFonts w:eastAsia="Arial"/>
          <w:sz w:val="24"/>
          <w:szCs w:val="24"/>
          <w:lang w:eastAsia="ar-SA"/>
        </w:rPr>
      </w:pPr>
    </w:p>
    <w:p w14:paraId="4330A31D" w14:textId="77777777" w:rsidR="00FD6199" w:rsidRDefault="00FD6199">
      <w:pPr>
        <w:pStyle w:val="Pagrindinistekstas"/>
        <w:spacing w:line="276" w:lineRule="auto"/>
        <w:ind w:firstLine="851"/>
      </w:pPr>
    </w:p>
    <w:tbl>
      <w:tblPr>
        <w:tblW w:w="9821" w:type="dxa"/>
        <w:tblLook w:val="0000" w:firstRow="0" w:lastRow="0" w:firstColumn="0" w:lastColumn="0" w:noHBand="0" w:noVBand="0"/>
      </w:tblPr>
      <w:tblGrid>
        <w:gridCol w:w="3765"/>
        <w:gridCol w:w="2772"/>
        <w:gridCol w:w="3284"/>
      </w:tblGrid>
      <w:tr w:rsidR="00FD6199" w14:paraId="006E3FFE" w14:textId="77777777">
        <w:trPr>
          <w:trHeight w:val="240"/>
        </w:trPr>
        <w:tc>
          <w:tcPr>
            <w:tcW w:w="3765" w:type="dxa"/>
          </w:tcPr>
          <w:p w14:paraId="3BEE773D" w14:textId="77777777" w:rsidR="00FD6199" w:rsidRDefault="009B0608">
            <w:pPr>
              <w:spacing w:before="480"/>
              <w:rPr>
                <w:sz w:val="24"/>
              </w:rPr>
            </w:pPr>
            <w:r>
              <w:rPr>
                <w:sz w:val="24"/>
              </w:rPr>
              <w:t>Susisiekimo viceministras</w:t>
            </w:r>
          </w:p>
        </w:tc>
        <w:tc>
          <w:tcPr>
            <w:tcW w:w="2772" w:type="dxa"/>
          </w:tcPr>
          <w:p w14:paraId="4661219F" w14:textId="77777777" w:rsidR="00FD6199" w:rsidRDefault="00FD6199">
            <w:pPr>
              <w:spacing w:before="480"/>
              <w:rPr>
                <w:sz w:val="24"/>
              </w:rPr>
            </w:pPr>
          </w:p>
        </w:tc>
        <w:tc>
          <w:tcPr>
            <w:tcW w:w="3284" w:type="dxa"/>
          </w:tcPr>
          <w:p w14:paraId="1753AF06" w14:textId="77777777" w:rsidR="00FD6199" w:rsidRDefault="009B0608">
            <w:pPr>
              <w:spacing w:before="480"/>
              <w:rPr>
                <w:sz w:val="24"/>
              </w:rPr>
            </w:pPr>
            <w:r>
              <w:rPr>
                <w:sz w:val="24"/>
              </w:rPr>
              <w:t>Julius Skačkauskas</w:t>
            </w:r>
          </w:p>
        </w:tc>
      </w:tr>
    </w:tbl>
    <w:p w14:paraId="20999957" w14:textId="77777777" w:rsidR="00FD6199" w:rsidRDefault="00FD6199">
      <w:pPr>
        <w:rPr>
          <w:sz w:val="24"/>
        </w:rPr>
      </w:pPr>
    </w:p>
    <w:p w14:paraId="3F9C5C93" w14:textId="77777777" w:rsidR="00FD6199" w:rsidRDefault="009B0608">
      <w:pPr>
        <w:pStyle w:val="Sraopastraipa"/>
        <w:keepNext/>
        <w:framePr w:w="9549" w:h="346" w:hRule="exact" w:wrap="auto" w:vAnchor="page" w:hAnchor="page" w:x="1635" w:y="15346"/>
        <w:numPr>
          <w:ilvl w:val="0"/>
          <w:numId w:val="1"/>
        </w:numPr>
        <w:rPr>
          <w:sz w:val="24"/>
          <w:lang w:val="en-US"/>
        </w:rPr>
      </w:pPr>
      <w:r>
        <w:rPr>
          <w:sz w:val="24"/>
        </w:rPr>
        <w:t xml:space="preserve">Krasočkienė, tel. (8 5) 239 3813, el. p. </w:t>
      </w:r>
      <w:proofErr w:type="spellStart"/>
      <w:r>
        <w:rPr>
          <w:sz w:val="24"/>
        </w:rPr>
        <w:t>asta.krasockiene</w:t>
      </w:r>
      <w:proofErr w:type="spellEnd"/>
      <w:r>
        <w:rPr>
          <w:sz w:val="24"/>
          <w:lang w:val="en-US"/>
        </w:rPr>
        <w:t>@sumin.lt</w:t>
      </w:r>
    </w:p>
    <w:sectPr w:rsidR="00FD6199">
      <w:headerReference w:type="default" r:id="rId10"/>
      <w:footerReference w:type="default" r:id="rId11"/>
      <w:footerReference w:type="first" r:id="rId12"/>
      <w:pgSz w:w="11906" w:h="16838"/>
      <w:pgMar w:top="851" w:right="567" w:bottom="1418" w:left="1701" w:header="567" w:footer="1361" w:gutter="0"/>
      <w:cols w:space="1296"/>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129706" w14:textId="77777777" w:rsidR="00F7188E" w:rsidRDefault="00F7188E">
      <w:r>
        <w:separator/>
      </w:r>
    </w:p>
  </w:endnote>
  <w:endnote w:type="continuationSeparator" w:id="0">
    <w:p w14:paraId="279D8326" w14:textId="77777777" w:rsidR="00F7188E" w:rsidRDefault="00F71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F319B5" w14:textId="77777777" w:rsidR="00F7188E" w:rsidRDefault="00F7188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2686E" w14:textId="77777777" w:rsidR="00F7188E" w:rsidRDefault="00F7188E">
    <w:pPr>
      <w:pStyle w:val="Porat"/>
      <w:tabs>
        <w:tab w:val="clear" w:pos="4153"/>
        <w:tab w:val="clear" w:pos="8306"/>
      </w:tabs>
      <w:jc w:val="right"/>
    </w:pPr>
    <w:r>
      <w:rPr>
        <w:noProof/>
      </w:rPr>
      <w:drawing>
        <wp:anchor distT="0" distB="0" distL="0" distR="0" simplePos="0" relativeHeight="3" behindDoc="1" locked="0" layoutInCell="1" allowOverlap="1" wp14:anchorId="7EC33076" wp14:editId="2127187A">
          <wp:simplePos x="0" y="0"/>
          <wp:positionH relativeFrom="page">
            <wp:posOffset>6264910</wp:posOffset>
          </wp:positionH>
          <wp:positionV relativeFrom="page">
            <wp:posOffset>9685020</wp:posOffset>
          </wp:positionV>
          <wp:extent cx="1112520" cy="838835"/>
          <wp:effectExtent l="0" t="0" r="0" b="0"/>
          <wp:wrapNone/>
          <wp:docPr id="3"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2"/>
                  <pic:cNvPicPr>
                    <a:picLocks noChangeAspect="1" noChangeArrowheads="1"/>
                  </pic:cNvPicPr>
                </pic:nvPicPr>
                <pic:blipFill>
                  <a:blip r:embed="rId1"/>
                  <a:stretch>
                    <a:fillRect/>
                  </a:stretch>
                </pic:blipFill>
                <pic:spPr bwMode="auto">
                  <a:xfrm>
                    <a:off x="0" y="0"/>
                    <a:ext cx="1112520" cy="83883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2E6EAE" w14:textId="77777777" w:rsidR="00F7188E" w:rsidRDefault="00F7188E">
      <w:pPr>
        <w:rPr>
          <w:sz w:val="12"/>
        </w:rPr>
      </w:pPr>
      <w:r>
        <w:separator/>
      </w:r>
    </w:p>
  </w:footnote>
  <w:footnote w:type="continuationSeparator" w:id="0">
    <w:p w14:paraId="7B0AE45F" w14:textId="77777777" w:rsidR="00F7188E" w:rsidRDefault="00F7188E">
      <w:pPr>
        <w:rPr>
          <w:sz w:val="12"/>
        </w:rPr>
      </w:pPr>
      <w:r>
        <w:continuationSeparator/>
      </w:r>
    </w:p>
  </w:footnote>
  <w:footnote w:id="1">
    <w:p w14:paraId="73E2D2AA" w14:textId="71A0673C" w:rsidR="00F7188E" w:rsidRDefault="00F7188E">
      <w:pPr>
        <w:pStyle w:val="Puslapioinaostekstas"/>
      </w:pPr>
      <w:r>
        <w:rPr>
          <w:rStyle w:val="FootnoteCharacters"/>
        </w:rPr>
        <w:footnoteRef/>
      </w:r>
      <w:r>
        <w:t xml:space="preserve"> Valstybės perskolinamų paskolų ir valstybės garantijų teikimo, suteiktų perskolinamų paskolų grąžinimo ir valstybės garantijų administravimo taisyklės, patvirtintos </w:t>
      </w:r>
      <w:r w:rsidRPr="009B0608">
        <w:t>Lietuvos Respublikos Vyriausybės</w:t>
      </w:r>
      <w:r>
        <w:t xml:space="preserve"> 2001 m. birželio 4 d. nutarimu Nr. 667 „Dėl valstybės perskolinamų paskolų ir valstybės garantijų teikimo, suteiktų perskolinamų paskolų grąžinimo ir valstybės garantijų administravimo taisyklių patvirtinimo“ (Lietuvos Respublikos Vyriausybės 2011 m. rugpjūčio 17 d. nutarimo Nr. 928 redakcija).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9F345B" w14:textId="77777777" w:rsidR="00F7188E" w:rsidRDefault="00F7188E">
    <w:pPr>
      <w:pStyle w:val="Antrats"/>
    </w:pPr>
    <w:r>
      <w:rPr>
        <w:noProof/>
      </w:rPr>
      <mc:AlternateContent>
        <mc:Choice Requires="wps">
          <w:drawing>
            <wp:anchor distT="0" distB="0" distL="0" distR="0" simplePos="0" relativeHeight="6" behindDoc="0" locked="0" layoutInCell="1" allowOverlap="1" wp14:anchorId="07377165" wp14:editId="7505E8DC">
              <wp:simplePos x="0" y="0"/>
              <wp:positionH relativeFrom="margin">
                <wp:align>center</wp:align>
              </wp:positionH>
              <wp:positionV relativeFrom="paragraph">
                <wp:posOffset>635</wp:posOffset>
              </wp:positionV>
              <wp:extent cx="64135" cy="146685"/>
              <wp:effectExtent l="0" t="0" r="0" b="0"/>
              <wp:wrapSquare wrapText="largest"/>
              <wp:docPr id="2" name="Frame2"/>
              <wp:cNvGraphicFramePr/>
              <a:graphic xmlns:a="http://schemas.openxmlformats.org/drawingml/2006/main">
                <a:graphicData uri="http://schemas.microsoft.com/office/word/2010/wordprocessingShape">
                  <wps:wsp>
                    <wps:cNvSpPr txBox="1"/>
                    <wps:spPr>
                      <a:xfrm>
                        <a:off x="0" y="0"/>
                        <a:ext cx="64135" cy="146685"/>
                      </a:xfrm>
                      <a:prstGeom prst="rect">
                        <a:avLst/>
                      </a:prstGeom>
                      <a:solidFill>
                        <a:srgbClr val="FFFFFF">
                          <a:alpha val="0"/>
                        </a:srgbClr>
                      </a:solidFill>
                    </wps:spPr>
                    <wps:txbx>
                      <w:txbxContent>
                        <w:p w14:paraId="79A79C0D" w14:textId="77777777" w:rsidR="00F7188E" w:rsidRDefault="00F7188E">
                          <w:pPr>
                            <w:pStyle w:val="Antrats"/>
                          </w:pPr>
                          <w:r>
                            <w:rPr>
                              <w:rStyle w:val="Puslapionumeris"/>
                            </w:rPr>
                            <w:fldChar w:fldCharType="begin"/>
                          </w:r>
                          <w:r>
                            <w:rPr>
                              <w:rStyle w:val="Puslapionumeris"/>
                            </w:rPr>
                            <w:instrText>PAGE</w:instrText>
                          </w:r>
                          <w:r>
                            <w:rPr>
                              <w:rStyle w:val="Puslapionumeris"/>
                            </w:rPr>
                            <w:fldChar w:fldCharType="separate"/>
                          </w:r>
                          <w:r>
                            <w:rPr>
                              <w:rStyle w:val="Puslapionumeris"/>
                            </w:rPr>
                            <w:t>3</w:t>
                          </w:r>
                          <w:r>
                            <w:rPr>
                              <w:rStyle w:val="Puslapionumeris"/>
                            </w:rPr>
                            <w:fldChar w:fldCharType="end"/>
                          </w:r>
                        </w:p>
                      </w:txbxContent>
                    </wps:txbx>
                    <wps:bodyPr lIns="0" tIns="0" rIns="0" bIns="0" anchor="t">
                      <a:sp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8.45pt;mso-position-horizontal:center;mso-position-horizontal-relative:margin">
              <v:fill opacity="0f"/>
              <v:textbox inset="0in,0in,0in,0in">
                <w:txbxContent>
                  <w:p>
                    <w:pPr>
                      <w:pStyle w:val="Header"/>
                      <w:pBdr/>
                      <w:rPr/>
                    </w:pPr>
                    <w:r>
                      <w:rPr>
                        <w:rStyle w:val="Pagenumber"/>
                      </w:rPr>
                      <w:fldChar w:fldCharType="begin"/>
                    </w:r>
                    <w:r>
                      <w:rPr>
                        <w:rStyle w:val="Pagenumber"/>
                      </w:rPr>
                      <w:instrText> PAGE </w:instrText>
                    </w:r>
                    <w:r>
                      <w:rPr>
                        <w:rStyle w:val="Pagenumber"/>
                      </w:rPr>
                      <w:fldChar w:fldCharType="separate"/>
                    </w:r>
                    <w:r>
                      <w:rPr>
                        <w:rStyle w:val="Pagenumber"/>
                      </w:rPr>
                      <w:t>3</w:t>
                    </w:r>
                    <w:r>
                      <w:rPr>
                        <w:rStyle w:val="Pagenumber"/>
                      </w:rPr>
                      <w:fldChar w:fldCharType="end"/>
                    </w:r>
                  </w:p>
                </w:txbxContent>
              </v:textbox>
              <w10:wrap type="square" side="larges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E3449F"/>
    <w:multiLevelType w:val="multilevel"/>
    <w:tmpl w:val="729E9D9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1F273D3"/>
    <w:multiLevelType w:val="multilevel"/>
    <w:tmpl w:val="5EFEBEF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851"/>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199"/>
    <w:rsid w:val="00474196"/>
    <w:rsid w:val="0069686C"/>
    <w:rsid w:val="00972545"/>
    <w:rsid w:val="009B0608"/>
    <w:rsid w:val="00F7188E"/>
    <w:rsid w:val="00FD619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8E94CBB"/>
  <w15:docId w15:val="{15095406-FCFA-4542-8180-57AC6B3E5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A3598"/>
    <w:rPr>
      <w:lang w:eastAsia="en-US"/>
    </w:rPr>
  </w:style>
  <w:style w:type="paragraph" w:styleId="Antrat1">
    <w:name w:val="heading 1"/>
    <w:basedOn w:val="prastasis"/>
    <w:next w:val="prastasis"/>
    <w:qFormat/>
    <w:rsid w:val="004A3598"/>
    <w:pPr>
      <w:keepNext/>
      <w:ind w:firstLine="1247"/>
      <w:outlineLvl w:val="0"/>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qFormat/>
    <w:rsid w:val="004A3598"/>
  </w:style>
  <w:style w:type="character" w:customStyle="1" w:styleId="DebesliotekstasDiagrama">
    <w:name w:val="Debesėlio tekstas Diagrama"/>
    <w:basedOn w:val="Numatytasispastraiposriftas"/>
    <w:link w:val="Debesliotekstas"/>
    <w:qFormat/>
    <w:rsid w:val="003906DE"/>
    <w:rPr>
      <w:rFonts w:ascii="Tahoma" w:hAnsi="Tahoma" w:cs="Tahoma"/>
      <w:sz w:val="16"/>
      <w:szCs w:val="16"/>
      <w:lang w:val="en-GB" w:eastAsia="en-US"/>
    </w:rPr>
  </w:style>
  <w:style w:type="character" w:styleId="Vietosrezervavimoenklotekstas">
    <w:name w:val="Placeholder Text"/>
    <w:basedOn w:val="Numatytasispastraiposriftas"/>
    <w:uiPriority w:val="99"/>
    <w:semiHidden/>
    <w:qFormat/>
    <w:rsid w:val="00B331FB"/>
    <w:rPr>
      <w:color w:val="808080"/>
    </w:rPr>
  </w:style>
  <w:style w:type="character" w:customStyle="1" w:styleId="PuslapioinaostekstasDiagrama">
    <w:name w:val="Puslapio išnašos tekstas Diagrama"/>
    <w:basedOn w:val="Numatytasispastraiposriftas"/>
    <w:link w:val="Puslapioinaostekstas"/>
    <w:semiHidden/>
    <w:qFormat/>
    <w:rsid w:val="00D5664A"/>
    <w:rPr>
      <w:lang w:eastAsia="en-US"/>
    </w:rPr>
  </w:style>
  <w:style w:type="character" w:customStyle="1" w:styleId="FootnoteCharacters">
    <w:name w:val="Footnote Characters"/>
    <w:basedOn w:val="Numatytasispastraiposriftas"/>
    <w:semiHidden/>
    <w:unhideWhenUsed/>
    <w:qFormat/>
    <w:rsid w:val="00D5664A"/>
    <w:rPr>
      <w:vertAlign w:val="superscript"/>
    </w:rPr>
  </w:style>
  <w:style w:type="character" w:customStyle="1" w:styleId="FootnoteAnchor">
    <w:name w:val="Footnote Anchor"/>
    <w:rPr>
      <w:vertAlign w:val="superscript"/>
    </w:rPr>
  </w:style>
  <w:style w:type="character" w:customStyle="1" w:styleId="BodyTextVSDChar">
    <w:name w:val="Body Text VSD Char"/>
    <w:basedOn w:val="Numatytasispastraiposriftas"/>
    <w:link w:val="BodyTextVSD"/>
    <w:qFormat/>
    <w:locked/>
    <w:rsid w:val="009F363C"/>
    <w:rPr>
      <w:rFonts w:ascii="Trebuchet MS" w:eastAsia="Arial" w:hAnsi="Trebuchet MS" w:cs="Arial"/>
      <w:color w:val="244061" w:themeColor="accent1" w:themeShade="80"/>
      <w:sz w:val="24"/>
      <w:szCs w:val="24"/>
      <w:lang w:eastAsia="ar-SA"/>
    </w:rPr>
  </w:style>
  <w:style w:type="character" w:customStyle="1" w:styleId="PagrindinistekstasDiagrama">
    <w:name w:val="Pagrindinis tekstas Diagrama"/>
    <w:basedOn w:val="Numatytasispastraiposriftas"/>
    <w:link w:val="Pagrindinistekstas"/>
    <w:qFormat/>
    <w:rsid w:val="00C94475"/>
    <w:rPr>
      <w:sz w:val="24"/>
      <w:lang w:eastAsia="en-US"/>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link w:val="PagrindinistekstasDiagrama"/>
    <w:rsid w:val="004A3598"/>
    <w:pPr>
      <w:ind w:firstLine="1247"/>
      <w:jc w:val="both"/>
    </w:pPr>
    <w:rPr>
      <w:sz w:val="24"/>
    </w:r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qFormat/>
    <w:pPr>
      <w:suppressLineNumbers/>
    </w:pPr>
    <w:rPr>
      <w:rFonts w:cs="Mangal"/>
    </w:rPr>
  </w:style>
  <w:style w:type="paragraph" w:customStyle="1" w:styleId="HeaderandFooter">
    <w:name w:val="Header and Footer"/>
    <w:basedOn w:val="prastasis"/>
    <w:qFormat/>
  </w:style>
  <w:style w:type="paragraph" w:styleId="Antrats">
    <w:name w:val="header"/>
    <w:basedOn w:val="prastasis"/>
    <w:rsid w:val="004A3598"/>
    <w:pPr>
      <w:tabs>
        <w:tab w:val="center" w:pos="4153"/>
        <w:tab w:val="right" w:pos="8306"/>
      </w:tabs>
    </w:pPr>
  </w:style>
  <w:style w:type="paragraph" w:styleId="Porat">
    <w:name w:val="footer"/>
    <w:basedOn w:val="prastasis"/>
    <w:rsid w:val="004A3598"/>
    <w:pPr>
      <w:tabs>
        <w:tab w:val="center" w:pos="4153"/>
        <w:tab w:val="right" w:pos="8306"/>
      </w:tabs>
    </w:pPr>
  </w:style>
  <w:style w:type="paragraph" w:styleId="Debesliotekstas">
    <w:name w:val="Balloon Text"/>
    <w:basedOn w:val="prastasis"/>
    <w:link w:val="DebesliotekstasDiagrama"/>
    <w:qFormat/>
    <w:rsid w:val="003906DE"/>
    <w:rPr>
      <w:rFonts w:ascii="Tahoma" w:hAnsi="Tahoma" w:cs="Tahoma"/>
      <w:sz w:val="16"/>
      <w:szCs w:val="16"/>
    </w:rPr>
  </w:style>
  <w:style w:type="paragraph" w:styleId="Puslapioinaostekstas">
    <w:name w:val="footnote text"/>
    <w:basedOn w:val="prastasis"/>
    <w:link w:val="PuslapioinaostekstasDiagrama"/>
    <w:semiHidden/>
    <w:unhideWhenUsed/>
    <w:rsid w:val="00D5664A"/>
  </w:style>
  <w:style w:type="paragraph" w:customStyle="1" w:styleId="BodyTextVSD">
    <w:name w:val="Body Text VSD"/>
    <w:basedOn w:val="prastasis"/>
    <w:link w:val="BodyTextVSDChar"/>
    <w:qFormat/>
    <w:rsid w:val="009F363C"/>
    <w:pPr>
      <w:snapToGrid w:val="0"/>
      <w:spacing w:before="120" w:after="120" w:line="300" w:lineRule="auto"/>
      <w:ind w:firstLine="851"/>
      <w:jc w:val="both"/>
    </w:pPr>
    <w:rPr>
      <w:rFonts w:ascii="Trebuchet MS" w:eastAsia="Arial" w:hAnsi="Trebuchet MS" w:cs="Arial"/>
      <w:color w:val="244061" w:themeColor="accent1" w:themeShade="80"/>
      <w:sz w:val="24"/>
      <w:szCs w:val="24"/>
      <w:lang w:eastAsia="ar-SA"/>
    </w:rPr>
  </w:style>
  <w:style w:type="paragraph" w:styleId="Sraopastraipa">
    <w:name w:val="List Paragraph"/>
    <w:basedOn w:val="prastasis"/>
    <w:uiPriority w:val="34"/>
    <w:qFormat/>
    <w:rsid w:val="00B908AE"/>
    <w:pPr>
      <w:ind w:left="720"/>
      <w:contextualSpacing/>
    </w:pPr>
  </w:style>
  <w:style w:type="paragraph" w:customStyle="1" w:styleId="FrameContents">
    <w:name w:val="Frame Contents"/>
    <w:basedOn w:val="prastasis"/>
    <w:qFormat/>
  </w:style>
  <w:style w:type="table" w:styleId="Lentelstinklelis">
    <w:name w:val="Table Grid"/>
    <w:basedOn w:val="prastojilentel"/>
    <w:rsid w:val="00DD3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892943-205B-4102-BFE3-08E113D0D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2864</Words>
  <Characters>1633</Characters>
  <Application>Microsoft Office Word</Application>
  <DocSecurity>4</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sm</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Zita Nemaniene</dc:creator>
  <cp:lastModifiedBy>Alma Vaitkunskienė</cp:lastModifiedBy>
  <cp:revision>2</cp:revision>
  <cp:lastPrinted>2020-02-04T14:31:00Z</cp:lastPrinted>
  <dcterms:created xsi:type="dcterms:W3CDTF">2021-04-09T09:08:00Z</dcterms:created>
  <dcterms:modified xsi:type="dcterms:W3CDTF">2021-04-09T09:08:00Z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