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7A5" w:rsidRPr="009A355D" w:rsidRDefault="009237A5" w:rsidP="009237A5">
      <w:pPr>
        <w:jc w:val="center"/>
      </w:pPr>
      <w:bookmarkStart w:id="0" w:name="_GoBack"/>
      <w:bookmarkEnd w:id="0"/>
      <w:r w:rsidRPr="009A355D">
        <w:rPr>
          <w:noProof/>
          <w:lang w:val="en-GB" w:eastAsia="en-GB"/>
        </w:rPr>
        <w:drawing>
          <wp:inline distT="0" distB="0" distL="0" distR="0" wp14:anchorId="236339F0" wp14:editId="30B268CE">
            <wp:extent cx="619125" cy="600075"/>
            <wp:effectExtent l="0" t="0" r="9525"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00075"/>
                    </a:xfrm>
                    <a:prstGeom prst="rect">
                      <a:avLst/>
                    </a:prstGeom>
                    <a:noFill/>
                    <a:ln>
                      <a:noFill/>
                    </a:ln>
                  </pic:spPr>
                </pic:pic>
              </a:graphicData>
            </a:graphic>
          </wp:inline>
        </w:drawing>
      </w:r>
    </w:p>
    <w:p w:rsidR="009237A5" w:rsidRPr="009A355D" w:rsidRDefault="009237A5" w:rsidP="009237A5">
      <w:pPr>
        <w:jc w:val="center"/>
        <w:rPr>
          <w:sz w:val="16"/>
          <w:szCs w:val="16"/>
        </w:rPr>
      </w:pPr>
    </w:p>
    <w:p w:rsidR="009237A5" w:rsidRPr="009A355D" w:rsidRDefault="009237A5" w:rsidP="009237A5">
      <w:pPr>
        <w:jc w:val="center"/>
        <w:rPr>
          <w:b/>
          <w:szCs w:val="24"/>
        </w:rPr>
      </w:pPr>
      <w:r w:rsidRPr="009A355D">
        <w:rPr>
          <w:b/>
          <w:szCs w:val="24"/>
        </w:rPr>
        <w:t>VILNIAUS MIESTO SAVIVALDYBĖS ADMINISTRACIJOS</w:t>
      </w:r>
    </w:p>
    <w:p w:rsidR="009237A5" w:rsidRPr="009A355D" w:rsidRDefault="009237A5" w:rsidP="009237A5">
      <w:pPr>
        <w:jc w:val="center"/>
        <w:rPr>
          <w:b/>
          <w:szCs w:val="24"/>
        </w:rPr>
      </w:pPr>
      <w:r w:rsidRPr="009A355D">
        <w:rPr>
          <w:b/>
          <w:szCs w:val="24"/>
        </w:rPr>
        <w:t>ENERGETIKOS SKYRIUS</w:t>
      </w:r>
    </w:p>
    <w:p w:rsidR="009237A5" w:rsidRPr="009A355D" w:rsidRDefault="009237A5" w:rsidP="009237A5">
      <w:pPr>
        <w:jc w:val="center"/>
        <w:rPr>
          <w:b/>
          <w:sz w:val="16"/>
          <w:szCs w:val="16"/>
        </w:rPr>
      </w:pPr>
    </w:p>
    <w:p w:rsidR="009237A5" w:rsidRPr="009A355D" w:rsidRDefault="009237A5" w:rsidP="009237A5">
      <w:pPr>
        <w:rPr>
          <w:sz w:val="4"/>
          <w:szCs w:val="4"/>
        </w:rPr>
      </w:pPr>
    </w:p>
    <w:tbl>
      <w:tblPr>
        <w:tblW w:w="10108" w:type="dxa"/>
        <w:tblInd w:w="-34" w:type="dxa"/>
        <w:tblLayout w:type="fixed"/>
        <w:tblLook w:val="0000" w:firstRow="0" w:lastRow="0" w:firstColumn="0" w:lastColumn="0" w:noHBand="0" w:noVBand="0"/>
      </w:tblPr>
      <w:tblGrid>
        <w:gridCol w:w="4820"/>
        <w:gridCol w:w="383"/>
        <w:gridCol w:w="1240"/>
        <w:gridCol w:w="503"/>
        <w:gridCol w:w="3162"/>
      </w:tblGrid>
      <w:tr w:rsidR="009237A5" w:rsidRPr="009A355D" w:rsidTr="0020191D">
        <w:trPr>
          <w:trHeight w:val="80"/>
        </w:trPr>
        <w:tc>
          <w:tcPr>
            <w:tcW w:w="4820" w:type="dxa"/>
          </w:tcPr>
          <w:p w:rsidR="009237A5" w:rsidRPr="009A355D" w:rsidRDefault="009237A5" w:rsidP="0020191D">
            <w:pPr>
              <w:rPr>
                <w:szCs w:val="24"/>
              </w:rPr>
            </w:pPr>
          </w:p>
        </w:tc>
        <w:tc>
          <w:tcPr>
            <w:tcW w:w="383" w:type="dxa"/>
          </w:tcPr>
          <w:p w:rsidR="009237A5" w:rsidRPr="009A355D" w:rsidRDefault="009237A5" w:rsidP="0020191D">
            <w:pPr>
              <w:ind w:left="33" w:hanging="33"/>
              <w:rPr>
                <w:szCs w:val="24"/>
              </w:rPr>
            </w:pPr>
          </w:p>
        </w:tc>
        <w:tc>
          <w:tcPr>
            <w:tcW w:w="1240" w:type="dxa"/>
          </w:tcPr>
          <w:p w:rsidR="009237A5" w:rsidRPr="009A355D" w:rsidRDefault="009237A5" w:rsidP="0020191D">
            <w:pPr>
              <w:ind w:right="-108" w:hanging="108"/>
              <w:rPr>
                <w:szCs w:val="24"/>
              </w:rPr>
            </w:pPr>
          </w:p>
        </w:tc>
        <w:tc>
          <w:tcPr>
            <w:tcW w:w="503" w:type="dxa"/>
          </w:tcPr>
          <w:p w:rsidR="009237A5" w:rsidRPr="009A355D" w:rsidRDefault="009237A5" w:rsidP="0020191D">
            <w:pPr>
              <w:ind w:right="-250"/>
              <w:rPr>
                <w:szCs w:val="24"/>
              </w:rPr>
            </w:pPr>
          </w:p>
        </w:tc>
        <w:tc>
          <w:tcPr>
            <w:tcW w:w="3162" w:type="dxa"/>
          </w:tcPr>
          <w:p w:rsidR="009237A5" w:rsidRPr="009A355D" w:rsidRDefault="009237A5" w:rsidP="0020191D">
            <w:pPr>
              <w:rPr>
                <w:szCs w:val="24"/>
              </w:rPr>
            </w:pPr>
          </w:p>
        </w:tc>
      </w:tr>
    </w:tbl>
    <w:p w:rsidR="009237A5" w:rsidRPr="009A355D" w:rsidRDefault="009237A5" w:rsidP="009237A5">
      <w:pPr>
        <w:tabs>
          <w:tab w:val="left" w:pos="195"/>
        </w:tabs>
      </w:pPr>
    </w:p>
    <w:tbl>
      <w:tblPr>
        <w:tblW w:w="9639" w:type="dxa"/>
        <w:jc w:val="center"/>
        <w:tblLayout w:type="fixed"/>
        <w:tblLook w:val="01E0" w:firstRow="1" w:lastRow="1" w:firstColumn="1" w:lastColumn="1" w:noHBand="0" w:noVBand="0"/>
      </w:tblPr>
      <w:tblGrid>
        <w:gridCol w:w="4395"/>
        <w:gridCol w:w="425"/>
        <w:gridCol w:w="4819"/>
      </w:tblGrid>
      <w:tr w:rsidR="009237A5" w:rsidRPr="009A355D" w:rsidTr="0020191D">
        <w:trPr>
          <w:jc w:val="center"/>
        </w:trPr>
        <w:tc>
          <w:tcPr>
            <w:tcW w:w="4395" w:type="dxa"/>
          </w:tcPr>
          <w:p w:rsidR="009237A5" w:rsidRPr="009A355D" w:rsidRDefault="009237A5" w:rsidP="0020191D">
            <w:pPr>
              <w:spacing w:line="276" w:lineRule="auto"/>
              <w:ind w:left="-108"/>
              <w:jc w:val="both"/>
              <w:rPr>
                <w:szCs w:val="24"/>
              </w:rPr>
            </w:pPr>
            <w:r w:rsidRPr="009A355D">
              <w:rPr>
                <w:szCs w:val="24"/>
              </w:rPr>
              <w:t>Lietuvos savivaldybių asociacija</w:t>
            </w:r>
          </w:p>
          <w:p w:rsidR="009237A5" w:rsidRPr="009A355D" w:rsidRDefault="009237A5" w:rsidP="0020191D">
            <w:pPr>
              <w:spacing w:line="276" w:lineRule="auto"/>
              <w:ind w:left="-108"/>
              <w:jc w:val="both"/>
              <w:rPr>
                <w:szCs w:val="24"/>
              </w:rPr>
            </w:pPr>
          </w:p>
        </w:tc>
        <w:tc>
          <w:tcPr>
            <w:tcW w:w="425" w:type="dxa"/>
          </w:tcPr>
          <w:p w:rsidR="009237A5" w:rsidRPr="009A355D" w:rsidRDefault="009237A5" w:rsidP="0020191D">
            <w:pPr>
              <w:tabs>
                <w:tab w:val="right" w:pos="271"/>
                <w:tab w:val="center" w:pos="581"/>
              </w:tabs>
              <w:spacing w:line="276" w:lineRule="auto"/>
              <w:rPr>
                <w:szCs w:val="24"/>
              </w:rPr>
            </w:pPr>
            <w:r w:rsidRPr="009A355D">
              <w:rPr>
                <w:szCs w:val="24"/>
              </w:rPr>
              <w:t xml:space="preserve">  </w:t>
            </w:r>
          </w:p>
          <w:p w:rsidR="009237A5" w:rsidRPr="009A355D" w:rsidRDefault="009237A5" w:rsidP="0020191D">
            <w:pPr>
              <w:tabs>
                <w:tab w:val="right" w:pos="271"/>
                <w:tab w:val="center" w:pos="581"/>
              </w:tabs>
              <w:spacing w:line="276" w:lineRule="auto"/>
              <w:rPr>
                <w:szCs w:val="24"/>
              </w:rPr>
            </w:pPr>
            <w:r w:rsidRPr="009A355D">
              <w:rPr>
                <w:szCs w:val="24"/>
              </w:rPr>
              <w:t>Į</w:t>
            </w:r>
          </w:p>
          <w:p w:rsidR="009237A5" w:rsidRPr="009A355D" w:rsidRDefault="009237A5" w:rsidP="0020191D">
            <w:pPr>
              <w:tabs>
                <w:tab w:val="right" w:pos="271"/>
                <w:tab w:val="center" w:pos="581"/>
              </w:tabs>
              <w:spacing w:line="276" w:lineRule="auto"/>
              <w:rPr>
                <w:szCs w:val="24"/>
              </w:rPr>
            </w:pPr>
          </w:p>
        </w:tc>
        <w:tc>
          <w:tcPr>
            <w:tcW w:w="4819" w:type="dxa"/>
          </w:tcPr>
          <w:p w:rsidR="009237A5" w:rsidRPr="009A355D" w:rsidRDefault="009237A5" w:rsidP="0020191D">
            <w:pPr>
              <w:spacing w:line="276" w:lineRule="auto"/>
              <w:ind w:right="-108"/>
              <w:jc w:val="both"/>
              <w:rPr>
                <w:szCs w:val="24"/>
              </w:rPr>
            </w:pPr>
            <w:r w:rsidRPr="009A355D">
              <w:rPr>
                <w:szCs w:val="24"/>
              </w:rPr>
              <w:t>2021-0</w:t>
            </w:r>
            <w:r>
              <w:rPr>
                <w:szCs w:val="24"/>
              </w:rPr>
              <w:t>8</w:t>
            </w:r>
            <w:r w:rsidRPr="009A355D">
              <w:rPr>
                <w:szCs w:val="24"/>
              </w:rPr>
              <w:t xml:space="preserve">-       Nr. </w:t>
            </w:r>
            <w:r w:rsidR="004F5D5E">
              <w:rPr>
                <w:szCs w:val="24"/>
              </w:rPr>
              <w:t>A51-          /21(3.3.2.26E-ENE</w:t>
            </w:r>
          </w:p>
        </w:tc>
      </w:tr>
      <w:tr w:rsidR="009237A5" w:rsidRPr="009A355D" w:rsidTr="0020191D">
        <w:trPr>
          <w:jc w:val="center"/>
        </w:trPr>
        <w:tc>
          <w:tcPr>
            <w:tcW w:w="4395" w:type="dxa"/>
          </w:tcPr>
          <w:p w:rsidR="009237A5" w:rsidRPr="009A355D" w:rsidRDefault="009237A5" w:rsidP="0020191D">
            <w:pPr>
              <w:spacing w:line="276" w:lineRule="auto"/>
              <w:jc w:val="both"/>
              <w:rPr>
                <w:szCs w:val="24"/>
              </w:rPr>
            </w:pPr>
          </w:p>
        </w:tc>
        <w:tc>
          <w:tcPr>
            <w:tcW w:w="425" w:type="dxa"/>
          </w:tcPr>
          <w:p w:rsidR="009237A5" w:rsidRPr="009A355D" w:rsidRDefault="009237A5" w:rsidP="0020191D">
            <w:pPr>
              <w:tabs>
                <w:tab w:val="right" w:pos="271"/>
                <w:tab w:val="center" w:pos="581"/>
              </w:tabs>
              <w:spacing w:line="276" w:lineRule="auto"/>
              <w:rPr>
                <w:szCs w:val="24"/>
              </w:rPr>
            </w:pPr>
          </w:p>
        </w:tc>
        <w:tc>
          <w:tcPr>
            <w:tcW w:w="4819" w:type="dxa"/>
          </w:tcPr>
          <w:p w:rsidR="009237A5" w:rsidRPr="009A355D" w:rsidRDefault="009237A5" w:rsidP="0020191D">
            <w:pPr>
              <w:spacing w:line="276" w:lineRule="auto"/>
              <w:ind w:right="-108"/>
              <w:jc w:val="both"/>
              <w:rPr>
                <w:szCs w:val="24"/>
              </w:rPr>
            </w:pPr>
          </w:p>
        </w:tc>
      </w:tr>
    </w:tbl>
    <w:p w:rsidR="009237A5" w:rsidRDefault="009237A5" w:rsidP="009237A5">
      <w:pPr>
        <w:tabs>
          <w:tab w:val="left" w:pos="709"/>
        </w:tabs>
        <w:spacing w:line="276" w:lineRule="auto"/>
        <w:jc w:val="both"/>
        <w:rPr>
          <w:b/>
          <w:szCs w:val="24"/>
        </w:rPr>
      </w:pPr>
      <w:r>
        <w:rPr>
          <w:b/>
          <w:szCs w:val="24"/>
        </w:rPr>
        <w:t xml:space="preserve">DĖL </w:t>
      </w:r>
      <w:r w:rsidRPr="00C437B7">
        <w:rPr>
          <w:b/>
          <w:szCs w:val="24"/>
        </w:rPr>
        <w:t>LIETUVOS RESPUBLIKOS</w:t>
      </w:r>
      <w:r>
        <w:rPr>
          <w:b/>
          <w:szCs w:val="24"/>
        </w:rPr>
        <w:t xml:space="preserve"> </w:t>
      </w:r>
      <w:r w:rsidRPr="00C437B7">
        <w:rPr>
          <w:b/>
          <w:szCs w:val="24"/>
        </w:rPr>
        <w:t>MOKESČIO UŽ APLINKOS TERŠIMĄ ĮSTATYMO NR. VIII-1183 2, 4, 5, 6, 7, 9 STRAIPSNIŲ IR 8 PRIEDO PAKEITIMO</w:t>
      </w:r>
      <w:r>
        <w:rPr>
          <w:b/>
          <w:szCs w:val="24"/>
        </w:rPr>
        <w:t xml:space="preserve"> </w:t>
      </w:r>
      <w:r w:rsidRPr="00C437B7">
        <w:rPr>
          <w:b/>
          <w:szCs w:val="24"/>
        </w:rPr>
        <w:t>ĮSTATYM</w:t>
      </w:r>
      <w:r>
        <w:rPr>
          <w:b/>
          <w:szCs w:val="24"/>
        </w:rPr>
        <w:t>O PROJEKTO</w:t>
      </w:r>
    </w:p>
    <w:p w:rsidR="009237A5" w:rsidRPr="009A355D" w:rsidRDefault="009237A5" w:rsidP="009237A5">
      <w:pPr>
        <w:tabs>
          <w:tab w:val="left" w:pos="709"/>
        </w:tabs>
        <w:spacing w:line="276" w:lineRule="auto"/>
        <w:jc w:val="both"/>
        <w:rPr>
          <w:b/>
          <w:szCs w:val="24"/>
        </w:rPr>
      </w:pPr>
    </w:p>
    <w:p w:rsidR="009237A5" w:rsidRPr="002E5772" w:rsidRDefault="009237A5" w:rsidP="009237A5">
      <w:pPr>
        <w:pStyle w:val="Tekstas"/>
        <w:spacing w:line="360" w:lineRule="auto"/>
        <w:rPr>
          <w:rFonts w:ascii="Times New Roman" w:eastAsia="Times New Roman" w:hAnsi="Times New Roman" w:cs="Times New Roman"/>
          <w:bCs/>
          <w:sz w:val="24"/>
          <w:lang w:val="lt-LT"/>
        </w:rPr>
      </w:pPr>
      <w:r>
        <w:rPr>
          <w:rFonts w:ascii="Times New Roman" w:eastAsia="Times New Roman" w:hAnsi="Times New Roman" w:cs="Times New Roman"/>
          <w:bCs/>
          <w:sz w:val="24"/>
          <w:lang w:val="lt-LT"/>
        </w:rPr>
        <w:t xml:space="preserve">Įvertinę </w:t>
      </w:r>
      <w:r w:rsidRPr="00C437B7">
        <w:rPr>
          <w:rFonts w:ascii="Times New Roman" w:eastAsia="Times New Roman" w:hAnsi="Times New Roman" w:cs="Times New Roman"/>
          <w:bCs/>
          <w:sz w:val="24"/>
          <w:lang w:val="lt-LT"/>
        </w:rPr>
        <w:t>Lietuvos Respublikos mokesčio už aplinkos teršimą įstatymo Nr. VIII -1183 2, 4, 5, 6, 7, 9 straipsnių ir 8 priedo pakeitimo įstatymo projekt</w:t>
      </w:r>
      <w:r>
        <w:rPr>
          <w:rFonts w:ascii="Times New Roman" w:eastAsia="Times New Roman" w:hAnsi="Times New Roman" w:cs="Times New Roman"/>
          <w:bCs/>
          <w:sz w:val="24"/>
          <w:lang w:val="lt-LT"/>
        </w:rPr>
        <w:t>ą</w:t>
      </w:r>
      <w:r w:rsidRPr="00C437B7">
        <w:rPr>
          <w:rFonts w:ascii="Times New Roman" w:eastAsia="Times New Roman" w:hAnsi="Times New Roman" w:cs="Times New Roman"/>
          <w:bCs/>
          <w:sz w:val="24"/>
          <w:lang w:val="lt-LT"/>
        </w:rPr>
        <w:t xml:space="preserve"> Nr. 21-27812 (toliau - Projektas), </w:t>
      </w:r>
      <w:r>
        <w:rPr>
          <w:rFonts w:ascii="Times New Roman" w:eastAsia="Times New Roman" w:hAnsi="Times New Roman" w:cs="Times New Roman"/>
          <w:bCs/>
          <w:sz w:val="24"/>
          <w:lang w:val="lt-LT"/>
        </w:rPr>
        <w:t xml:space="preserve">pažymime, kad nepritariame Projektui dėl </w:t>
      </w:r>
      <w:r w:rsidRPr="002E5772">
        <w:rPr>
          <w:rFonts w:ascii="Times New Roman" w:eastAsia="Times New Roman" w:hAnsi="Times New Roman" w:cs="Times New Roman"/>
          <w:bCs/>
          <w:sz w:val="24"/>
          <w:lang w:val="lt-LT"/>
        </w:rPr>
        <w:t>žemiau nurodytų argumentų:</w:t>
      </w:r>
    </w:p>
    <w:p w:rsidR="009237A5" w:rsidRPr="002E5772" w:rsidRDefault="009237A5" w:rsidP="009237A5">
      <w:pPr>
        <w:pStyle w:val="Tekstas"/>
        <w:spacing w:line="360" w:lineRule="auto"/>
        <w:rPr>
          <w:rFonts w:ascii="Times New Roman" w:eastAsia="Times New Roman" w:hAnsi="Times New Roman" w:cs="Times New Roman"/>
          <w:bCs/>
          <w:sz w:val="24"/>
          <w:lang w:val="lt-LT"/>
        </w:rPr>
      </w:pPr>
      <w:r w:rsidRPr="002E5772">
        <w:rPr>
          <w:rFonts w:ascii="Times New Roman" w:eastAsia="Times New Roman" w:hAnsi="Times New Roman" w:cs="Times New Roman"/>
          <w:bCs/>
          <w:sz w:val="24"/>
          <w:lang w:val="lt-LT"/>
        </w:rPr>
        <w:t>1.</w:t>
      </w:r>
      <w:r w:rsidRPr="002E5772">
        <w:rPr>
          <w:rFonts w:ascii="Times New Roman" w:eastAsia="Times New Roman" w:hAnsi="Times New Roman" w:cs="Times New Roman"/>
          <w:bCs/>
          <w:sz w:val="24"/>
          <w:lang w:val="lt-LT"/>
        </w:rPr>
        <w:tab/>
        <w:t>Mokesčio už aplinkos teršimą sąvartyne nustatymo šalinamoms atliekoms siekis yra mažinti šalinamų sąvartyne atliekų kiekius, todėl pirmiausia šią problemą reikia spręsti vystant bei skatinant perdirbamų produktų gamybą ir/ar importą bei alternatyvius atliekų tvarkymo būdus.</w:t>
      </w:r>
      <w:r w:rsidRPr="002E5772">
        <w:rPr>
          <w:lang w:val="lt-LT"/>
        </w:rPr>
        <w:t xml:space="preserve"> </w:t>
      </w:r>
      <w:r w:rsidRPr="002E5772">
        <w:rPr>
          <w:rFonts w:ascii="Times New Roman" w:hAnsi="Times New Roman" w:cs="Times New Roman"/>
          <w:sz w:val="24"/>
          <w:lang w:val="lt-LT"/>
        </w:rPr>
        <w:t>Manytina, jog mokesčio už aplinkos teršimą sąvartyne keitimo klausimas</w:t>
      </w:r>
      <w:r>
        <w:rPr>
          <w:rFonts w:ascii="Times New Roman" w:hAnsi="Times New Roman" w:cs="Times New Roman"/>
          <w:sz w:val="24"/>
          <w:lang w:val="lt-LT"/>
        </w:rPr>
        <w:t xml:space="preserve"> gali būti svarstomas tik tuomet,</w:t>
      </w:r>
      <w:r w:rsidRPr="002E5772">
        <w:rPr>
          <w:rFonts w:ascii="Times New Roman" w:hAnsi="Times New Roman" w:cs="Times New Roman"/>
          <w:sz w:val="24"/>
          <w:lang w:val="lt-LT"/>
        </w:rPr>
        <w:t xml:space="preserve"> </w:t>
      </w:r>
      <w:r w:rsidRPr="002E5772">
        <w:rPr>
          <w:rFonts w:ascii="Times New Roman" w:eastAsia="Times New Roman" w:hAnsi="Times New Roman" w:cs="Times New Roman"/>
          <w:bCs/>
          <w:sz w:val="24"/>
          <w:lang w:val="lt-LT"/>
        </w:rPr>
        <w:t xml:space="preserve">kai </w:t>
      </w:r>
      <w:r>
        <w:rPr>
          <w:rFonts w:ascii="Times New Roman" w:eastAsia="Times New Roman" w:hAnsi="Times New Roman" w:cs="Times New Roman"/>
          <w:bCs/>
          <w:sz w:val="24"/>
          <w:lang w:val="lt-LT"/>
        </w:rPr>
        <w:t xml:space="preserve">tinkamai veiks </w:t>
      </w:r>
      <w:r w:rsidRPr="002E5772">
        <w:rPr>
          <w:rFonts w:ascii="Times New Roman" w:eastAsia="Times New Roman" w:hAnsi="Times New Roman" w:cs="Times New Roman"/>
          <w:bCs/>
          <w:sz w:val="24"/>
          <w:lang w:val="lt-LT"/>
        </w:rPr>
        <w:t xml:space="preserve">pakuočių </w:t>
      </w:r>
      <w:r>
        <w:rPr>
          <w:rFonts w:ascii="Times New Roman" w:eastAsia="Times New Roman" w:hAnsi="Times New Roman" w:cs="Times New Roman"/>
          <w:bCs/>
          <w:sz w:val="24"/>
          <w:lang w:val="lt-LT"/>
        </w:rPr>
        <w:t xml:space="preserve">ir pakuočių </w:t>
      </w:r>
      <w:r w:rsidRPr="002E5772">
        <w:rPr>
          <w:rFonts w:ascii="Times New Roman" w:eastAsia="Times New Roman" w:hAnsi="Times New Roman" w:cs="Times New Roman"/>
          <w:bCs/>
          <w:sz w:val="24"/>
          <w:lang w:val="lt-LT"/>
        </w:rPr>
        <w:t xml:space="preserve">atliekų surinkimo ir tvarkymo mechanizmas, kitų atliekų rūšių privalomas atskiras surinkimas ir sutvarkymas. Kitu atveju ženkliai padidintas mokestis už aplinkos teršimą sąvartyne </w:t>
      </w:r>
      <w:r>
        <w:rPr>
          <w:rFonts w:ascii="Times New Roman" w:eastAsia="Times New Roman" w:hAnsi="Times New Roman" w:cs="Times New Roman"/>
          <w:bCs/>
          <w:sz w:val="24"/>
          <w:lang w:val="lt-LT"/>
        </w:rPr>
        <w:t xml:space="preserve">lems mokesčio (rinkliavos) už atliekų surinkimą ir sutvarkymą augimą atliekų turėtojams, o šio mokesčio mažinimui nebus numatyta </w:t>
      </w:r>
      <w:r w:rsidRPr="002E5772">
        <w:rPr>
          <w:rFonts w:ascii="Times New Roman" w:eastAsia="Times New Roman" w:hAnsi="Times New Roman" w:cs="Times New Roman"/>
          <w:bCs/>
          <w:sz w:val="24"/>
          <w:lang w:val="lt-LT"/>
        </w:rPr>
        <w:t>jokių alternatyvų</w:t>
      </w:r>
      <w:r>
        <w:rPr>
          <w:rFonts w:ascii="Times New Roman" w:eastAsia="Times New Roman" w:hAnsi="Times New Roman" w:cs="Times New Roman"/>
          <w:bCs/>
          <w:sz w:val="24"/>
          <w:lang w:val="lt-LT"/>
        </w:rPr>
        <w:t>. Akcentuotina, jog mokesčio už aplinkos teršimą sąvartyne didinimas, augina riziką neteisėtu atliekų atsikratymu draudžiamose vietose (pvz. miškai, atokesnės užmiesčio prieigos), kai dalis atliekų tvarkytojų ar turėtojų, vengdami mokėti Projekte numatytą 50 EUR/t mokestį, atliekomis atsikratys ne sąvartynuose, o pamiškėse.</w:t>
      </w:r>
    </w:p>
    <w:p w:rsidR="009237A5" w:rsidRPr="00C437B7" w:rsidRDefault="009237A5" w:rsidP="009237A5">
      <w:pPr>
        <w:pStyle w:val="Tekstas"/>
        <w:spacing w:line="360" w:lineRule="auto"/>
        <w:rPr>
          <w:rFonts w:ascii="Times New Roman" w:eastAsia="Times New Roman" w:hAnsi="Times New Roman" w:cs="Times New Roman"/>
          <w:bCs/>
          <w:sz w:val="24"/>
          <w:lang w:val="lt-LT"/>
        </w:rPr>
      </w:pPr>
      <w:r w:rsidRPr="00C437B7">
        <w:rPr>
          <w:rFonts w:ascii="Times New Roman" w:eastAsia="Times New Roman" w:hAnsi="Times New Roman" w:cs="Times New Roman"/>
          <w:bCs/>
          <w:sz w:val="24"/>
          <w:lang w:val="lt-LT"/>
        </w:rPr>
        <w:t>2.</w:t>
      </w:r>
      <w:r w:rsidRPr="00C437B7">
        <w:rPr>
          <w:rFonts w:ascii="Times New Roman" w:eastAsia="Times New Roman" w:hAnsi="Times New Roman" w:cs="Times New Roman"/>
          <w:bCs/>
          <w:sz w:val="24"/>
          <w:lang w:val="lt-LT"/>
        </w:rPr>
        <w:tab/>
      </w:r>
      <w:r>
        <w:rPr>
          <w:rFonts w:ascii="Times New Roman" w:eastAsia="Times New Roman" w:hAnsi="Times New Roman" w:cs="Times New Roman"/>
          <w:bCs/>
          <w:sz w:val="24"/>
          <w:lang w:val="lt-LT"/>
        </w:rPr>
        <w:t>Pažymėtina, jog s</w:t>
      </w:r>
      <w:r w:rsidRPr="00C437B7">
        <w:rPr>
          <w:rFonts w:ascii="Times New Roman" w:eastAsia="Times New Roman" w:hAnsi="Times New Roman" w:cs="Times New Roman"/>
          <w:bCs/>
          <w:sz w:val="24"/>
          <w:lang w:val="lt-LT"/>
        </w:rPr>
        <w:t xml:space="preserve">ąvartyne šalinamos tik tos atliekos, kurių negalima perdirbti ir/ar panaudoti kitur, įskaitant ir energijai gauti. Atsižvelgiant į šiuo metu esančias tendencijas, kai Lietuvoje veikiančios </w:t>
      </w:r>
      <w:proofErr w:type="spellStart"/>
      <w:r w:rsidRPr="00C437B7">
        <w:rPr>
          <w:rFonts w:ascii="Times New Roman" w:eastAsia="Times New Roman" w:hAnsi="Times New Roman" w:cs="Times New Roman"/>
          <w:bCs/>
          <w:sz w:val="24"/>
          <w:lang w:val="lt-LT"/>
        </w:rPr>
        <w:t>kogeneracinės</w:t>
      </w:r>
      <w:proofErr w:type="spellEnd"/>
      <w:r w:rsidRPr="00C437B7">
        <w:rPr>
          <w:rFonts w:ascii="Times New Roman" w:eastAsia="Times New Roman" w:hAnsi="Times New Roman" w:cs="Times New Roman"/>
          <w:bCs/>
          <w:sz w:val="24"/>
          <w:lang w:val="lt-LT"/>
        </w:rPr>
        <w:t xml:space="preserve"> jėgainės didina atliekų priėmimo deginimui įkainius, nenurodydami konkrečių kainų didinimo priežasčių, ir siekia apyvartinių taršos leidimų įsigijimo sąnaudas amortizuoti padidinant  komunalinių atliekų priėmimo deginimui įkainius, toks mokesčio už aplinkos teršimą sąvartyne šalinamoms atliekoms tarifo didinimas sudarys dar palankesnes sąlygas atliekų degintojams kelti savo įkainius. </w:t>
      </w:r>
    </w:p>
    <w:p w:rsidR="009237A5" w:rsidRPr="00C437B7" w:rsidRDefault="009237A5" w:rsidP="009237A5">
      <w:pPr>
        <w:pStyle w:val="Tekstas"/>
        <w:spacing w:line="360" w:lineRule="auto"/>
        <w:rPr>
          <w:rFonts w:ascii="Times New Roman" w:eastAsia="Times New Roman" w:hAnsi="Times New Roman" w:cs="Times New Roman"/>
          <w:bCs/>
          <w:sz w:val="24"/>
          <w:lang w:val="lt-LT"/>
        </w:rPr>
      </w:pPr>
      <w:r w:rsidRPr="00C437B7">
        <w:rPr>
          <w:rFonts w:ascii="Times New Roman" w:eastAsia="Times New Roman" w:hAnsi="Times New Roman" w:cs="Times New Roman"/>
          <w:bCs/>
          <w:sz w:val="24"/>
          <w:lang w:val="lt-LT"/>
        </w:rPr>
        <w:t>3.</w:t>
      </w:r>
      <w:r w:rsidRPr="00C437B7">
        <w:rPr>
          <w:rFonts w:ascii="Times New Roman" w:eastAsia="Times New Roman" w:hAnsi="Times New Roman" w:cs="Times New Roman"/>
          <w:bCs/>
          <w:sz w:val="24"/>
          <w:lang w:val="lt-LT"/>
        </w:rPr>
        <w:tab/>
      </w:r>
      <w:r>
        <w:rPr>
          <w:rFonts w:ascii="Times New Roman" w:eastAsia="Times New Roman" w:hAnsi="Times New Roman" w:cs="Times New Roman"/>
          <w:bCs/>
          <w:sz w:val="24"/>
          <w:lang w:val="lt-LT"/>
        </w:rPr>
        <w:t>Lietuvos Respublikos seime registruotas</w:t>
      </w:r>
      <w:r w:rsidRPr="00C437B7">
        <w:rPr>
          <w:rFonts w:ascii="Times New Roman" w:eastAsia="Times New Roman" w:hAnsi="Times New Roman" w:cs="Times New Roman"/>
          <w:bCs/>
          <w:sz w:val="24"/>
          <w:lang w:val="lt-LT"/>
        </w:rPr>
        <w:t xml:space="preserve"> Atliekų tvarkymo įstatymo pakeitimas</w:t>
      </w:r>
      <w:r>
        <w:rPr>
          <w:rFonts w:ascii="Times New Roman" w:eastAsia="Times New Roman" w:hAnsi="Times New Roman" w:cs="Times New Roman"/>
          <w:bCs/>
          <w:sz w:val="24"/>
          <w:lang w:val="lt-LT"/>
        </w:rPr>
        <w:t xml:space="preserve"> (toliau – Įstatymo projektas)</w:t>
      </w:r>
      <w:r w:rsidRPr="00C437B7">
        <w:rPr>
          <w:rFonts w:ascii="Times New Roman" w:eastAsia="Times New Roman" w:hAnsi="Times New Roman" w:cs="Times New Roman"/>
          <w:bCs/>
          <w:sz w:val="24"/>
          <w:lang w:val="lt-LT"/>
        </w:rPr>
        <w:t xml:space="preserve">, kuriuo planuojama, kad Valstybinė energetikos reguliavimo tarnyba reguliuos </w:t>
      </w:r>
      <w:r w:rsidRPr="00C437B7">
        <w:rPr>
          <w:rFonts w:ascii="Times New Roman" w:eastAsia="Times New Roman" w:hAnsi="Times New Roman" w:cs="Times New Roman"/>
          <w:bCs/>
          <w:sz w:val="24"/>
          <w:lang w:val="lt-LT"/>
        </w:rPr>
        <w:lastRenderedPageBreak/>
        <w:t>komunalinių atliekų deginimo 1 t</w:t>
      </w:r>
      <w:r>
        <w:rPr>
          <w:rFonts w:ascii="Times New Roman" w:eastAsia="Times New Roman" w:hAnsi="Times New Roman" w:cs="Times New Roman"/>
          <w:bCs/>
          <w:sz w:val="24"/>
          <w:lang w:val="lt-LT"/>
        </w:rPr>
        <w:t>onos</w:t>
      </w:r>
      <w:r w:rsidRPr="00C437B7">
        <w:rPr>
          <w:rFonts w:ascii="Times New Roman" w:eastAsia="Times New Roman" w:hAnsi="Times New Roman" w:cs="Times New Roman"/>
          <w:bCs/>
          <w:sz w:val="24"/>
          <w:lang w:val="lt-LT"/>
        </w:rPr>
        <w:t xml:space="preserve"> įkainio viršutinę ribą.  Įstatymo projekte numatoma, kad reguliuojama komunalinių atliekų deginimo 1 t</w:t>
      </w:r>
      <w:r>
        <w:rPr>
          <w:rFonts w:ascii="Times New Roman" w:eastAsia="Times New Roman" w:hAnsi="Times New Roman" w:cs="Times New Roman"/>
          <w:bCs/>
          <w:sz w:val="24"/>
          <w:lang w:val="lt-LT"/>
        </w:rPr>
        <w:t>onos</w:t>
      </w:r>
      <w:r w:rsidRPr="00C437B7">
        <w:rPr>
          <w:rFonts w:ascii="Times New Roman" w:eastAsia="Times New Roman" w:hAnsi="Times New Roman" w:cs="Times New Roman"/>
          <w:bCs/>
          <w:sz w:val="24"/>
          <w:lang w:val="lt-LT"/>
        </w:rPr>
        <w:t xml:space="preserve"> įkainio viršutinė riba nustatoma atsižvelgiant į aplinkosauginius reikalavimus bei alternatyvius atliekų šalinimo būdus ir yra pagrįsta būtinosiomis komunalinių atliekų deginimo sąnaudomis, kurios nustatomos atsižvelgiant į bendro atliekų deginimo įrenginio, atliekų deginimo įrenginio valdytojų išlaikymo sąnaudas, protingumo kriterijų atitinkančią investicijų grąžą. Įvertinus planuojamą mokesčio už aplinkos teršimą sąvartyne šalinamoms atliekoms tarifo didinimą bei planuojamą Atliekų tvarkymo įstatymo pakeitimą dėl komunalinių atliekų deginimo 1 t</w:t>
      </w:r>
      <w:r>
        <w:rPr>
          <w:rFonts w:ascii="Times New Roman" w:eastAsia="Times New Roman" w:hAnsi="Times New Roman" w:cs="Times New Roman"/>
          <w:bCs/>
          <w:sz w:val="24"/>
          <w:lang w:val="lt-LT"/>
        </w:rPr>
        <w:t>onos</w:t>
      </w:r>
      <w:r w:rsidRPr="00C437B7">
        <w:rPr>
          <w:rFonts w:ascii="Times New Roman" w:eastAsia="Times New Roman" w:hAnsi="Times New Roman" w:cs="Times New Roman"/>
          <w:bCs/>
          <w:sz w:val="24"/>
          <w:lang w:val="lt-LT"/>
        </w:rPr>
        <w:t xml:space="preserve"> įkainio viršutinės ribos nustatymo, įvertinus alternatyvius šalinimo būdus (sąvartyno „vartų“ mokestį) ir bendro atliekų deginimo įrenginio kaštus, tikėtina, kad atliekų priėmimo deginimui įkainiai išaugs ženkliai ir turės tiesioginę įtaką rinkliavos </w:t>
      </w:r>
      <w:r>
        <w:rPr>
          <w:rFonts w:ascii="Times New Roman" w:eastAsia="Times New Roman" w:hAnsi="Times New Roman" w:cs="Times New Roman"/>
          <w:bCs/>
          <w:sz w:val="24"/>
          <w:lang w:val="lt-LT"/>
        </w:rPr>
        <w:t>už komunalinių atliekų surinkimą ir sutvarkymą dydžiui</w:t>
      </w:r>
      <w:r w:rsidRPr="00C437B7">
        <w:rPr>
          <w:rFonts w:ascii="Times New Roman" w:eastAsia="Times New Roman" w:hAnsi="Times New Roman" w:cs="Times New Roman"/>
          <w:bCs/>
          <w:sz w:val="24"/>
          <w:lang w:val="lt-LT"/>
        </w:rPr>
        <w:t>.</w:t>
      </w:r>
    </w:p>
    <w:p w:rsidR="009237A5" w:rsidRPr="002023A3" w:rsidRDefault="009237A5" w:rsidP="009237A5">
      <w:pPr>
        <w:pStyle w:val="Tekstas"/>
        <w:spacing w:before="0" w:after="0" w:line="360" w:lineRule="auto"/>
        <w:rPr>
          <w:rFonts w:ascii="Times New Roman" w:eastAsia="Times New Roman" w:hAnsi="Times New Roman" w:cs="Times New Roman"/>
          <w:bCs/>
          <w:sz w:val="24"/>
          <w:lang w:val="lt-LT"/>
        </w:rPr>
      </w:pPr>
      <w:r>
        <w:rPr>
          <w:rFonts w:ascii="Times New Roman" w:eastAsia="Times New Roman" w:hAnsi="Times New Roman" w:cs="Times New Roman"/>
          <w:bCs/>
          <w:sz w:val="24"/>
          <w:lang w:val="lt-LT"/>
        </w:rPr>
        <w:t>Atsižvelgiant į tai, kas aukščiau išdėstyta, s</w:t>
      </w:r>
      <w:r w:rsidRPr="00C437B7">
        <w:rPr>
          <w:rFonts w:ascii="Times New Roman" w:eastAsia="Times New Roman" w:hAnsi="Times New Roman" w:cs="Times New Roman"/>
          <w:bCs/>
          <w:sz w:val="24"/>
          <w:lang w:val="lt-LT"/>
        </w:rPr>
        <w:t>iūl</w:t>
      </w:r>
      <w:r>
        <w:rPr>
          <w:rFonts w:ascii="Times New Roman" w:eastAsia="Times New Roman" w:hAnsi="Times New Roman" w:cs="Times New Roman"/>
          <w:bCs/>
          <w:sz w:val="24"/>
          <w:lang w:val="lt-LT"/>
        </w:rPr>
        <w:t xml:space="preserve">ome atidėti mokesčio už aplinkos teršimą </w:t>
      </w:r>
      <w:r w:rsidRPr="00C437B7">
        <w:rPr>
          <w:rFonts w:ascii="Times New Roman" w:eastAsia="Times New Roman" w:hAnsi="Times New Roman" w:cs="Times New Roman"/>
          <w:bCs/>
          <w:sz w:val="24"/>
          <w:lang w:val="lt-LT"/>
        </w:rPr>
        <w:t>sąvartyne šalinamoms atliekoms</w:t>
      </w:r>
      <w:r>
        <w:rPr>
          <w:rFonts w:ascii="Times New Roman" w:eastAsia="Times New Roman" w:hAnsi="Times New Roman" w:cs="Times New Roman"/>
          <w:bCs/>
          <w:sz w:val="24"/>
          <w:lang w:val="lt-LT"/>
        </w:rPr>
        <w:t xml:space="preserve"> padidinimą, kol savivaldybėse, </w:t>
      </w:r>
      <w:r w:rsidRPr="00C437B7">
        <w:rPr>
          <w:rFonts w:ascii="Times New Roman" w:eastAsia="Times New Roman" w:hAnsi="Times New Roman" w:cs="Times New Roman"/>
          <w:bCs/>
          <w:sz w:val="24"/>
          <w:lang w:val="lt-LT"/>
        </w:rPr>
        <w:t>pirmiausia</w:t>
      </w:r>
      <w:r>
        <w:rPr>
          <w:rFonts w:ascii="Times New Roman" w:eastAsia="Times New Roman" w:hAnsi="Times New Roman" w:cs="Times New Roman"/>
          <w:bCs/>
          <w:sz w:val="24"/>
          <w:lang w:val="lt-LT"/>
        </w:rPr>
        <w:t xml:space="preserve"> bus</w:t>
      </w:r>
      <w:r w:rsidRPr="00C437B7">
        <w:rPr>
          <w:rFonts w:ascii="Times New Roman" w:eastAsia="Times New Roman" w:hAnsi="Times New Roman" w:cs="Times New Roman"/>
          <w:bCs/>
          <w:sz w:val="24"/>
          <w:lang w:val="lt-LT"/>
        </w:rPr>
        <w:t xml:space="preserve"> </w:t>
      </w:r>
      <w:r>
        <w:rPr>
          <w:rFonts w:ascii="Times New Roman" w:eastAsia="Times New Roman" w:hAnsi="Times New Roman" w:cs="Times New Roman"/>
          <w:bCs/>
          <w:sz w:val="24"/>
          <w:lang w:val="lt-LT"/>
        </w:rPr>
        <w:t xml:space="preserve">užtikrintas tinkamas </w:t>
      </w:r>
      <w:r w:rsidRPr="002E5772">
        <w:rPr>
          <w:rFonts w:ascii="Times New Roman" w:eastAsia="Times New Roman" w:hAnsi="Times New Roman" w:cs="Times New Roman"/>
          <w:bCs/>
          <w:sz w:val="24"/>
          <w:lang w:val="lt-LT"/>
        </w:rPr>
        <w:t xml:space="preserve">pakuočių </w:t>
      </w:r>
      <w:r>
        <w:rPr>
          <w:rFonts w:ascii="Times New Roman" w:eastAsia="Times New Roman" w:hAnsi="Times New Roman" w:cs="Times New Roman"/>
          <w:bCs/>
          <w:sz w:val="24"/>
          <w:lang w:val="lt-LT"/>
        </w:rPr>
        <w:t xml:space="preserve">ir pakuočių </w:t>
      </w:r>
      <w:r w:rsidRPr="002E5772">
        <w:rPr>
          <w:rFonts w:ascii="Times New Roman" w:eastAsia="Times New Roman" w:hAnsi="Times New Roman" w:cs="Times New Roman"/>
          <w:bCs/>
          <w:sz w:val="24"/>
          <w:lang w:val="lt-LT"/>
        </w:rPr>
        <w:t xml:space="preserve">atliekų surinkimo </w:t>
      </w:r>
      <w:r>
        <w:rPr>
          <w:rFonts w:ascii="Times New Roman" w:eastAsia="Times New Roman" w:hAnsi="Times New Roman" w:cs="Times New Roman"/>
          <w:bCs/>
          <w:sz w:val="24"/>
          <w:lang w:val="lt-LT"/>
        </w:rPr>
        <w:t>bei</w:t>
      </w:r>
      <w:r w:rsidRPr="002E5772">
        <w:rPr>
          <w:rFonts w:ascii="Times New Roman" w:eastAsia="Times New Roman" w:hAnsi="Times New Roman" w:cs="Times New Roman"/>
          <w:bCs/>
          <w:sz w:val="24"/>
          <w:lang w:val="lt-LT"/>
        </w:rPr>
        <w:t xml:space="preserve"> tvarkymo mechanizm</w:t>
      </w:r>
      <w:r>
        <w:rPr>
          <w:rFonts w:ascii="Times New Roman" w:eastAsia="Times New Roman" w:hAnsi="Times New Roman" w:cs="Times New Roman"/>
          <w:bCs/>
          <w:sz w:val="24"/>
          <w:lang w:val="lt-LT"/>
        </w:rPr>
        <w:t>o veikimas</w:t>
      </w:r>
      <w:r w:rsidRPr="002E5772">
        <w:rPr>
          <w:rFonts w:ascii="Times New Roman" w:eastAsia="Times New Roman" w:hAnsi="Times New Roman" w:cs="Times New Roman"/>
          <w:bCs/>
          <w:sz w:val="24"/>
          <w:lang w:val="lt-LT"/>
        </w:rPr>
        <w:t>, kitų atliekų rūšių privalom</w:t>
      </w:r>
      <w:r>
        <w:rPr>
          <w:rFonts w:ascii="Times New Roman" w:eastAsia="Times New Roman" w:hAnsi="Times New Roman" w:cs="Times New Roman"/>
          <w:bCs/>
          <w:sz w:val="24"/>
          <w:lang w:val="lt-LT"/>
        </w:rPr>
        <w:t>as</w:t>
      </w:r>
      <w:r w:rsidRPr="002E5772">
        <w:rPr>
          <w:rFonts w:ascii="Times New Roman" w:eastAsia="Times New Roman" w:hAnsi="Times New Roman" w:cs="Times New Roman"/>
          <w:bCs/>
          <w:sz w:val="24"/>
          <w:lang w:val="lt-LT"/>
        </w:rPr>
        <w:t xml:space="preserve"> atskir</w:t>
      </w:r>
      <w:r>
        <w:rPr>
          <w:rFonts w:ascii="Times New Roman" w:eastAsia="Times New Roman" w:hAnsi="Times New Roman" w:cs="Times New Roman"/>
          <w:bCs/>
          <w:sz w:val="24"/>
          <w:lang w:val="lt-LT"/>
        </w:rPr>
        <w:t>as</w:t>
      </w:r>
      <w:r w:rsidRPr="002E5772">
        <w:rPr>
          <w:rFonts w:ascii="Times New Roman" w:eastAsia="Times New Roman" w:hAnsi="Times New Roman" w:cs="Times New Roman"/>
          <w:bCs/>
          <w:sz w:val="24"/>
          <w:lang w:val="lt-LT"/>
        </w:rPr>
        <w:t xml:space="preserve"> surinkim</w:t>
      </w:r>
      <w:r>
        <w:rPr>
          <w:rFonts w:ascii="Times New Roman" w:eastAsia="Times New Roman" w:hAnsi="Times New Roman" w:cs="Times New Roman"/>
          <w:bCs/>
          <w:sz w:val="24"/>
          <w:lang w:val="lt-LT"/>
        </w:rPr>
        <w:t xml:space="preserve">as </w:t>
      </w:r>
      <w:r w:rsidRPr="002E5772">
        <w:rPr>
          <w:rFonts w:ascii="Times New Roman" w:eastAsia="Times New Roman" w:hAnsi="Times New Roman" w:cs="Times New Roman"/>
          <w:bCs/>
          <w:sz w:val="24"/>
          <w:lang w:val="lt-LT"/>
        </w:rPr>
        <w:t>ir sutvarkym</w:t>
      </w:r>
      <w:r>
        <w:rPr>
          <w:rFonts w:ascii="Times New Roman" w:eastAsia="Times New Roman" w:hAnsi="Times New Roman" w:cs="Times New Roman"/>
          <w:bCs/>
          <w:sz w:val="24"/>
          <w:lang w:val="lt-LT"/>
        </w:rPr>
        <w:t xml:space="preserve">as, taip pat nacionaliniu lygiu </w:t>
      </w:r>
      <w:r w:rsidRPr="00C437B7">
        <w:rPr>
          <w:rFonts w:ascii="Times New Roman" w:eastAsia="Times New Roman" w:hAnsi="Times New Roman" w:cs="Times New Roman"/>
          <w:bCs/>
          <w:sz w:val="24"/>
          <w:lang w:val="lt-LT"/>
        </w:rPr>
        <w:t>sureguliuoti komunalinių atliekų priėmimo deginimo įkaini</w:t>
      </w:r>
      <w:r>
        <w:rPr>
          <w:rFonts w:ascii="Times New Roman" w:eastAsia="Times New Roman" w:hAnsi="Times New Roman" w:cs="Times New Roman"/>
          <w:bCs/>
          <w:sz w:val="24"/>
          <w:lang w:val="lt-LT"/>
        </w:rPr>
        <w:t xml:space="preserve">ai. </w:t>
      </w:r>
    </w:p>
    <w:p w:rsidR="009237A5" w:rsidRPr="009A355D" w:rsidRDefault="009237A5" w:rsidP="009237A5">
      <w:pPr>
        <w:pStyle w:val="Tekstas"/>
        <w:spacing w:before="0" w:after="0" w:line="360" w:lineRule="auto"/>
        <w:ind w:firstLine="709"/>
        <w:rPr>
          <w:rFonts w:ascii="Times New Roman" w:eastAsia="Times New Roman" w:hAnsi="Times New Roman" w:cs="Times New Roman"/>
          <w:bCs/>
          <w:sz w:val="24"/>
          <w:lang w:val="lt-LT"/>
        </w:rPr>
      </w:pPr>
    </w:p>
    <w:p w:rsidR="009237A5" w:rsidRPr="009A355D" w:rsidRDefault="009237A5" w:rsidP="009237A5">
      <w:pPr>
        <w:pStyle w:val="Tekstas"/>
        <w:spacing w:before="0" w:after="0" w:line="276" w:lineRule="auto"/>
        <w:ind w:firstLine="709"/>
        <w:rPr>
          <w:sz w:val="28"/>
          <w:szCs w:val="28"/>
          <w:lang w:val="lt-LT"/>
        </w:rPr>
      </w:pPr>
    </w:p>
    <w:p w:rsidR="009237A5" w:rsidRPr="009A355D" w:rsidRDefault="009237A5" w:rsidP="009237A5">
      <w:pPr>
        <w:rPr>
          <w:szCs w:val="24"/>
        </w:rPr>
      </w:pPr>
      <w:r w:rsidRPr="009A355D">
        <w:rPr>
          <w:szCs w:val="24"/>
        </w:rPr>
        <w:t xml:space="preserve">Energetikos skyriaus vedėjas                                              </w:t>
      </w:r>
      <w:r w:rsidRPr="009A355D">
        <w:rPr>
          <w:szCs w:val="24"/>
        </w:rPr>
        <w:tab/>
      </w:r>
      <w:r w:rsidRPr="009A355D">
        <w:rPr>
          <w:szCs w:val="24"/>
        </w:rPr>
        <w:tab/>
        <w:t xml:space="preserve">Ilja Karužis </w:t>
      </w:r>
    </w:p>
    <w:p w:rsidR="009237A5" w:rsidRPr="009A355D" w:rsidRDefault="009237A5" w:rsidP="009237A5">
      <w:pPr>
        <w:spacing w:line="360" w:lineRule="auto"/>
        <w:jc w:val="both"/>
        <w:rPr>
          <w:szCs w:val="24"/>
        </w:rPr>
      </w:pPr>
      <w:r w:rsidRPr="009A355D">
        <w:rPr>
          <w:szCs w:val="24"/>
        </w:rPr>
        <w:tab/>
        <w:t xml:space="preserve"> </w:t>
      </w:r>
    </w:p>
    <w:p w:rsidR="009237A5" w:rsidRPr="009A355D" w:rsidRDefault="009237A5" w:rsidP="009237A5">
      <w:pPr>
        <w:rPr>
          <w:sz w:val="22"/>
          <w:szCs w:val="22"/>
        </w:rPr>
      </w:pPr>
    </w:p>
    <w:p w:rsidR="009237A5" w:rsidRPr="009A355D" w:rsidRDefault="009237A5" w:rsidP="009237A5">
      <w:pPr>
        <w:rPr>
          <w:sz w:val="22"/>
          <w:szCs w:val="22"/>
        </w:rPr>
      </w:pPr>
    </w:p>
    <w:p w:rsidR="009237A5" w:rsidRPr="009A355D" w:rsidRDefault="009237A5" w:rsidP="009237A5">
      <w:pPr>
        <w:rPr>
          <w:sz w:val="22"/>
          <w:szCs w:val="22"/>
        </w:rPr>
      </w:pPr>
    </w:p>
    <w:p w:rsidR="009237A5" w:rsidRDefault="009237A5" w:rsidP="009237A5">
      <w:pPr>
        <w:rPr>
          <w:sz w:val="22"/>
          <w:szCs w:val="22"/>
        </w:rPr>
      </w:pPr>
    </w:p>
    <w:p w:rsidR="009237A5" w:rsidRDefault="009237A5" w:rsidP="009237A5">
      <w:pPr>
        <w:rPr>
          <w:sz w:val="22"/>
          <w:szCs w:val="22"/>
        </w:rPr>
      </w:pPr>
    </w:p>
    <w:p w:rsidR="009237A5" w:rsidRDefault="009237A5" w:rsidP="009237A5">
      <w:pPr>
        <w:rPr>
          <w:sz w:val="22"/>
          <w:szCs w:val="22"/>
        </w:rPr>
      </w:pPr>
    </w:p>
    <w:p w:rsidR="009237A5" w:rsidRDefault="009237A5" w:rsidP="009237A5">
      <w:pPr>
        <w:rPr>
          <w:sz w:val="22"/>
          <w:szCs w:val="22"/>
        </w:rPr>
      </w:pPr>
    </w:p>
    <w:p w:rsidR="009237A5" w:rsidRDefault="009237A5" w:rsidP="009237A5">
      <w:pPr>
        <w:rPr>
          <w:sz w:val="22"/>
          <w:szCs w:val="22"/>
        </w:rPr>
      </w:pPr>
    </w:p>
    <w:p w:rsidR="009237A5" w:rsidRDefault="009237A5" w:rsidP="009237A5">
      <w:pPr>
        <w:rPr>
          <w:sz w:val="22"/>
          <w:szCs w:val="22"/>
        </w:rPr>
      </w:pPr>
    </w:p>
    <w:p w:rsidR="009237A5" w:rsidRDefault="009237A5" w:rsidP="009237A5">
      <w:pPr>
        <w:rPr>
          <w:sz w:val="22"/>
          <w:szCs w:val="22"/>
        </w:rPr>
      </w:pPr>
    </w:p>
    <w:p w:rsidR="009237A5" w:rsidRDefault="009237A5" w:rsidP="009237A5">
      <w:pPr>
        <w:rPr>
          <w:sz w:val="22"/>
          <w:szCs w:val="22"/>
        </w:rPr>
      </w:pPr>
    </w:p>
    <w:p w:rsidR="009237A5" w:rsidRDefault="009237A5" w:rsidP="009237A5">
      <w:pPr>
        <w:rPr>
          <w:sz w:val="22"/>
          <w:szCs w:val="22"/>
        </w:rPr>
      </w:pPr>
    </w:p>
    <w:p w:rsidR="009237A5" w:rsidRDefault="009237A5" w:rsidP="009237A5">
      <w:pPr>
        <w:rPr>
          <w:sz w:val="22"/>
          <w:szCs w:val="22"/>
        </w:rPr>
      </w:pPr>
    </w:p>
    <w:p w:rsidR="009237A5" w:rsidRPr="003558E4" w:rsidRDefault="009237A5" w:rsidP="009237A5">
      <w:pPr>
        <w:rPr>
          <w:sz w:val="22"/>
          <w:szCs w:val="22"/>
        </w:rPr>
      </w:pPr>
    </w:p>
    <w:p w:rsidR="009237A5" w:rsidRPr="009A355D" w:rsidRDefault="009237A5" w:rsidP="009237A5">
      <w:r w:rsidRPr="003558E4">
        <w:rPr>
          <w:sz w:val="22"/>
          <w:szCs w:val="22"/>
        </w:rPr>
        <w:t xml:space="preserve">Eglė </w:t>
      </w:r>
      <w:proofErr w:type="spellStart"/>
      <w:r w:rsidRPr="003558E4">
        <w:rPr>
          <w:sz w:val="22"/>
          <w:szCs w:val="22"/>
        </w:rPr>
        <w:t>Bernotavičienė</w:t>
      </w:r>
      <w:proofErr w:type="spellEnd"/>
      <w:r w:rsidRPr="003558E4">
        <w:rPr>
          <w:sz w:val="22"/>
          <w:szCs w:val="22"/>
        </w:rPr>
        <w:t>,  tel. (8 5) 211 2859, el. p. egle.bernotaviciene@vilnius.lt</w:t>
      </w:r>
    </w:p>
    <w:p w:rsidR="00B05E03" w:rsidRPr="005E10E7" w:rsidRDefault="00B05E03" w:rsidP="00D014B1">
      <w:pPr>
        <w:spacing w:line="280" w:lineRule="exact"/>
        <w:ind w:right="419"/>
        <w:jc w:val="both"/>
        <w:rPr>
          <w:szCs w:val="24"/>
        </w:rPr>
      </w:pPr>
    </w:p>
    <w:p w:rsidR="00B05E03" w:rsidRPr="005E10E7" w:rsidRDefault="00B05E03" w:rsidP="00D014B1">
      <w:pPr>
        <w:spacing w:line="280" w:lineRule="exact"/>
        <w:ind w:right="419"/>
        <w:jc w:val="both"/>
        <w:rPr>
          <w:szCs w:val="24"/>
        </w:rPr>
      </w:pPr>
    </w:p>
    <w:p w:rsidR="00B05E03" w:rsidRPr="005E10E7" w:rsidRDefault="00B05E03" w:rsidP="00D014B1">
      <w:pPr>
        <w:spacing w:line="280" w:lineRule="exact"/>
        <w:ind w:right="419"/>
        <w:jc w:val="both"/>
        <w:rPr>
          <w:szCs w:val="24"/>
        </w:rPr>
      </w:pPr>
    </w:p>
    <w:p w:rsidR="00B05E03" w:rsidRPr="005E10E7" w:rsidRDefault="00B05E03" w:rsidP="00D014B1">
      <w:pPr>
        <w:spacing w:line="280" w:lineRule="exact"/>
        <w:ind w:right="419"/>
        <w:jc w:val="both"/>
        <w:rPr>
          <w:szCs w:val="24"/>
        </w:rPr>
      </w:pPr>
    </w:p>
    <w:p w:rsidR="00B05E03" w:rsidRPr="005E10E7" w:rsidRDefault="00B05E03" w:rsidP="00D014B1">
      <w:pPr>
        <w:spacing w:line="280" w:lineRule="exact"/>
        <w:ind w:right="419"/>
        <w:jc w:val="both"/>
        <w:rPr>
          <w:szCs w:val="24"/>
        </w:rPr>
      </w:pPr>
    </w:p>
    <w:p w:rsidR="00B05E03" w:rsidRPr="005E10E7" w:rsidRDefault="00B05E03" w:rsidP="00D014B1">
      <w:pPr>
        <w:spacing w:line="280" w:lineRule="exact"/>
        <w:ind w:right="419"/>
        <w:jc w:val="both"/>
        <w:rPr>
          <w:szCs w:val="24"/>
        </w:rPr>
      </w:pPr>
    </w:p>
    <w:p w:rsidR="00B05E03" w:rsidRPr="005E10E7" w:rsidRDefault="00B05E03" w:rsidP="00D014B1">
      <w:pPr>
        <w:spacing w:line="280" w:lineRule="exact"/>
        <w:ind w:right="419"/>
        <w:jc w:val="both"/>
        <w:rPr>
          <w:szCs w:val="24"/>
        </w:rPr>
      </w:pPr>
    </w:p>
    <w:p w:rsidR="007764E1" w:rsidRPr="005E10E7" w:rsidRDefault="007764E1">
      <w:pPr>
        <w:spacing w:line="280" w:lineRule="exact"/>
        <w:jc w:val="both"/>
        <w:rPr>
          <w:sz w:val="22"/>
          <w:szCs w:val="22"/>
        </w:rPr>
      </w:pPr>
    </w:p>
    <w:sectPr w:rsidR="007764E1" w:rsidRPr="005E10E7" w:rsidSect="009E08AB">
      <w:pgSz w:w="11901" w:h="16834"/>
      <w:pgMar w:top="1134" w:right="844" w:bottom="567" w:left="1134" w:header="284" w:footer="964" w:gutter="0"/>
      <w:paperSrc w:first="7" w:other="7"/>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8F2" w:rsidRDefault="008E48F2" w:rsidP="00C61E02">
      <w:r>
        <w:separator/>
      </w:r>
    </w:p>
  </w:endnote>
  <w:endnote w:type="continuationSeparator" w:id="0">
    <w:p w:rsidR="008E48F2" w:rsidRDefault="008E48F2" w:rsidP="00C6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8F2" w:rsidRDefault="008E48F2" w:rsidP="00C61E02">
      <w:r>
        <w:separator/>
      </w:r>
    </w:p>
  </w:footnote>
  <w:footnote w:type="continuationSeparator" w:id="0">
    <w:p w:rsidR="008E48F2" w:rsidRDefault="008E48F2" w:rsidP="00C61E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165"/>
    <w:multiLevelType w:val="hybridMultilevel"/>
    <w:tmpl w:val="1EE22024"/>
    <w:lvl w:ilvl="0" w:tplc="70E69E90">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nsid w:val="2BFC1431"/>
    <w:multiLevelType w:val="hybridMultilevel"/>
    <w:tmpl w:val="FE88436A"/>
    <w:lvl w:ilvl="0" w:tplc="865C0E40">
      <w:start w:val="3"/>
      <w:numFmt w:val="bullet"/>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5AB34C0B"/>
    <w:multiLevelType w:val="hybridMultilevel"/>
    <w:tmpl w:val="5B6EE0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67CA747D"/>
    <w:multiLevelType w:val="hybridMultilevel"/>
    <w:tmpl w:val="BA2C9B6E"/>
    <w:lvl w:ilvl="0" w:tplc="D03417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EF1"/>
    <w:rsid w:val="00066524"/>
    <w:rsid w:val="00087AA9"/>
    <w:rsid w:val="00105FA2"/>
    <w:rsid w:val="001632D7"/>
    <w:rsid w:val="00236F4E"/>
    <w:rsid w:val="00354F16"/>
    <w:rsid w:val="00373DAD"/>
    <w:rsid w:val="00440F9D"/>
    <w:rsid w:val="0045498F"/>
    <w:rsid w:val="004F5D5E"/>
    <w:rsid w:val="00526866"/>
    <w:rsid w:val="00573923"/>
    <w:rsid w:val="005E10E7"/>
    <w:rsid w:val="005F1AFE"/>
    <w:rsid w:val="00631C58"/>
    <w:rsid w:val="00644151"/>
    <w:rsid w:val="0064664B"/>
    <w:rsid w:val="006563BF"/>
    <w:rsid w:val="007452BA"/>
    <w:rsid w:val="007764E1"/>
    <w:rsid w:val="007776CE"/>
    <w:rsid w:val="007F3D80"/>
    <w:rsid w:val="00833243"/>
    <w:rsid w:val="00852595"/>
    <w:rsid w:val="008646F9"/>
    <w:rsid w:val="008A2AC1"/>
    <w:rsid w:val="008B4C6D"/>
    <w:rsid w:val="008E48F2"/>
    <w:rsid w:val="009237A5"/>
    <w:rsid w:val="00926EF1"/>
    <w:rsid w:val="00A17A88"/>
    <w:rsid w:val="00A20AB5"/>
    <w:rsid w:val="00A33CA6"/>
    <w:rsid w:val="00A800F8"/>
    <w:rsid w:val="00AB6509"/>
    <w:rsid w:val="00AF0206"/>
    <w:rsid w:val="00B05E03"/>
    <w:rsid w:val="00B14442"/>
    <w:rsid w:val="00B96E54"/>
    <w:rsid w:val="00BC5988"/>
    <w:rsid w:val="00BF6161"/>
    <w:rsid w:val="00C211C9"/>
    <w:rsid w:val="00C335B6"/>
    <w:rsid w:val="00C51135"/>
    <w:rsid w:val="00C61E02"/>
    <w:rsid w:val="00CA03BE"/>
    <w:rsid w:val="00D014B1"/>
    <w:rsid w:val="00D01D9D"/>
    <w:rsid w:val="00DB73C9"/>
    <w:rsid w:val="00DE619F"/>
    <w:rsid w:val="00E70F72"/>
    <w:rsid w:val="00F12BAE"/>
    <w:rsid w:val="00F130AE"/>
    <w:rsid w:val="00F16ED4"/>
    <w:rsid w:val="00F177E0"/>
    <w:rsid w:val="00F27E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4B1"/>
    <w:pPr>
      <w:spacing w:after="0" w:line="240" w:lineRule="auto"/>
    </w:pPr>
    <w:rPr>
      <w:rFonts w:ascii="Times New Roman" w:eastAsia="Times New Roman" w:hAnsi="Times New Roman" w:cs="Times New Roman"/>
      <w:sz w:val="24"/>
      <w:szCs w:val="20"/>
    </w:rPr>
  </w:style>
  <w:style w:type="paragraph" w:styleId="Heading2">
    <w:name w:val="heading 2"/>
    <w:basedOn w:val="Normal"/>
    <w:next w:val="BodyText"/>
    <w:link w:val="Heading2Char"/>
    <w:qFormat/>
    <w:rsid w:val="00AB6509"/>
    <w:pPr>
      <w:keepNext/>
      <w:widowControl w:val="0"/>
      <w:suppressAutoHyphens/>
      <w:spacing w:before="120" w:after="120"/>
      <w:outlineLvl w:val="1"/>
    </w:pPr>
    <w:rPr>
      <w:rFonts w:eastAsia="Andale Sans UI" w:cs="Tahoma"/>
      <w:b/>
      <w:bCs/>
      <w:iCs/>
      <w:caps/>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014B1"/>
    <w:rPr>
      <w:color w:val="0000FF"/>
      <w:u w:val="single"/>
    </w:rPr>
  </w:style>
  <w:style w:type="paragraph" w:styleId="Header">
    <w:name w:val="header"/>
    <w:basedOn w:val="Normal"/>
    <w:link w:val="HeaderChar"/>
    <w:uiPriority w:val="99"/>
    <w:rsid w:val="00D014B1"/>
    <w:pPr>
      <w:tabs>
        <w:tab w:val="center" w:pos="4153"/>
        <w:tab w:val="right" w:pos="8306"/>
      </w:tabs>
    </w:pPr>
  </w:style>
  <w:style w:type="character" w:customStyle="1" w:styleId="HeaderChar">
    <w:name w:val="Header Char"/>
    <w:basedOn w:val="DefaultParagraphFont"/>
    <w:link w:val="Header"/>
    <w:uiPriority w:val="99"/>
    <w:rsid w:val="00D014B1"/>
    <w:rPr>
      <w:rFonts w:ascii="Times New Roman" w:eastAsia="Times New Roman" w:hAnsi="Times New Roman" w:cs="Times New Roman"/>
      <w:sz w:val="24"/>
      <w:szCs w:val="20"/>
    </w:rPr>
  </w:style>
  <w:style w:type="paragraph" w:styleId="ListParagraph">
    <w:name w:val="List Paragraph"/>
    <w:basedOn w:val="Normal"/>
    <w:uiPriority w:val="34"/>
    <w:qFormat/>
    <w:rsid w:val="00D014B1"/>
    <w:pPr>
      <w:ind w:left="720"/>
      <w:contextualSpacing/>
    </w:pPr>
  </w:style>
  <w:style w:type="paragraph" w:styleId="BalloonText">
    <w:name w:val="Balloon Text"/>
    <w:basedOn w:val="Normal"/>
    <w:link w:val="BalloonTextChar"/>
    <w:uiPriority w:val="99"/>
    <w:semiHidden/>
    <w:unhideWhenUsed/>
    <w:rsid w:val="00F16E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ED4"/>
    <w:rPr>
      <w:rFonts w:ascii="Segoe UI" w:eastAsia="Times New Roman" w:hAnsi="Segoe UI" w:cs="Segoe UI"/>
      <w:sz w:val="18"/>
      <w:szCs w:val="18"/>
    </w:rPr>
  </w:style>
  <w:style w:type="paragraph" w:styleId="Footer">
    <w:name w:val="footer"/>
    <w:basedOn w:val="Normal"/>
    <w:link w:val="FooterChar"/>
    <w:uiPriority w:val="99"/>
    <w:unhideWhenUsed/>
    <w:rsid w:val="00C61E02"/>
    <w:pPr>
      <w:tabs>
        <w:tab w:val="center" w:pos="4819"/>
        <w:tab w:val="right" w:pos="9638"/>
      </w:tabs>
    </w:pPr>
  </w:style>
  <w:style w:type="character" w:customStyle="1" w:styleId="FooterChar">
    <w:name w:val="Footer Char"/>
    <w:basedOn w:val="DefaultParagraphFont"/>
    <w:link w:val="Footer"/>
    <w:uiPriority w:val="99"/>
    <w:rsid w:val="00C61E02"/>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AB6509"/>
    <w:rPr>
      <w:rFonts w:ascii="Times New Roman" w:eastAsia="Andale Sans UI" w:hAnsi="Times New Roman" w:cs="Tahoma"/>
      <w:b/>
      <w:bCs/>
      <w:iCs/>
      <w:caps/>
      <w:sz w:val="24"/>
      <w:szCs w:val="28"/>
      <w:lang w:bidi="en-US"/>
    </w:rPr>
  </w:style>
  <w:style w:type="paragraph" w:styleId="BodyText">
    <w:name w:val="Body Text"/>
    <w:basedOn w:val="Normal"/>
    <w:link w:val="BodyTextChar"/>
    <w:uiPriority w:val="99"/>
    <w:semiHidden/>
    <w:unhideWhenUsed/>
    <w:rsid w:val="00AB6509"/>
    <w:pPr>
      <w:spacing w:after="120"/>
    </w:pPr>
  </w:style>
  <w:style w:type="character" w:customStyle="1" w:styleId="BodyTextChar">
    <w:name w:val="Body Text Char"/>
    <w:basedOn w:val="DefaultParagraphFont"/>
    <w:link w:val="BodyText"/>
    <w:uiPriority w:val="99"/>
    <w:semiHidden/>
    <w:rsid w:val="00AB6509"/>
    <w:rPr>
      <w:rFonts w:ascii="Times New Roman" w:eastAsia="Times New Roman" w:hAnsi="Times New Roman" w:cs="Times New Roman"/>
      <w:sz w:val="24"/>
      <w:szCs w:val="20"/>
    </w:rPr>
  </w:style>
  <w:style w:type="paragraph" w:customStyle="1" w:styleId="Default">
    <w:name w:val="Default"/>
    <w:rsid w:val="00631C5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kstas">
    <w:name w:val="Tekstas"/>
    <w:basedOn w:val="Normal"/>
    <w:link w:val="TekstasChar"/>
    <w:qFormat/>
    <w:rsid w:val="009237A5"/>
    <w:pPr>
      <w:spacing w:before="60" w:after="100"/>
      <w:ind w:firstLine="425"/>
      <w:jc w:val="both"/>
    </w:pPr>
    <w:rPr>
      <w:rFonts w:ascii="Calibri" w:eastAsia="Arial Unicode MS" w:hAnsi="Calibri" w:cs="Arial Unicode MS"/>
      <w:sz w:val="22"/>
      <w:szCs w:val="24"/>
      <w:lang w:val="en-GB"/>
    </w:rPr>
  </w:style>
  <w:style w:type="character" w:customStyle="1" w:styleId="TekstasChar">
    <w:name w:val="Tekstas Char"/>
    <w:link w:val="Tekstas"/>
    <w:rsid w:val="009237A5"/>
    <w:rPr>
      <w:rFonts w:ascii="Calibri" w:eastAsia="Arial Unicode MS" w:hAnsi="Calibri" w:cs="Arial Unicode MS"/>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4B1"/>
    <w:pPr>
      <w:spacing w:after="0" w:line="240" w:lineRule="auto"/>
    </w:pPr>
    <w:rPr>
      <w:rFonts w:ascii="Times New Roman" w:eastAsia="Times New Roman" w:hAnsi="Times New Roman" w:cs="Times New Roman"/>
      <w:sz w:val="24"/>
      <w:szCs w:val="20"/>
    </w:rPr>
  </w:style>
  <w:style w:type="paragraph" w:styleId="Heading2">
    <w:name w:val="heading 2"/>
    <w:basedOn w:val="Normal"/>
    <w:next w:val="BodyText"/>
    <w:link w:val="Heading2Char"/>
    <w:qFormat/>
    <w:rsid w:val="00AB6509"/>
    <w:pPr>
      <w:keepNext/>
      <w:widowControl w:val="0"/>
      <w:suppressAutoHyphens/>
      <w:spacing w:before="120" w:after="120"/>
      <w:outlineLvl w:val="1"/>
    </w:pPr>
    <w:rPr>
      <w:rFonts w:eastAsia="Andale Sans UI" w:cs="Tahoma"/>
      <w:b/>
      <w:bCs/>
      <w:iCs/>
      <w:caps/>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014B1"/>
    <w:rPr>
      <w:color w:val="0000FF"/>
      <w:u w:val="single"/>
    </w:rPr>
  </w:style>
  <w:style w:type="paragraph" w:styleId="Header">
    <w:name w:val="header"/>
    <w:basedOn w:val="Normal"/>
    <w:link w:val="HeaderChar"/>
    <w:uiPriority w:val="99"/>
    <w:rsid w:val="00D014B1"/>
    <w:pPr>
      <w:tabs>
        <w:tab w:val="center" w:pos="4153"/>
        <w:tab w:val="right" w:pos="8306"/>
      </w:tabs>
    </w:pPr>
  </w:style>
  <w:style w:type="character" w:customStyle="1" w:styleId="HeaderChar">
    <w:name w:val="Header Char"/>
    <w:basedOn w:val="DefaultParagraphFont"/>
    <w:link w:val="Header"/>
    <w:uiPriority w:val="99"/>
    <w:rsid w:val="00D014B1"/>
    <w:rPr>
      <w:rFonts w:ascii="Times New Roman" w:eastAsia="Times New Roman" w:hAnsi="Times New Roman" w:cs="Times New Roman"/>
      <w:sz w:val="24"/>
      <w:szCs w:val="20"/>
    </w:rPr>
  </w:style>
  <w:style w:type="paragraph" w:styleId="ListParagraph">
    <w:name w:val="List Paragraph"/>
    <w:basedOn w:val="Normal"/>
    <w:uiPriority w:val="34"/>
    <w:qFormat/>
    <w:rsid w:val="00D014B1"/>
    <w:pPr>
      <w:ind w:left="720"/>
      <w:contextualSpacing/>
    </w:pPr>
  </w:style>
  <w:style w:type="paragraph" w:styleId="BalloonText">
    <w:name w:val="Balloon Text"/>
    <w:basedOn w:val="Normal"/>
    <w:link w:val="BalloonTextChar"/>
    <w:uiPriority w:val="99"/>
    <w:semiHidden/>
    <w:unhideWhenUsed/>
    <w:rsid w:val="00F16E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ED4"/>
    <w:rPr>
      <w:rFonts w:ascii="Segoe UI" w:eastAsia="Times New Roman" w:hAnsi="Segoe UI" w:cs="Segoe UI"/>
      <w:sz w:val="18"/>
      <w:szCs w:val="18"/>
    </w:rPr>
  </w:style>
  <w:style w:type="paragraph" w:styleId="Footer">
    <w:name w:val="footer"/>
    <w:basedOn w:val="Normal"/>
    <w:link w:val="FooterChar"/>
    <w:uiPriority w:val="99"/>
    <w:unhideWhenUsed/>
    <w:rsid w:val="00C61E02"/>
    <w:pPr>
      <w:tabs>
        <w:tab w:val="center" w:pos="4819"/>
        <w:tab w:val="right" w:pos="9638"/>
      </w:tabs>
    </w:pPr>
  </w:style>
  <w:style w:type="character" w:customStyle="1" w:styleId="FooterChar">
    <w:name w:val="Footer Char"/>
    <w:basedOn w:val="DefaultParagraphFont"/>
    <w:link w:val="Footer"/>
    <w:uiPriority w:val="99"/>
    <w:rsid w:val="00C61E02"/>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AB6509"/>
    <w:rPr>
      <w:rFonts w:ascii="Times New Roman" w:eastAsia="Andale Sans UI" w:hAnsi="Times New Roman" w:cs="Tahoma"/>
      <w:b/>
      <w:bCs/>
      <w:iCs/>
      <w:caps/>
      <w:sz w:val="24"/>
      <w:szCs w:val="28"/>
      <w:lang w:bidi="en-US"/>
    </w:rPr>
  </w:style>
  <w:style w:type="paragraph" w:styleId="BodyText">
    <w:name w:val="Body Text"/>
    <w:basedOn w:val="Normal"/>
    <w:link w:val="BodyTextChar"/>
    <w:uiPriority w:val="99"/>
    <w:semiHidden/>
    <w:unhideWhenUsed/>
    <w:rsid w:val="00AB6509"/>
    <w:pPr>
      <w:spacing w:after="120"/>
    </w:pPr>
  </w:style>
  <w:style w:type="character" w:customStyle="1" w:styleId="BodyTextChar">
    <w:name w:val="Body Text Char"/>
    <w:basedOn w:val="DefaultParagraphFont"/>
    <w:link w:val="BodyText"/>
    <w:uiPriority w:val="99"/>
    <w:semiHidden/>
    <w:rsid w:val="00AB6509"/>
    <w:rPr>
      <w:rFonts w:ascii="Times New Roman" w:eastAsia="Times New Roman" w:hAnsi="Times New Roman" w:cs="Times New Roman"/>
      <w:sz w:val="24"/>
      <w:szCs w:val="20"/>
    </w:rPr>
  </w:style>
  <w:style w:type="paragraph" w:customStyle="1" w:styleId="Default">
    <w:name w:val="Default"/>
    <w:rsid w:val="00631C5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kstas">
    <w:name w:val="Tekstas"/>
    <w:basedOn w:val="Normal"/>
    <w:link w:val="TekstasChar"/>
    <w:qFormat/>
    <w:rsid w:val="009237A5"/>
    <w:pPr>
      <w:spacing w:before="60" w:after="100"/>
      <w:ind w:firstLine="425"/>
      <w:jc w:val="both"/>
    </w:pPr>
    <w:rPr>
      <w:rFonts w:ascii="Calibri" w:eastAsia="Arial Unicode MS" w:hAnsi="Calibri" w:cs="Arial Unicode MS"/>
      <w:sz w:val="22"/>
      <w:szCs w:val="24"/>
      <w:lang w:val="en-GB"/>
    </w:rPr>
  </w:style>
  <w:style w:type="character" w:customStyle="1" w:styleId="TekstasChar">
    <w:name w:val="Tekstas Char"/>
    <w:link w:val="Tekstas"/>
    <w:rsid w:val="009237A5"/>
    <w:rPr>
      <w:rFonts w:ascii="Calibri" w:eastAsia="Arial Unicode MS" w:hAnsi="Calibri" w:cs="Arial Unicode MS"/>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91856">
      <w:bodyDiv w:val="1"/>
      <w:marLeft w:val="0"/>
      <w:marRight w:val="0"/>
      <w:marTop w:val="0"/>
      <w:marBottom w:val="0"/>
      <w:divBdr>
        <w:top w:val="none" w:sz="0" w:space="0" w:color="auto"/>
        <w:left w:val="none" w:sz="0" w:space="0" w:color="auto"/>
        <w:bottom w:val="none" w:sz="0" w:space="0" w:color="auto"/>
        <w:right w:val="none" w:sz="0" w:space="0" w:color="auto"/>
      </w:divBdr>
    </w:div>
    <w:div w:id="831216121">
      <w:bodyDiv w:val="1"/>
      <w:marLeft w:val="0"/>
      <w:marRight w:val="0"/>
      <w:marTop w:val="0"/>
      <w:marBottom w:val="0"/>
      <w:divBdr>
        <w:top w:val="none" w:sz="0" w:space="0" w:color="auto"/>
        <w:left w:val="none" w:sz="0" w:space="0" w:color="auto"/>
        <w:bottom w:val="none" w:sz="0" w:space="0" w:color="auto"/>
        <w:right w:val="none" w:sz="0" w:space="0" w:color="auto"/>
      </w:divBdr>
    </w:div>
    <w:div w:id="1092047518">
      <w:bodyDiv w:val="1"/>
      <w:marLeft w:val="0"/>
      <w:marRight w:val="0"/>
      <w:marTop w:val="0"/>
      <w:marBottom w:val="0"/>
      <w:divBdr>
        <w:top w:val="none" w:sz="0" w:space="0" w:color="auto"/>
        <w:left w:val="none" w:sz="0" w:space="0" w:color="auto"/>
        <w:bottom w:val="none" w:sz="0" w:space="0" w:color="auto"/>
        <w:right w:val="none" w:sz="0" w:space="0" w:color="auto"/>
      </w:divBdr>
    </w:div>
    <w:div w:id="1156073214">
      <w:bodyDiv w:val="1"/>
      <w:marLeft w:val="0"/>
      <w:marRight w:val="0"/>
      <w:marTop w:val="0"/>
      <w:marBottom w:val="0"/>
      <w:divBdr>
        <w:top w:val="none" w:sz="0" w:space="0" w:color="auto"/>
        <w:left w:val="none" w:sz="0" w:space="0" w:color="auto"/>
        <w:bottom w:val="none" w:sz="0" w:space="0" w:color="auto"/>
        <w:right w:val="none" w:sz="0" w:space="0" w:color="auto"/>
      </w:divBdr>
    </w:div>
    <w:div w:id="203791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0" ma:contentTypeDescription="Create a new document." ma:contentTypeScope="" ma:versionID="59cfcf5728384eacadcae5ae18b26250">
  <xsd:schema xmlns:xsd="http://www.w3.org/2001/XMLSchema" xmlns:xs="http://www.w3.org/2001/XMLSchema" xmlns:p="http://schemas.microsoft.com/office/2006/metadata/properties" xmlns:ns2="19cf09c5-daa1-4028-a0ff-74a0be4ec5cc" xmlns:ns3="f5aad5d0-9c26-490e-8743-a6c7ceabd501" targetNamespace="http://schemas.microsoft.com/office/2006/metadata/properties" ma:root="true" ma:fieldsID="3871c76f053172472674a7623b5f4a38" ns2:_="" ns3:_="">
    <xsd:import namespace="19cf09c5-daa1-4028-a0ff-74a0be4ec5cc"/>
    <xsd:import namespace="f5aad5d0-9c26-490e-8743-a6c7ceabd5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34DEBD-73DA-407D-9D46-5167F02CA0D6}"/>
</file>

<file path=customXml/itemProps2.xml><?xml version="1.0" encoding="utf-8"?>
<ds:datastoreItem xmlns:ds="http://schemas.openxmlformats.org/officeDocument/2006/customXml" ds:itemID="{0D876A7A-8BB3-4727-BE5D-DDD4563C54B1}"/>
</file>

<file path=customXml/itemProps3.xml><?xml version="1.0" encoding="utf-8"?>
<ds:datastoreItem xmlns:ds="http://schemas.openxmlformats.org/officeDocument/2006/customXml" ds:itemID="{067999D2-AB78-4602-A67D-A5C5D8ABF4A3}"/>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3462</Characters>
  <Application>Microsoft Office Word</Application>
  <DocSecurity>4</DocSecurity>
  <Lines>28</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AgneK</dc:creator>
  <cp:lastModifiedBy>Virginija Kalesinskienė</cp:lastModifiedBy>
  <cp:revision>2</cp:revision>
  <cp:lastPrinted>2020-07-13T12:44:00Z</cp:lastPrinted>
  <dcterms:created xsi:type="dcterms:W3CDTF">2021-08-30T16:19:00Z</dcterms:created>
  <dcterms:modified xsi:type="dcterms:W3CDTF">2021-08-30T16:19:00Z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