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5F87" w14:textId="77777777" w:rsidR="008A0947" w:rsidRDefault="008A0947" w:rsidP="0023626A">
      <w:pPr>
        <w:jc w:val="center"/>
        <w:rPr>
          <w:b/>
          <w:color w:val="0D0D0D"/>
          <w:szCs w:val="24"/>
        </w:rPr>
      </w:pPr>
      <w:r w:rsidRPr="004433F8">
        <w:rPr>
          <w:b/>
          <w:color w:val="0D0D0D"/>
          <w:szCs w:val="24"/>
        </w:rPr>
        <w:t>DERINIMO PAŽYMA</w:t>
      </w:r>
    </w:p>
    <w:p w14:paraId="1EB93C89" w14:textId="77777777" w:rsidR="00E21CD7" w:rsidRPr="004433F8" w:rsidRDefault="00E21CD7" w:rsidP="0023626A">
      <w:pPr>
        <w:jc w:val="center"/>
        <w:rPr>
          <w:b/>
          <w:color w:val="0D0D0D"/>
          <w:szCs w:val="24"/>
        </w:rPr>
      </w:pPr>
    </w:p>
    <w:p w14:paraId="712EB9C1" w14:textId="551B68AE" w:rsidR="00BF781E" w:rsidRPr="00F832EA" w:rsidRDefault="00146AF4" w:rsidP="00F832EA">
      <w:pPr>
        <w:tabs>
          <w:tab w:val="left" w:pos="10992"/>
          <w:tab w:val="left" w:pos="11908"/>
          <w:tab w:val="left" w:pos="12824"/>
          <w:tab w:val="left" w:pos="13740"/>
          <w:tab w:val="left" w:pos="14656"/>
        </w:tabs>
        <w:jc w:val="center"/>
        <w:rPr>
          <w:rFonts w:eastAsia="Times New Roman"/>
          <w:szCs w:val="24"/>
          <w:lang w:val="en-US" w:eastAsia="lt-LT"/>
        </w:rPr>
      </w:pPr>
      <w:r>
        <w:t xml:space="preserve">Dėl </w:t>
      </w:r>
      <w:r w:rsidR="001E2883" w:rsidRPr="006943D0">
        <w:t xml:space="preserve">Lietuvos Respublikos Vyriausybės </w:t>
      </w:r>
      <w:r w:rsidR="001E2883">
        <w:t>nutarimo „</w:t>
      </w:r>
      <w:r w:rsidR="00F832EA" w:rsidRPr="00F832EA">
        <w:rPr>
          <w:rFonts w:eastAsia="Times New Roman"/>
          <w:bCs/>
          <w:szCs w:val="24"/>
          <w:lang w:eastAsia="lt-LT"/>
        </w:rPr>
        <w:t>Dėl Lietuvos Respublikos draudimo propaguoti komunizmą arba kitą totalitarinę santvarką viešuosiuose objektuose</w:t>
      </w:r>
      <w:r w:rsidR="00F832EA" w:rsidRPr="00F832EA">
        <w:rPr>
          <w:rFonts w:eastAsia="Times New Roman"/>
          <w:bCs/>
          <w:szCs w:val="24"/>
          <w:lang w:val="en-US" w:eastAsia="lt-LT"/>
        </w:rPr>
        <w:t xml:space="preserve"> </w:t>
      </w:r>
      <w:r w:rsidR="00F832EA" w:rsidRPr="00F832EA">
        <w:rPr>
          <w:rFonts w:eastAsia="Times New Roman"/>
          <w:bCs/>
          <w:szCs w:val="24"/>
          <w:lang w:eastAsia="lt-LT"/>
        </w:rPr>
        <w:t>įstatymo projekto Nr. XIIIP-1436(2) ir seimo narių A. Ažubalio ir L. Kasčiūno 2019 m. vasario 12 d. pasiūlymų dėl šio įstatymo projekto</w:t>
      </w:r>
      <w:r w:rsidR="00F832EA" w:rsidRPr="00F832EA">
        <w:rPr>
          <w:rFonts w:eastAsia="Times New Roman"/>
          <w:bCs/>
          <w:szCs w:val="24"/>
          <w:lang w:val="en-US" w:eastAsia="lt-LT"/>
        </w:rPr>
        <w:t>”</w:t>
      </w:r>
    </w:p>
    <w:p w14:paraId="0AFFBE0B" w14:textId="77777777" w:rsidR="00E21CD7" w:rsidRDefault="00E21CD7" w:rsidP="0023626A">
      <w:pPr>
        <w:jc w:val="center"/>
        <w:rPr>
          <w:b/>
          <w:szCs w:val="24"/>
        </w:rPr>
      </w:pPr>
    </w:p>
    <w:tbl>
      <w:tblPr>
        <w:tblStyle w:val="TableGrid"/>
        <w:tblW w:w="15026" w:type="dxa"/>
        <w:tblInd w:w="-34" w:type="dxa"/>
        <w:tblLook w:val="04A0" w:firstRow="1" w:lastRow="0" w:firstColumn="1" w:lastColumn="0" w:noHBand="0" w:noVBand="1"/>
      </w:tblPr>
      <w:tblGrid>
        <w:gridCol w:w="2581"/>
        <w:gridCol w:w="4394"/>
        <w:gridCol w:w="8051"/>
      </w:tblGrid>
      <w:tr w:rsidR="0065462A" w14:paraId="3EB45F8D" w14:textId="77777777" w:rsidTr="00192BC9">
        <w:tc>
          <w:tcPr>
            <w:tcW w:w="2581" w:type="dxa"/>
          </w:tcPr>
          <w:p w14:paraId="3EB45F8A" w14:textId="77777777" w:rsidR="0065462A" w:rsidRDefault="0065462A" w:rsidP="0023626A">
            <w:pPr>
              <w:jc w:val="center"/>
              <w:rPr>
                <w:b/>
                <w:szCs w:val="24"/>
              </w:rPr>
            </w:pPr>
            <w:r>
              <w:rPr>
                <w:b/>
                <w:color w:val="0D0D0D"/>
                <w:szCs w:val="24"/>
              </w:rPr>
              <w:t xml:space="preserve">Institucijos pavadinimas, rašto data ir numeris </w:t>
            </w:r>
          </w:p>
        </w:tc>
        <w:tc>
          <w:tcPr>
            <w:tcW w:w="4394" w:type="dxa"/>
          </w:tcPr>
          <w:p w14:paraId="3EB45F8B" w14:textId="77777777" w:rsidR="0065462A" w:rsidRPr="004433F8" w:rsidRDefault="0065462A" w:rsidP="0023626A">
            <w:pPr>
              <w:jc w:val="center"/>
              <w:rPr>
                <w:b/>
                <w:color w:val="0D0D0D"/>
                <w:szCs w:val="24"/>
              </w:rPr>
            </w:pPr>
            <w:r>
              <w:rPr>
                <w:b/>
                <w:color w:val="0D0D0D"/>
                <w:szCs w:val="24"/>
              </w:rPr>
              <w:t>Pastabos ir pasiūlymai</w:t>
            </w:r>
          </w:p>
        </w:tc>
        <w:tc>
          <w:tcPr>
            <w:tcW w:w="8051" w:type="dxa"/>
          </w:tcPr>
          <w:p w14:paraId="3EB45F8C" w14:textId="77777777" w:rsidR="0065462A" w:rsidRDefault="0065462A" w:rsidP="0023626A">
            <w:pPr>
              <w:jc w:val="both"/>
              <w:rPr>
                <w:b/>
                <w:szCs w:val="24"/>
              </w:rPr>
            </w:pPr>
            <w:r w:rsidRPr="004433F8">
              <w:rPr>
                <w:b/>
                <w:color w:val="0D0D0D"/>
                <w:szCs w:val="24"/>
              </w:rPr>
              <w:t>Žyma apie pastabas ir pasiūlymus, į kuriuos nebuvo atsižvelgta arba atsižvelgta iš dalies</w:t>
            </w:r>
            <w:r>
              <w:rPr>
                <w:b/>
                <w:color w:val="0D0D0D"/>
                <w:szCs w:val="24"/>
              </w:rPr>
              <w:t xml:space="preserve"> (nurodyti motyvus)</w:t>
            </w:r>
          </w:p>
        </w:tc>
      </w:tr>
      <w:tr w:rsidR="0065462A" w14:paraId="3EB45F91" w14:textId="77777777" w:rsidTr="00192BC9">
        <w:trPr>
          <w:trHeight w:val="6096"/>
        </w:trPr>
        <w:tc>
          <w:tcPr>
            <w:tcW w:w="2581" w:type="dxa"/>
          </w:tcPr>
          <w:p w14:paraId="6732DCE5" w14:textId="76435169" w:rsidR="000D75C0" w:rsidRDefault="00F832EA" w:rsidP="00371C02">
            <w:pPr>
              <w:spacing w:after="120"/>
              <w:jc w:val="both"/>
            </w:pPr>
            <w:r>
              <w:rPr>
                <w:szCs w:val="24"/>
              </w:rPr>
              <w:t>Lietuvos gyventojų genocido ir rezistencijos tyrimo centro</w:t>
            </w:r>
            <w:r w:rsidR="00570EEC">
              <w:rPr>
                <w:szCs w:val="24"/>
              </w:rPr>
              <w:t xml:space="preserve"> </w:t>
            </w:r>
            <w:r w:rsidR="008100BE" w:rsidRPr="0065462A">
              <w:rPr>
                <w:szCs w:val="24"/>
              </w:rPr>
              <w:t>20</w:t>
            </w:r>
            <w:r w:rsidR="00570EEC">
              <w:rPr>
                <w:szCs w:val="24"/>
              </w:rPr>
              <w:t>2</w:t>
            </w:r>
            <w:r>
              <w:rPr>
                <w:szCs w:val="24"/>
              </w:rPr>
              <w:t>1</w:t>
            </w:r>
            <w:r w:rsidR="008100BE" w:rsidRPr="0065462A">
              <w:rPr>
                <w:szCs w:val="24"/>
              </w:rPr>
              <w:t>-</w:t>
            </w:r>
            <w:r>
              <w:rPr>
                <w:szCs w:val="24"/>
              </w:rPr>
              <w:t>0</w:t>
            </w:r>
            <w:r w:rsidR="000D75C0">
              <w:rPr>
                <w:szCs w:val="24"/>
              </w:rPr>
              <w:t>8</w:t>
            </w:r>
            <w:r w:rsidR="008100BE" w:rsidRPr="0065462A">
              <w:rPr>
                <w:szCs w:val="24"/>
              </w:rPr>
              <w:t>-</w:t>
            </w:r>
            <w:r w:rsidR="000D75C0">
              <w:rPr>
                <w:szCs w:val="24"/>
              </w:rPr>
              <w:t>31</w:t>
            </w:r>
            <w:r w:rsidR="008100BE" w:rsidRPr="0065462A">
              <w:rPr>
                <w:szCs w:val="24"/>
              </w:rPr>
              <w:t xml:space="preserve"> raštas Nr.</w:t>
            </w:r>
            <w:r w:rsidR="000D75C0">
              <w:rPr>
                <w:szCs w:val="24"/>
              </w:rPr>
              <w:t xml:space="preserve"> 12R-63 </w:t>
            </w:r>
          </w:p>
          <w:p w14:paraId="16BB4449" w14:textId="0FD8B150" w:rsidR="0065462A" w:rsidRDefault="0065462A" w:rsidP="0023626A">
            <w:pPr>
              <w:jc w:val="both"/>
              <w:rPr>
                <w:bCs/>
                <w:szCs w:val="24"/>
                <w:lang w:eastAsia="lt-LT"/>
              </w:rPr>
            </w:pPr>
          </w:p>
          <w:p w14:paraId="29377478" w14:textId="77777777" w:rsidR="00814D98" w:rsidRDefault="00814D98" w:rsidP="0023626A">
            <w:pPr>
              <w:jc w:val="both"/>
              <w:rPr>
                <w:bCs/>
                <w:szCs w:val="24"/>
                <w:lang w:eastAsia="lt-LT"/>
              </w:rPr>
            </w:pPr>
          </w:p>
          <w:p w14:paraId="35D7A9BC" w14:textId="77777777" w:rsidR="00814D98" w:rsidRDefault="00814D98" w:rsidP="0023626A">
            <w:pPr>
              <w:jc w:val="both"/>
              <w:rPr>
                <w:bCs/>
                <w:szCs w:val="24"/>
                <w:lang w:eastAsia="lt-LT"/>
              </w:rPr>
            </w:pPr>
          </w:p>
          <w:p w14:paraId="3EB45F8E" w14:textId="30EA72B6" w:rsidR="00814D98" w:rsidRPr="0065462A" w:rsidRDefault="00814D98" w:rsidP="0023626A">
            <w:pPr>
              <w:jc w:val="both"/>
              <w:rPr>
                <w:szCs w:val="24"/>
              </w:rPr>
            </w:pPr>
          </w:p>
        </w:tc>
        <w:tc>
          <w:tcPr>
            <w:tcW w:w="4394" w:type="dxa"/>
          </w:tcPr>
          <w:p w14:paraId="14D5C80D" w14:textId="77777777" w:rsidR="00584D0F" w:rsidRPr="00371C02" w:rsidRDefault="00584D0F" w:rsidP="00371C02">
            <w:pPr>
              <w:ind w:firstLine="851"/>
              <w:jc w:val="both"/>
              <w:rPr>
                <w:szCs w:val="24"/>
              </w:rPr>
            </w:pPr>
            <w:r w:rsidRPr="00371C02">
              <w:rPr>
                <w:szCs w:val="24"/>
              </w:rPr>
              <w:t>Siekiant užtikrinti nuoseklaus teisinio reguliavimo įgyvendinimą, siūlome pakeisti Lietuvos Respublikos baudžiamojo kodekso 170(2) straipsnio 1 dalį ir ją išdėstyti taip:</w:t>
            </w:r>
          </w:p>
          <w:p w14:paraId="3EB45F8F" w14:textId="5D200F50" w:rsidR="00E27AFA" w:rsidRPr="00371C02" w:rsidRDefault="00584D0F" w:rsidP="00371C02">
            <w:pPr>
              <w:ind w:firstLine="851"/>
              <w:jc w:val="both"/>
              <w:rPr>
                <w:szCs w:val="24"/>
              </w:rPr>
            </w:pPr>
            <w:r w:rsidRPr="00371C02">
              <w:rPr>
                <w:szCs w:val="24"/>
              </w:rPr>
              <w:t xml:space="preserve">„1. Tas, kas viešai pritarė Lietuvos Respublikos ar Europos Sąjungos teisės aktais arba įsiteisėjusiais Lietuvos Respublikos ar tarptautinių teismų sprendimais pripažintiems genocido ar kitiems nusikaltimams žmoniškumui arba karo nusikaltimams, juos neigė ar šiurkščiai menkino, jeigu tai padaryta grasinančiu, užgauliu ar įžeidžiančiu būdu arba dėl to buvo sutrikdyta ar galėjo būti sutrikdyta viešoji tvarka, taip pat tas, kas viešai pritarė SSRS ar nacistinės Vokietijos įvykdytai agresijai prieš Lietuvos Respubliką, SSRS ar nacistinės Vokietijos įvykdytiems genocido ar kitiems nusikaltimams žmoniškumui arba karo nusikaltimams, arba 1990–1991 metais įvykdytiems kitiems agresiją prieš Lietuvos Respubliką vykdžiusių ar joje dalyvavusių asmenų labai sunkiems ar sunkiems nusikaltimams Lietuvos Respublikai arba labai sunkiems nusikaltimams Lietuvos Respublikos </w:t>
            </w:r>
            <w:r w:rsidRPr="00371C02">
              <w:rPr>
                <w:szCs w:val="24"/>
              </w:rPr>
              <w:lastRenderedPageBreak/>
              <w:t>gyventojams, juos neigė ar šiurkščiai menkino, jeigu tai padaryta grasinančiu, užgauliu ar įžeidžiančiu būdu arba dėl to buvo sutrikdyta ar galėjo būti sutrikdyta viešoji tvarka</w:t>
            </w:r>
            <w:r w:rsidRPr="00371C02">
              <w:rPr>
                <w:b/>
                <w:szCs w:val="24"/>
              </w:rPr>
              <w:t>,</w:t>
            </w:r>
            <w:r w:rsidRPr="00371C02">
              <w:rPr>
                <w:szCs w:val="24"/>
              </w:rPr>
              <w:t xml:space="preserve"> </w:t>
            </w:r>
            <w:r w:rsidRPr="00371C02">
              <w:rPr>
                <w:b/>
                <w:szCs w:val="24"/>
              </w:rPr>
              <w:t>taip pat tas, kas viešai propagavo komunizmą, nacizmą, kitus totalitarinius režimus ir jų ideologijas viešuosiuose objektuose,</w:t>
            </w:r>
            <w:r w:rsidRPr="00371C02">
              <w:rPr>
                <w:szCs w:val="24"/>
              </w:rPr>
              <w:t xml:space="preserve"> </w:t>
            </w:r>
            <w:r w:rsidRPr="00371C02">
              <w:rPr>
                <w:b/>
                <w:szCs w:val="24"/>
              </w:rPr>
              <w:t>erdvėse ar renginiuose ir įvykiuose</w:t>
            </w:r>
            <w:r w:rsidRPr="00371C02">
              <w:rPr>
                <w:i/>
                <w:szCs w:val="24"/>
              </w:rPr>
              <w:t xml:space="preserve"> (t. y. šį siūlomą tekstą suderinti pagal tai, koks bus priimto Įstatymo pavadinimas ir 2 straipsnio 2 dalyje nustatytas jo taikymas</w:t>
            </w:r>
            <w:r w:rsidRPr="00371C02">
              <w:rPr>
                <w:szCs w:val="24"/>
              </w:rPr>
              <w:t xml:space="preserve">), </w:t>
            </w:r>
            <w:r w:rsidRPr="00371C02">
              <w:rPr>
                <w:b/>
                <w:szCs w:val="24"/>
              </w:rPr>
              <w:t>jeigu tai padaryta grasinančiu, užgauliu ar įžeidžiančiu būdu arba dėl to buvo sutrikdyta ar galėjo būti sutrikdyta viešoji tvarka</w:t>
            </w:r>
            <w:r w:rsidRPr="00371C02">
              <w:rPr>
                <w:b/>
                <w:i/>
                <w:szCs w:val="24"/>
              </w:rPr>
              <w:t>,</w:t>
            </w:r>
            <w:r w:rsidRPr="00371C02">
              <w:rPr>
                <w:b/>
                <w:szCs w:val="24"/>
              </w:rPr>
              <w:t xml:space="preserve"> </w:t>
            </w:r>
            <w:r w:rsidRPr="00371C02">
              <w:rPr>
                <w:szCs w:val="24"/>
              </w:rPr>
              <w:t>baudžiamas bauda arba laisvės apribojimu, arba areštu, arba laisvės atėmimu iki dvejų metų.“</w:t>
            </w:r>
          </w:p>
        </w:tc>
        <w:tc>
          <w:tcPr>
            <w:tcW w:w="8051" w:type="dxa"/>
          </w:tcPr>
          <w:p w14:paraId="224B0B73" w14:textId="77777777" w:rsidR="009D1A3F" w:rsidRPr="00371C02" w:rsidRDefault="000D75C0" w:rsidP="00192BC9">
            <w:pPr>
              <w:ind w:firstLine="709"/>
              <w:jc w:val="both"/>
              <w:rPr>
                <w:b/>
                <w:bCs/>
                <w:szCs w:val="24"/>
              </w:rPr>
            </w:pPr>
            <w:r w:rsidRPr="00371C02">
              <w:rPr>
                <w:b/>
                <w:bCs/>
                <w:szCs w:val="24"/>
              </w:rPr>
              <w:lastRenderedPageBreak/>
              <w:t>Neatsižvelgta</w:t>
            </w:r>
          </w:p>
          <w:p w14:paraId="71FC0871" w14:textId="77777777" w:rsidR="00371C02" w:rsidRPr="00371C02" w:rsidRDefault="00371C02" w:rsidP="00192BC9">
            <w:pPr>
              <w:ind w:firstLine="709"/>
              <w:jc w:val="both"/>
              <w:rPr>
                <w:b/>
                <w:bCs/>
                <w:szCs w:val="24"/>
              </w:rPr>
            </w:pPr>
          </w:p>
          <w:p w14:paraId="40B54534" w14:textId="171057EF" w:rsidR="00F014E5" w:rsidRDefault="00146AF4" w:rsidP="00146AF4">
            <w:pPr>
              <w:pStyle w:val="PlainText"/>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Pritartina </w:t>
            </w:r>
            <w:r w:rsidR="00371C02" w:rsidRPr="00371C02">
              <w:rPr>
                <w:rFonts w:ascii="Times New Roman" w:hAnsi="Times New Roman" w:cs="Times New Roman"/>
                <w:sz w:val="24"/>
                <w:szCs w:val="24"/>
              </w:rPr>
              <w:t>Lietuvos Respublikos teisingumo ministerij</w:t>
            </w:r>
            <w:r>
              <w:rPr>
                <w:rFonts w:ascii="Times New Roman" w:hAnsi="Times New Roman" w:cs="Times New Roman"/>
                <w:sz w:val="24"/>
                <w:szCs w:val="24"/>
              </w:rPr>
              <w:t xml:space="preserve">os </w:t>
            </w:r>
            <w:r w:rsidR="00314640">
              <w:rPr>
                <w:rFonts w:ascii="Times New Roman" w:hAnsi="Times New Roman" w:cs="Times New Roman"/>
                <w:sz w:val="24"/>
                <w:szCs w:val="24"/>
              </w:rPr>
              <w:t>2021-10-12</w:t>
            </w:r>
            <w:r>
              <w:rPr>
                <w:rFonts w:ascii="Times New Roman" w:hAnsi="Times New Roman" w:cs="Times New Roman"/>
                <w:sz w:val="24"/>
                <w:szCs w:val="24"/>
              </w:rPr>
              <w:t xml:space="preserve"> rašte</w:t>
            </w:r>
            <w:r w:rsidR="00314640">
              <w:rPr>
                <w:rFonts w:ascii="Times New Roman" w:hAnsi="Times New Roman" w:cs="Times New Roman"/>
                <w:sz w:val="24"/>
                <w:szCs w:val="24"/>
              </w:rPr>
              <w:t xml:space="preserve"> Nr. (1.6Mr)2T-1106</w:t>
            </w:r>
            <w:r>
              <w:rPr>
                <w:rFonts w:ascii="Times New Roman" w:hAnsi="Times New Roman" w:cs="Times New Roman"/>
                <w:sz w:val="24"/>
                <w:szCs w:val="24"/>
              </w:rPr>
              <w:t xml:space="preserve"> (teikiamas kartu su Vyriausybės nutarimo projektu)</w:t>
            </w:r>
            <w:r w:rsidR="00371C02" w:rsidRPr="00371C02">
              <w:rPr>
                <w:rFonts w:ascii="Times New Roman" w:hAnsi="Times New Roman" w:cs="Times New Roman"/>
                <w:sz w:val="24"/>
                <w:szCs w:val="24"/>
              </w:rPr>
              <w:t xml:space="preserve"> išdėstyta</w:t>
            </w:r>
            <w:r>
              <w:rPr>
                <w:rFonts w:ascii="Times New Roman" w:hAnsi="Times New Roman" w:cs="Times New Roman"/>
                <w:sz w:val="24"/>
                <w:szCs w:val="24"/>
              </w:rPr>
              <w:t>i</w:t>
            </w:r>
            <w:r w:rsidR="00371C02" w:rsidRPr="00371C02">
              <w:rPr>
                <w:rFonts w:ascii="Times New Roman" w:hAnsi="Times New Roman" w:cs="Times New Roman"/>
                <w:sz w:val="24"/>
                <w:szCs w:val="24"/>
              </w:rPr>
              <w:t xml:space="preserve"> pozicija</w:t>
            </w:r>
            <w:r>
              <w:rPr>
                <w:rFonts w:ascii="Times New Roman" w:hAnsi="Times New Roman" w:cs="Times New Roman"/>
                <w:sz w:val="24"/>
                <w:szCs w:val="24"/>
              </w:rPr>
              <w:t>i</w:t>
            </w:r>
            <w:r w:rsidR="00371C02" w:rsidRPr="00371C02">
              <w:rPr>
                <w:rFonts w:ascii="Times New Roman" w:hAnsi="Times New Roman" w:cs="Times New Roman"/>
                <w:sz w:val="24"/>
                <w:szCs w:val="24"/>
              </w:rPr>
              <w:t>, kad pateiktas pasiūlymas nėra suderinamas su Įstatymo projekto tikslais bei siūlomo įtvirtinti teisinio reguliavimo apimtimi, kartu neatitinka baudžiamojo įstatymo normų sistemos ir baudžiamojo įstatymo normų kriminalizavimo tikslingumo principo reikalavimų. Įstatymo projektu yra siekiama įtvirtinti teisines prielaidas pašalinti atitinkamus viešuosius objektus ar pakeisti jų pavadinimus, jeigu jais yra propaguojamas komunizmas ar kita totalitarinė ideologija ar santvarka, kas suponuoja, jog Įstatymo projekto reguliavimas yra nukreiptas ne į pavienius asmenis, propaguojančius aptariamus rėžimus, o į viešųjų objektų savininkus, kuriems ir kiltų prievolė atlikti atitinkamus veiksmus (pašalinti ar pakeisti viešųjų objektų pavadinimus). Todėl Įstatymo projekto tikslas bei jo turinys nesuponuoja pagrindo įtvirtinti specialią baudžiamojo įstatymo normą, kuria būtų kriminalizuotas viešas fizinių ar juridinių asmenų komunizmo, nacizmo ar kitų totalitarinių režimų propagavimas atitinkamu pavojingu būdu, kuris sutrikdė ar galėjo sutrikdyti viešąją tvarką. Kartu pažymėtina ir tai, kad Išvadoje siūloma kriminalizuoti nusikalstama veika, įvertinus jos turinį bei objektyviuosius požymius, skiriasi nuo BK 170</w:t>
            </w:r>
            <w:r w:rsidR="00371C02" w:rsidRPr="00371C02">
              <w:rPr>
                <w:rFonts w:ascii="Times New Roman" w:hAnsi="Times New Roman" w:cs="Times New Roman"/>
                <w:sz w:val="24"/>
                <w:szCs w:val="24"/>
                <w:vertAlign w:val="superscript"/>
              </w:rPr>
              <w:t>2</w:t>
            </w:r>
            <w:r w:rsidR="00371C02" w:rsidRPr="00371C02">
              <w:rPr>
                <w:rFonts w:ascii="Times New Roman" w:hAnsi="Times New Roman" w:cs="Times New Roman"/>
                <w:sz w:val="24"/>
                <w:szCs w:val="24"/>
              </w:rPr>
              <w:t xml:space="preserve"> straipsnyje įtvirtinto nusikaltimo, kadangi siūlomas kriminalizuoti visiškai skirtingas neteisėtas veikimas, nukreiptas į skirtingą baudžiamojo įstatymo saugomą gėrį, kuris tiesiog mechaniškai sujungiamas į vieną bendrą baudžiamojo įstatymo normą, kas iš esmės neatitinka BK specialiosios dalies normų konstravimo taisyklių.</w:t>
            </w:r>
            <w:r w:rsidR="00371C02" w:rsidRPr="00AF2A77">
              <w:rPr>
                <w:rFonts w:ascii="Times New Roman" w:hAnsi="Times New Roman" w:cs="Times New Roman"/>
                <w:sz w:val="24"/>
                <w:szCs w:val="24"/>
              </w:rPr>
              <w:t xml:space="preserve"> </w:t>
            </w:r>
          </w:p>
          <w:p w14:paraId="129E57B3" w14:textId="351ED959" w:rsidR="00371C02" w:rsidRDefault="00146AF4" w:rsidP="00192BC9">
            <w:pPr>
              <w:pStyle w:val="PlainText"/>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71C02" w:rsidRPr="00AF2A77">
              <w:rPr>
                <w:rFonts w:ascii="Times New Roman" w:hAnsi="Times New Roman" w:cs="Times New Roman"/>
                <w:sz w:val="24"/>
                <w:szCs w:val="24"/>
              </w:rPr>
              <w:t xml:space="preserve">ateiktas kriminalizavimo pasiūlymas yra nepagrįstas argumentais, kuriais būtų įvertintas siūlomos kriminalizuoti nusikalstamos veikos pavojingumas, jo pobūdis bei laipsnis, neteisėtos veikos paplitimas visuomenėje ir kitos aplinkybės, </w:t>
            </w:r>
            <w:r w:rsidR="00371C02" w:rsidRPr="00AF2A77">
              <w:rPr>
                <w:rFonts w:ascii="Times New Roman" w:hAnsi="Times New Roman" w:cs="Times New Roman"/>
                <w:sz w:val="24"/>
                <w:szCs w:val="24"/>
              </w:rPr>
              <w:lastRenderedPageBreak/>
              <w:t>reikšmingos sprendžiant dėl naujos nusikalstamos veikos kriminalizavimo baudžiamajame įstatyme tikslingumo.</w:t>
            </w:r>
          </w:p>
          <w:p w14:paraId="53F21A75" w14:textId="067B0E0F" w:rsidR="00371C02" w:rsidRPr="00371C02" w:rsidRDefault="00F014E5" w:rsidP="00192BC9">
            <w:pPr>
              <w:pStyle w:val="PlainText"/>
              <w:tabs>
                <w:tab w:val="left" w:pos="851"/>
              </w:tabs>
              <w:spacing w:after="0" w:line="240" w:lineRule="auto"/>
              <w:ind w:firstLine="460"/>
              <w:jc w:val="both"/>
              <w:rPr>
                <w:rFonts w:ascii="Times New Roman" w:hAnsi="Times New Roman" w:cs="Times New Roman"/>
                <w:sz w:val="24"/>
                <w:szCs w:val="24"/>
              </w:rPr>
            </w:pPr>
            <w:r w:rsidRPr="00AF2A77">
              <w:rPr>
                <w:rFonts w:ascii="Times New Roman" w:hAnsi="Times New Roman" w:cs="Times New Roman"/>
                <w:bCs/>
                <w:sz w:val="24"/>
                <w:szCs w:val="24"/>
              </w:rPr>
              <w:t xml:space="preserve">Lietuvos Aukščiausiasis Teismas nutartyse taip pat laikosi nuoseklios pozicijos, kad baudžiamoji atsakomybė demokratinėje visuomenėje </w:t>
            </w:r>
            <w:r w:rsidRPr="00AF2A77">
              <w:rPr>
                <w:rFonts w:ascii="Times New Roman" w:hAnsi="Times New Roman" w:cs="Times New Roman"/>
                <w:bCs/>
                <w:i/>
                <w:sz w:val="24"/>
                <w:szCs w:val="24"/>
              </w:rPr>
              <w:t>turi būti suvokiama</w:t>
            </w:r>
            <w:r w:rsidRPr="00AF2A77">
              <w:rPr>
                <w:rFonts w:ascii="Times New Roman" w:hAnsi="Times New Roman" w:cs="Times New Roman"/>
                <w:bCs/>
                <w:sz w:val="24"/>
                <w:szCs w:val="24"/>
              </w:rPr>
              <w:t xml:space="preserve"> kaip kraštutinė, paskutinė priemonė (</w:t>
            </w:r>
            <w:r w:rsidRPr="00AF2A77">
              <w:rPr>
                <w:rFonts w:ascii="Times New Roman" w:hAnsi="Times New Roman" w:cs="Times New Roman"/>
                <w:bCs/>
                <w:i/>
                <w:sz w:val="24"/>
                <w:szCs w:val="24"/>
              </w:rPr>
              <w:t>ultima ratio</w:t>
            </w:r>
            <w:r w:rsidRPr="00AF2A77">
              <w:rPr>
                <w:rFonts w:ascii="Times New Roman" w:hAnsi="Times New Roman" w:cs="Times New Roman"/>
                <w:bCs/>
                <w:sz w:val="24"/>
                <w:szCs w:val="24"/>
              </w:rPr>
              <w:t>), naudojama saugomų teisinių gėrių, vertybių apsaugai tais atvejais, kai švelnesnėmis priemonėmis tų pačių tikslų negalima pasiekti</w:t>
            </w:r>
            <w:r>
              <w:rPr>
                <w:rFonts w:ascii="Times New Roman" w:hAnsi="Times New Roman" w:cs="Times New Roman"/>
                <w:bCs/>
                <w:sz w:val="24"/>
                <w:szCs w:val="24"/>
              </w:rPr>
              <w:t>.</w:t>
            </w:r>
          </w:p>
          <w:p w14:paraId="600A502C" w14:textId="59F7989F" w:rsidR="00F014E5" w:rsidRPr="00371C02" w:rsidRDefault="00F014E5" w:rsidP="00192BC9">
            <w:pPr>
              <w:pStyle w:val="PlainText"/>
              <w:tabs>
                <w:tab w:val="left" w:pos="851"/>
              </w:tabs>
              <w:spacing w:after="0" w:line="240" w:lineRule="auto"/>
              <w:jc w:val="both"/>
              <w:rPr>
                <w:rFonts w:ascii="Times New Roman" w:hAnsi="Times New Roman" w:cs="Times New Roman"/>
                <w:sz w:val="24"/>
                <w:szCs w:val="24"/>
              </w:rPr>
            </w:pPr>
            <w:r w:rsidRPr="00F014E5">
              <w:rPr>
                <w:rFonts w:ascii="Times New Roman" w:hAnsi="Times New Roman" w:cs="Times New Roman"/>
                <w:sz w:val="24"/>
                <w:szCs w:val="24"/>
              </w:rPr>
              <w:t xml:space="preserve">Kartu pažymėtina ir tai, kad </w:t>
            </w:r>
            <w:r w:rsidR="006C07CD">
              <w:rPr>
                <w:rFonts w:ascii="Times New Roman" w:hAnsi="Times New Roman" w:cs="Times New Roman"/>
                <w:sz w:val="24"/>
                <w:szCs w:val="24"/>
              </w:rPr>
              <w:t>k</w:t>
            </w:r>
            <w:r w:rsidRPr="00F014E5">
              <w:rPr>
                <w:rFonts w:ascii="Times New Roman" w:hAnsi="Times New Roman" w:cs="Times New Roman"/>
                <w:sz w:val="24"/>
                <w:szCs w:val="24"/>
              </w:rPr>
              <w:t>riminalizavus siūlomą nusikalstamą veiką, ANK įtvirtinta norma galimai praras prasmę, kadangi visais aptariamų simbolių viešojo demonstravimo atvejais iš esmės bus taikoma baudžiamoji atsakomybė, kas nėra suderinama su teisingumo, proporcingumo bei baudžiamosios atsakomybės, kaip kraštutinės priemonės principų reikalavimais.</w:t>
            </w:r>
            <w:r w:rsidR="00146AF4">
              <w:rPr>
                <w:rFonts w:ascii="Times New Roman" w:hAnsi="Times New Roman" w:cs="Times New Roman"/>
                <w:sz w:val="24"/>
                <w:szCs w:val="24"/>
              </w:rPr>
              <w:t xml:space="preserve"> J</w:t>
            </w:r>
            <w:r w:rsidRPr="00F014E5">
              <w:rPr>
                <w:rFonts w:ascii="Times New Roman" w:hAnsi="Times New Roman" w:cs="Times New Roman"/>
                <w:sz w:val="24"/>
                <w:szCs w:val="24"/>
              </w:rPr>
              <w:t>eigu aptariamas neteisėtas veikimas visgi sukeltų neigiamus padarinius (sutrikdytų viešąją tvarką), tokia nusikalstama veika iš esmės jau yra kriminalizuota BK 284 straipsnyje („Viešosios tvarkos pažeidimas“).</w:t>
            </w:r>
          </w:p>
          <w:p w14:paraId="3EB45F90" w14:textId="70750750" w:rsidR="00371C02" w:rsidRPr="00371C02" w:rsidRDefault="00371C02" w:rsidP="00192BC9">
            <w:pPr>
              <w:ind w:firstLine="709"/>
              <w:jc w:val="both"/>
              <w:rPr>
                <w:szCs w:val="24"/>
              </w:rPr>
            </w:pPr>
          </w:p>
        </w:tc>
      </w:tr>
      <w:tr w:rsidR="00552FC1" w:rsidRPr="004433F8" w14:paraId="311F1CD7" w14:textId="77777777" w:rsidTr="00A61CAE">
        <w:trPr>
          <w:trHeight w:hRule="exact" w:val="8384"/>
        </w:trPr>
        <w:tc>
          <w:tcPr>
            <w:tcW w:w="2581" w:type="dxa"/>
          </w:tcPr>
          <w:p w14:paraId="2110F761" w14:textId="38D1A126" w:rsidR="00584D0F" w:rsidRPr="00254538" w:rsidRDefault="00584D0F" w:rsidP="00254538">
            <w:pPr>
              <w:spacing w:after="120"/>
              <w:jc w:val="both"/>
            </w:pPr>
            <w:r w:rsidRPr="00254538">
              <w:rPr>
                <w:szCs w:val="24"/>
              </w:rPr>
              <w:lastRenderedPageBreak/>
              <w:t xml:space="preserve">Lietuvos gyventojų genocido ir rezistencijos tyrimo centro 2021-08-31 raštas Nr. 12R-63 ir 2021-09-17 raštas Nr. 12R-71 </w:t>
            </w:r>
          </w:p>
          <w:p w14:paraId="30C9C814" w14:textId="479F79C2" w:rsidR="00552FC1" w:rsidRPr="00254538" w:rsidRDefault="00552FC1" w:rsidP="00254538">
            <w:pPr>
              <w:jc w:val="both"/>
              <w:rPr>
                <w:bCs/>
                <w:color w:val="0D0D0D"/>
                <w:szCs w:val="24"/>
              </w:rPr>
            </w:pPr>
          </w:p>
        </w:tc>
        <w:tc>
          <w:tcPr>
            <w:tcW w:w="4394" w:type="dxa"/>
          </w:tcPr>
          <w:p w14:paraId="4F8614FB" w14:textId="2B4C40F7" w:rsidR="00584D0F" w:rsidRDefault="00584D0F" w:rsidP="00254538">
            <w:pPr>
              <w:spacing w:after="120"/>
              <w:ind w:firstLine="851"/>
              <w:jc w:val="both"/>
            </w:pPr>
            <w:r w:rsidRPr="00254538">
              <w:t>Siūlome patikslinti Įstatymo projekto 4 straipsnio nuostatas, įrašant, kad „</w:t>
            </w:r>
            <w:r w:rsidRPr="00254538">
              <w:rPr>
                <w:b/>
                <w:i/>
              </w:rPr>
              <w:t>Savivaldybės ir Kultūros paveldo departamentas prie Kultūros ministerijos surenka ir Vyriausybės ar jos įgaliotos institucijos nustatyta tvarka pateikia LGGRTC informaciją apie jų teritorijose, registruose ar kitose duomenų bazėse esančius visus viešuosius objektus, neatitinkančius Įstatymo projekto 2 straipsnio 1 dalies nuostatų</w:t>
            </w:r>
            <w:r w:rsidRPr="00254538">
              <w:t>“.</w:t>
            </w:r>
          </w:p>
          <w:p w14:paraId="27651960" w14:textId="6C8B42F3" w:rsidR="00A61CAE" w:rsidRDefault="00A61CAE" w:rsidP="00254538">
            <w:pPr>
              <w:spacing w:after="120"/>
              <w:ind w:firstLine="851"/>
              <w:jc w:val="both"/>
            </w:pPr>
          </w:p>
          <w:p w14:paraId="359464A1" w14:textId="18E5542D" w:rsidR="00A61CAE" w:rsidRDefault="00A61CAE" w:rsidP="00254538">
            <w:pPr>
              <w:spacing w:after="120"/>
              <w:ind w:firstLine="851"/>
              <w:jc w:val="both"/>
            </w:pPr>
          </w:p>
          <w:p w14:paraId="30DAF41A" w14:textId="77777777" w:rsidR="00A61CAE" w:rsidRPr="00254538" w:rsidRDefault="00A61CAE" w:rsidP="00254538">
            <w:pPr>
              <w:spacing w:after="120"/>
              <w:ind w:firstLine="851"/>
              <w:jc w:val="both"/>
            </w:pPr>
          </w:p>
          <w:p w14:paraId="48F0BC8D" w14:textId="7151FB37" w:rsidR="00552FC1" w:rsidRPr="00254538" w:rsidRDefault="00A61CAE" w:rsidP="00A61CAE">
            <w:pPr>
              <w:tabs>
                <w:tab w:val="left" w:pos="2604"/>
              </w:tabs>
              <w:rPr>
                <w:b/>
                <w:color w:val="0D0D0D"/>
                <w:szCs w:val="24"/>
              </w:rPr>
            </w:pPr>
            <w:r>
              <w:rPr>
                <w:b/>
                <w:color w:val="0D0D0D"/>
                <w:szCs w:val="24"/>
              </w:rPr>
              <w:tab/>
            </w:r>
          </w:p>
        </w:tc>
        <w:tc>
          <w:tcPr>
            <w:tcW w:w="8051" w:type="dxa"/>
          </w:tcPr>
          <w:p w14:paraId="7A8ACFB8" w14:textId="77777777" w:rsidR="00552FC1" w:rsidRDefault="00254538" w:rsidP="00192BC9">
            <w:pPr>
              <w:ind w:firstLine="460"/>
              <w:jc w:val="both"/>
              <w:rPr>
                <w:b/>
                <w:color w:val="0D0D0D"/>
                <w:szCs w:val="24"/>
              </w:rPr>
            </w:pPr>
            <w:r>
              <w:rPr>
                <w:b/>
                <w:color w:val="0D0D0D"/>
                <w:szCs w:val="24"/>
              </w:rPr>
              <w:t>Neatsižvelgta</w:t>
            </w:r>
          </w:p>
          <w:p w14:paraId="6562BC91" w14:textId="12172AF6" w:rsidR="00254538" w:rsidRPr="00254538" w:rsidRDefault="00254538" w:rsidP="00192BC9">
            <w:pPr>
              <w:jc w:val="both"/>
              <w:rPr>
                <w:rFonts w:eastAsia="Times New Roman"/>
                <w:szCs w:val="24"/>
              </w:rPr>
            </w:pPr>
            <w:r>
              <w:rPr>
                <w:rFonts w:eastAsia="Times New Roman"/>
                <w:szCs w:val="24"/>
              </w:rPr>
              <w:t xml:space="preserve">Atkreiptinas dėmesys, kad </w:t>
            </w:r>
            <w:r w:rsidR="00BD1041">
              <w:rPr>
                <w:rFonts w:eastAsia="Times New Roman"/>
                <w:szCs w:val="24"/>
              </w:rPr>
              <w:t xml:space="preserve">Lietuvos gyventojų genocido ir rezistencijos tyrimo centras (toliau – LGGRTC) yra pavaldi Lietuvos Respublikos Seimui institucija, todėl </w:t>
            </w:r>
            <w:r w:rsidR="00A61CAE">
              <w:rPr>
                <w:rFonts w:eastAsia="Times New Roman"/>
                <w:szCs w:val="24"/>
              </w:rPr>
              <w:t>vieš</w:t>
            </w:r>
            <w:r w:rsidR="006C07CD">
              <w:rPr>
                <w:rFonts w:eastAsia="Times New Roman"/>
                <w:szCs w:val="24"/>
              </w:rPr>
              <w:t xml:space="preserve">ųjų </w:t>
            </w:r>
            <w:r w:rsidR="00A61CAE">
              <w:rPr>
                <w:rFonts w:eastAsia="Times New Roman"/>
                <w:szCs w:val="24"/>
              </w:rPr>
              <w:t>objekt</w:t>
            </w:r>
            <w:r w:rsidR="006C07CD">
              <w:rPr>
                <w:rFonts w:eastAsia="Times New Roman"/>
                <w:szCs w:val="24"/>
              </w:rPr>
              <w:t>ų</w:t>
            </w:r>
            <w:r w:rsidR="00A61CAE">
              <w:rPr>
                <w:rFonts w:eastAsia="Times New Roman"/>
                <w:szCs w:val="24"/>
              </w:rPr>
              <w:t>, neatitinkanči</w:t>
            </w:r>
            <w:r w:rsidR="006C07CD">
              <w:rPr>
                <w:rFonts w:eastAsia="Times New Roman"/>
                <w:szCs w:val="24"/>
              </w:rPr>
              <w:t>ų</w:t>
            </w:r>
            <w:r w:rsidR="00A61CAE">
              <w:rPr>
                <w:rFonts w:eastAsia="Times New Roman"/>
                <w:szCs w:val="24"/>
              </w:rPr>
              <w:t xml:space="preserve"> Įstatymo projekto 2 straipsnio 1 dalies nuostatų</w:t>
            </w:r>
            <w:r w:rsidR="005C5592">
              <w:rPr>
                <w:rFonts w:eastAsia="Times New Roman"/>
                <w:szCs w:val="24"/>
              </w:rPr>
              <w:t xml:space="preserve">, </w:t>
            </w:r>
            <w:r w:rsidR="006C07CD">
              <w:rPr>
                <w:rFonts w:eastAsia="Times New Roman"/>
                <w:szCs w:val="24"/>
              </w:rPr>
              <w:t xml:space="preserve">sąrašo sudarymo tvarka </w:t>
            </w:r>
            <w:r w:rsidR="00BD1041">
              <w:rPr>
                <w:rFonts w:eastAsia="Times New Roman"/>
                <w:szCs w:val="24"/>
              </w:rPr>
              <w:t>turi būti nustatyta ne Vyriausybės</w:t>
            </w:r>
            <w:r w:rsidR="006C07CD">
              <w:rPr>
                <w:rFonts w:eastAsia="Times New Roman"/>
                <w:szCs w:val="24"/>
              </w:rPr>
              <w:t xml:space="preserve"> nutarimu</w:t>
            </w:r>
            <w:r w:rsidR="00A61CAE">
              <w:rPr>
                <w:rFonts w:eastAsia="Times New Roman"/>
                <w:szCs w:val="24"/>
              </w:rPr>
              <w:t>, o Seim</w:t>
            </w:r>
            <w:r w:rsidR="006C07CD">
              <w:rPr>
                <w:rFonts w:eastAsia="Times New Roman"/>
                <w:szCs w:val="24"/>
              </w:rPr>
              <w:t>o priimamu teisės aktu</w:t>
            </w:r>
            <w:r w:rsidR="00BD1041">
              <w:rPr>
                <w:rFonts w:eastAsia="Times New Roman"/>
                <w:szCs w:val="24"/>
              </w:rPr>
              <w:t xml:space="preserve">. Be to pastebėtina, kad </w:t>
            </w:r>
            <w:r>
              <w:rPr>
                <w:rFonts w:eastAsia="Times New Roman"/>
                <w:szCs w:val="24"/>
              </w:rPr>
              <w:t>pateiktas</w:t>
            </w:r>
            <w:r w:rsidR="00BD1041">
              <w:rPr>
                <w:rFonts w:eastAsia="Times New Roman"/>
                <w:szCs w:val="24"/>
              </w:rPr>
              <w:t xml:space="preserve"> LGGRTC</w:t>
            </w:r>
            <w:r>
              <w:rPr>
                <w:rFonts w:eastAsia="Times New Roman"/>
                <w:szCs w:val="24"/>
              </w:rPr>
              <w:t xml:space="preserve"> siūlymas</w:t>
            </w:r>
            <w:r w:rsidR="00BD1041">
              <w:rPr>
                <w:rFonts w:eastAsia="Times New Roman"/>
                <w:szCs w:val="24"/>
              </w:rPr>
              <w:t>, kad Kultūros paveldo departamentas prie Kultūros ministerijos (toliau – KPD) pateikia LGGRTC informaciją apie jų teritorijose, registruose ar kitose duomenų bazėse esančius visus viešuosius objektus, neatitinkančius Įstatymo projekto 2 straipsnio 1 dalies nuostatų,</w:t>
            </w:r>
            <w:r>
              <w:rPr>
                <w:rFonts w:eastAsia="Times New Roman"/>
                <w:szCs w:val="24"/>
              </w:rPr>
              <w:t xml:space="preserve"> neatitinka Nekilnojamojo kultūros paveldo apsaugos įstatymo (toliau – NKPAĮ) nuostatų, kuriais būtų </w:t>
            </w:r>
            <w:r w:rsidRPr="00254538">
              <w:rPr>
                <w:rFonts w:eastAsia="Times New Roman"/>
                <w:szCs w:val="24"/>
              </w:rPr>
              <w:t>praplėst</w:t>
            </w:r>
            <w:r>
              <w:rPr>
                <w:rFonts w:eastAsia="Times New Roman"/>
                <w:szCs w:val="24"/>
              </w:rPr>
              <w:t xml:space="preserve">a </w:t>
            </w:r>
            <w:r w:rsidRPr="00254538">
              <w:rPr>
                <w:rFonts w:eastAsia="Times New Roman"/>
                <w:szCs w:val="24"/>
              </w:rPr>
              <w:t>KPD kompetencij</w:t>
            </w:r>
            <w:r>
              <w:rPr>
                <w:rFonts w:eastAsia="Times New Roman"/>
                <w:szCs w:val="24"/>
              </w:rPr>
              <w:t>a</w:t>
            </w:r>
            <w:r w:rsidRPr="00254538">
              <w:rPr>
                <w:rFonts w:eastAsia="Times New Roman"/>
                <w:szCs w:val="24"/>
              </w:rPr>
              <w:t>, o pagal NKPAĮ 5 str.</w:t>
            </w:r>
            <w:r w:rsidR="006C07CD">
              <w:rPr>
                <w:rFonts w:eastAsia="Times New Roman"/>
                <w:szCs w:val="24"/>
              </w:rPr>
              <w:t xml:space="preserve"> </w:t>
            </w:r>
            <w:r w:rsidRPr="00254538">
              <w:rPr>
                <w:rFonts w:eastAsia="Times New Roman"/>
                <w:szCs w:val="24"/>
              </w:rPr>
              <w:t>10 d. nustatytas KPD funkcijas, tokia pareiga jiems nenumatyta</w:t>
            </w:r>
            <w:r w:rsidR="00A61CAE">
              <w:rPr>
                <w:rFonts w:eastAsia="Times New Roman"/>
                <w:szCs w:val="24"/>
              </w:rPr>
              <w:t xml:space="preserve"> ir tai reikalautų papildomų finansinių išteklių</w:t>
            </w:r>
            <w:r w:rsidRPr="00254538">
              <w:rPr>
                <w:rFonts w:eastAsia="Times New Roman"/>
                <w:szCs w:val="24"/>
              </w:rPr>
              <w:t>. Šiuo atveju</w:t>
            </w:r>
            <w:r>
              <w:rPr>
                <w:rFonts w:eastAsia="Times New Roman"/>
                <w:szCs w:val="24"/>
              </w:rPr>
              <w:t>,</w:t>
            </w:r>
            <w:r w:rsidRPr="00254538">
              <w:rPr>
                <w:rFonts w:eastAsia="Times New Roman"/>
                <w:szCs w:val="24"/>
              </w:rPr>
              <w:t xml:space="preserve"> KPD kompetencija yra nurodyta Įstatymo projekto 3 straipsnio 3 dalyj</w:t>
            </w:r>
            <w:r>
              <w:rPr>
                <w:rFonts w:eastAsia="Times New Roman"/>
                <w:szCs w:val="24"/>
              </w:rPr>
              <w:t>e „</w:t>
            </w:r>
            <w:r w:rsidRPr="00254538">
              <w:rPr>
                <w:rFonts w:eastAsia="Times New Roman"/>
                <w:i/>
                <w:iCs/>
                <w:szCs w:val="24"/>
              </w:rPr>
              <w:t>Viešojo objekto, neatitinkančio šio įstatymo 2 straipsnio 1 dalies nuostatų, bet esančio kultūros vertybėse, pašalinimas derinamas su Kultūros paveldo departamentu prie Kultūros ministerijos</w:t>
            </w:r>
            <w:r w:rsidR="00192BC9">
              <w:rPr>
                <w:rFonts w:eastAsia="Times New Roman"/>
                <w:i/>
                <w:iCs/>
                <w:szCs w:val="24"/>
              </w:rPr>
              <w:t>“</w:t>
            </w:r>
            <w:r w:rsidRPr="00254538">
              <w:rPr>
                <w:rFonts w:eastAsia="Times New Roman"/>
                <w:i/>
                <w:iCs/>
                <w:szCs w:val="24"/>
              </w:rPr>
              <w:t>,</w:t>
            </w:r>
            <w:r>
              <w:rPr>
                <w:rFonts w:eastAsia="Times New Roman"/>
                <w:szCs w:val="24"/>
              </w:rPr>
              <w:t xml:space="preserve"> kuri atitinka NKPAĮ</w:t>
            </w:r>
            <w:r w:rsidR="00192BC9">
              <w:rPr>
                <w:rFonts w:eastAsia="Times New Roman"/>
                <w:szCs w:val="24"/>
              </w:rPr>
              <w:t xml:space="preserve"> nuostatas</w:t>
            </w:r>
            <w:r w:rsidRPr="00254538">
              <w:rPr>
                <w:rFonts w:eastAsia="Times New Roman"/>
                <w:szCs w:val="24"/>
              </w:rPr>
              <w:t>. Be to, viešųjų objektų prieštaraujančių šio įstatymo 2 straipsnyje 1 dalyje įvardintoms nuostatoms, gali būti ne tik kultūros paveldo objektuose.</w:t>
            </w:r>
          </w:p>
          <w:p w14:paraId="43C9D5E2" w14:textId="60BAD503" w:rsidR="00254538" w:rsidRPr="00254538" w:rsidRDefault="00254538" w:rsidP="00192BC9">
            <w:pPr>
              <w:ind w:firstLine="460"/>
              <w:jc w:val="both"/>
              <w:rPr>
                <w:bCs/>
                <w:color w:val="0D0D0D"/>
                <w:szCs w:val="24"/>
              </w:rPr>
            </w:pPr>
          </w:p>
        </w:tc>
      </w:tr>
    </w:tbl>
    <w:p w14:paraId="3EB45F92" w14:textId="77777777" w:rsidR="00C17D33" w:rsidRDefault="00C17D33" w:rsidP="00192BC9">
      <w:pPr>
        <w:jc w:val="both"/>
      </w:pPr>
    </w:p>
    <w:sectPr w:rsidR="00C17D33" w:rsidSect="00E21CD7">
      <w:headerReference w:type="default" r:id="rId7"/>
      <w:pgSz w:w="16838" w:h="11906" w:orient="landscape"/>
      <w:pgMar w:top="127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30D9" w14:textId="77777777" w:rsidR="00F669A5" w:rsidRDefault="00F669A5" w:rsidP="00325D9F">
      <w:r>
        <w:separator/>
      </w:r>
    </w:p>
  </w:endnote>
  <w:endnote w:type="continuationSeparator" w:id="0">
    <w:p w14:paraId="6E2EE004" w14:textId="77777777" w:rsidR="00F669A5" w:rsidRDefault="00F669A5" w:rsidP="0032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683C" w14:textId="77777777" w:rsidR="00F669A5" w:rsidRDefault="00F669A5" w:rsidP="00325D9F">
      <w:r>
        <w:separator/>
      </w:r>
    </w:p>
  </w:footnote>
  <w:footnote w:type="continuationSeparator" w:id="0">
    <w:p w14:paraId="0620E9ED" w14:textId="77777777" w:rsidR="00F669A5" w:rsidRDefault="00F669A5" w:rsidP="00325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288014"/>
      <w:docPartObj>
        <w:docPartGallery w:val="Page Numbers (Top of Page)"/>
        <w:docPartUnique/>
      </w:docPartObj>
    </w:sdtPr>
    <w:sdtEndPr>
      <w:rPr>
        <w:noProof/>
      </w:rPr>
    </w:sdtEndPr>
    <w:sdtContent>
      <w:p w14:paraId="0196B438" w14:textId="631D85F3" w:rsidR="00C17D33" w:rsidRDefault="00C17D33">
        <w:pPr>
          <w:pStyle w:val="Header"/>
          <w:jc w:val="center"/>
        </w:pPr>
        <w:r>
          <w:fldChar w:fldCharType="begin"/>
        </w:r>
        <w:r>
          <w:instrText xml:space="preserve"> PAGE   \* MERGEFORMAT </w:instrText>
        </w:r>
        <w:r>
          <w:fldChar w:fldCharType="separate"/>
        </w:r>
        <w:r w:rsidR="000F1C74">
          <w:rPr>
            <w:noProof/>
          </w:rPr>
          <w:t>2</w:t>
        </w:r>
        <w:r>
          <w:rPr>
            <w:noProof/>
          </w:rPr>
          <w:fldChar w:fldCharType="end"/>
        </w:r>
      </w:p>
    </w:sdtContent>
  </w:sdt>
  <w:p w14:paraId="2767695F" w14:textId="77777777" w:rsidR="00C17D33" w:rsidRDefault="00C17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430D"/>
    <w:multiLevelType w:val="hybridMultilevel"/>
    <w:tmpl w:val="22CC5C7E"/>
    <w:lvl w:ilvl="0" w:tplc="B05E80F8">
      <w:start w:val="1"/>
      <w:numFmt w:val="decimal"/>
      <w:suff w:val="space"/>
      <w:lvlText w:val="%1."/>
      <w:lvlJc w:val="left"/>
      <w:pPr>
        <w:ind w:left="0" w:firstLine="6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40360AE"/>
    <w:multiLevelType w:val="multilevel"/>
    <w:tmpl w:val="8C5AF97C"/>
    <w:lvl w:ilvl="0">
      <w:start w:val="2018"/>
      <w:numFmt w:val="decimal"/>
      <w:lvlText w:val="%1"/>
      <w:lvlJc w:val="left"/>
      <w:pPr>
        <w:ind w:left="1110" w:hanging="1110"/>
      </w:pPr>
      <w:rPr>
        <w:rFonts w:hint="default"/>
      </w:rPr>
    </w:lvl>
    <w:lvl w:ilvl="1">
      <w:start w:val="4"/>
      <w:numFmt w:val="decimalZero"/>
      <w:lvlText w:val="%1-%2"/>
      <w:lvlJc w:val="left"/>
      <w:pPr>
        <w:ind w:left="1110" w:hanging="1110"/>
      </w:pPr>
      <w:rPr>
        <w:rFonts w:hint="default"/>
      </w:rPr>
    </w:lvl>
    <w:lvl w:ilvl="2">
      <w:start w:val="6"/>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3A7B5B"/>
    <w:multiLevelType w:val="hybridMultilevel"/>
    <w:tmpl w:val="45C4E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10CF0"/>
    <w:multiLevelType w:val="multilevel"/>
    <w:tmpl w:val="2C0A0A00"/>
    <w:lvl w:ilvl="0">
      <w:start w:val="1"/>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Zero"/>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 w15:restartNumberingAfterBreak="0">
    <w:nsid w:val="5CF57AF9"/>
    <w:multiLevelType w:val="multilevel"/>
    <w:tmpl w:val="EA88094E"/>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5FC55C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614169"/>
    <w:multiLevelType w:val="hybridMultilevel"/>
    <w:tmpl w:val="4EB03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B0578"/>
    <w:multiLevelType w:val="hybridMultilevel"/>
    <w:tmpl w:val="D398F48A"/>
    <w:lvl w:ilvl="0" w:tplc="5DF05E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8EC3D2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9E4407"/>
    <w:multiLevelType w:val="hybridMultilevel"/>
    <w:tmpl w:val="19C8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5567E"/>
    <w:multiLevelType w:val="hybridMultilevel"/>
    <w:tmpl w:val="3F6A5A60"/>
    <w:lvl w:ilvl="0" w:tplc="56626DAE">
      <w:numFmt w:val="bullet"/>
      <w:lvlText w:val="-"/>
      <w:lvlJc w:val="left"/>
      <w:pPr>
        <w:ind w:left="927" w:hanging="360"/>
      </w:pPr>
      <w:rPr>
        <w:rFonts w:ascii="Times New Roman" w:eastAsia="Times New Roman" w:hAnsi="Times New Roman" w:cs="Times New Roman" w:hint="default"/>
      </w:rPr>
    </w:lvl>
    <w:lvl w:ilvl="1" w:tplc="04270001">
      <w:start w:val="1"/>
      <w:numFmt w:val="bullet"/>
      <w:lvlText w:val=""/>
      <w:lvlJc w:val="left"/>
      <w:pPr>
        <w:ind w:left="1647" w:hanging="360"/>
      </w:pPr>
      <w:rPr>
        <w:rFonts w:ascii="Symbol" w:hAnsi="Symbol" w:hint="default"/>
      </w:rPr>
    </w:lvl>
    <w:lvl w:ilvl="2" w:tplc="04270005">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1"/>
  </w:num>
  <w:num w:numId="6">
    <w:abstractNumId w:val="10"/>
  </w:num>
  <w:num w:numId="7">
    <w:abstractNumId w:val="6"/>
  </w:num>
  <w:num w:numId="8">
    <w:abstractNumId w:val="2"/>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47"/>
    <w:rsid w:val="000055EE"/>
    <w:rsid w:val="00006265"/>
    <w:rsid w:val="00020E10"/>
    <w:rsid w:val="00025C74"/>
    <w:rsid w:val="00035DA0"/>
    <w:rsid w:val="000534B4"/>
    <w:rsid w:val="000648D8"/>
    <w:rsid w:val="000678C9"/>
    <w:rsid w:val="00096960"/>
    <w:rsid w:val="000A52D2"/>
    <w:rsid w:val="000D75C0"/>
    <w:rsid w:val="000E3493"/>
    <w:rsid w:val="000F1C74"/>
    <w:rsid w:val="000F30EF"/>
    <w:rsid w:val="0011393B"/>
    <w:rsid w:val="001261E6"/>
    <w:rsid w:val="00146AF4"/>
    <w:rsid w:val="00180CB1"/>
    <w:rsid w:val="00192BC9"/>
    <w:rsid w:val="001E2883"/>
    <w:rsid w:val="002146BA"/>
    <w:rsid w:val="0021700C"/>
    <w:rsid w:val="0023626A"/>
    <w:rsid w:val="00236D28"/>
    <w:rsid w:val="0025155A"/>
    <w:rsid w:val="00254538"/>
    <w:rsid w:val="00267616"/>
    <w:rsid w:val="00314640"/>
    <w:rsid w:val="00325D9F"/>
    <w:rsid w:val="00364E33"/>
    <w:rsid w:val="00371C02"/>
    <w:rsid w:val="0039012F"/>
    <w:rsid w:val="003A220F"/>
    <w:rsid w:val="003C465D"/>
    <w:rsid w:val="003D0B87"/>
    <w:rsid w:val="003E105A"/>
    <w:rsid w:val="003E544F"/>
    <w:rsid w:val="003E6641"/>
    <w:rsid w:val="0040143B"/>
    <w:rsid w:val="00432BE9"/>
    <w:rsid w:val="00442963"/>
    <w:rsid w:val="00453BC4"/>
    <w:rsid w:val="004907CD"/>
    <w:rsid w:val="004A7F2C"/>
    <w:rsid w:val="00552FC1"/>
    <w:rsid w:val="00570EEC"/>
    <w:rsid w:val="00584D0F"/>
    <w:rsid w:val="005C304E"/>
    <w:rsid w:val="005C5592"/>
    <w:rsid w:val="005D132A"/>
    <w:rsid w:val="005F68B6"/>
    <w:rsid w:val="0061573B"/>
    <w:rsid w:val="00634F52"/>
    <w:rsid w:val="0065462A"/>
    <w:rsid w:val="0066495D"/>
    <w:rsid w:val="00665A3B"/>
    <w:rsid w:val="00675739"/>
    <w:rsid w:val="0068703F"/>
    <w:rsid w:val="006942B8"/>
    <w:rsid w:val="006B0299"/>
    <w:rsid w:val="006C07CD"/>
    <w:rsid w:val="006D0D21"/>
    <w:rsid w:val="006F428B"/>
    <w:rsid w:val="00716D25"/>
    <w:rsid w:val="00723E34"/>
    <w:rsid w:val="00782754"/>
    <w:rsid w:val="007B3713"/>
    <w:rsid w:val="007F761D"/>
    <w:rsid w:val="008100BE"/>
    <w:rsid w:val="00812546"/>
    <w:rsid w:val="00814D98"/>
    <w:rsid w:val="00823619"/>
    <w:rsid w:val="00851CB8"/>
    <w:rsid w:val="0086416E"/>
    <w:rsid w:val="008835A3"/>
    <w:rsid w:val="008A0947"/>
    <w:rsid w:val="008B402E"/>
    <w:rsid w:val="008C2BA9"/>
    <w:rsid w:val="00934C24"/>
    <w:rsid w:val="0094219F"/>
    <w:rsid w:val="00967C52"/>
    <w:rsid w:val="009A30ED"/>
    <w:rsid w:val="009D1A3F"/>
    <w:rsid w:val="00A169BA"/>
    <w:rsid w:val="00A379FB"/>
    <w:rsid w:val="00A61CAE"/>
    <w:rsid w:val="00A65435"/>
    <w:rsid w:val="00A769A4"/>
    <w:rsid w:val="00AA58BC"/>
    <w:rsid w:val="00B20DB2"/>
    <w:rsid w:val="00B3235E"/>
    <w:rsid w:val="00B34048"/>
    <w:rsid w:val="00B409EF"/>
    <w:rsid w:val="00B64D65"/>
    <w:rsid w:val="00B81967"/>
    <w:rsid w:val="00B93E6E"/>
    <w:rsid w:val="00BD1041"/>
    <w:rsid w:val="00BE7D60"/>
    <w:rsid w:val="00BF781E"/>
    <w:rsid w:val="00C17D33"/>
    <w:rsid w:val="00C538F3"/>
    <w:rsid w:val="00C53CEC"/>
    <w:rsid w:val="00C549E5"/>
    <w:rsid w:val="00CB28AE"/>
    <w:rsid w:val="00D35632"/>
    <w:rsid w:val="00D36DFF"/>
    <w:rsid w:val="00D45F88"/>
    <w:rsid w:val="00D52821"/>
    <w:rsid w:val="00D85EEC"/>
    <w:rsid w:val="00DB5587"/>
    <w:rsid w:val="00E17F28"/>
    <w:rsid w:val="00E21CD7"/>
    <w:rsid w:val="00E266F2"/>
    <w:rsid w:val="00E2716C"/>
    <w:rsid w:val="00E27AFA"/>
    <w:rsid w:val="00E329AF"/>
    <w:rsid w:val="00E67FE6"/>
    <w:rsid w:val="00E70030"/>
    <w:rsid w:val="00E85ADF"/>
    <w:rsid w:val="00EA00E6"/>
    <w:rsid w:val="00EA0420"/>
    <w:rsid w:val="00EB1927"/>
    <w:rsid w:val="00EB7436"/>
    <w:rsid w:val="00EC6638"/>
    <w:rsid w:val="00ED065C"/>
    <w:rsid w:val="00ED2FE6"/>
    <w:rsid w:val="00ED6D34"/>
    <w:rsid w:val="00F014E5"/>
    <w:rsid w:val="00F30D90"/>
    <w:rsid w:val="00F450F7"/>
    <w:rsid w:val="00F669A5"/>
    <w:rsid w:val="00F83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5F87"/>
  <w15:docId w15:val="{D7D00E79-0252-4C03-9DA5-B7B90838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47"/>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947"/>
    <w:pPr>
      <w:suppressAutoHyphens/>
      <w:ind w:left="720"/>
      <w:contextualSpacing/>
    </w:pPr>
    <w:rPr>
      <w:rFonts w:eastAsia="Times New Roman"/>
      <w:szCs w:val="24"/>
      <w:lang w:eastAsia="ar-SA"/>
    </w:rPr>
  </w:style>
  <w:style w:type="character" w:styleId="CommentReference">
    <w:name w:val="annotation reference"/>
    <w:basedOn w:val="DefaultParagraphFont"/>
    <w:uiPriority w:val="99"/>
    <w:semiHidden/>
    <w:unhideWhenUsed/>
    <w:rsid w:val="0065462A"/>
    <w:rPr>
      <w:sz w:val="16"/>
      <w:szCs w:val="16"/>
    </w:rPr>
  </w:style>
  <w:style w:type="paragraph" w:styleId="CommentText">
    <w:name w:val="annotation text"/>
    <w:basedOn w:val="Normal"/>
    <w:link w:val="CommentTextChar"/>
    <w:uiPriority w:val="99"/>
    <w:semiHidden/>
    <w:unhideWhenUsed/>
    <w:rsid w:val="0065462A"/>
    <w:rPr>
      <w:sz w:val="20"/>
    </w:rPr>
  </w:style>
  <w:style w:type="character" w:customStyle="1" w:styleId="CommentTextChar">
    <w:name w:val="Comment Text Char"/>
    <w:basedOn w:val="DefaultParagraphFont"/>
    <w:link w:val="CommentText"/>
    <w:uiPriority w:val="99"/>
    <w:semiHidden/>
    <w:rsid w:val="006546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462A"/>
    <w:rPr>
      <w:b/>
      <w:bCs/>
    </w:rPr>
  </w:style>
  <w:style w:type="character" w:customStyle="1" w:styleId="CommentSubjectChar">
    <w:name w:val="Comment Subject Char"/>
    <w:basedOn w:val="CommentTextChar"/>
    <w:link w:val="CommentSubject"/>
    <w:uiPriority w:val="99"/>
    <w:semiHidden/>
    <w:rsid w:val="0065462A"/>
    <w:rPr>
      <w:rFonts w:ascii="Times New Roman" w:eastAsia="Calibri" w:hAnsi="Times New Roman" w:cs="Times New Roman"/>
      <w:b/>
      <w:bCs/>
      <w:sz w:val="20"/>
      <w:szCs w:val="20"/>
    </w:rPr>
  </w:style>
  <w:style w:type="paragraph" w:styleId="Revision">
    <w:name w:val="Revision"/>
    <w:hidden/>
    <w:uiPriority w:val="99"/>
    <w:semiHidden/>
    <w:rsid w:val="0065462A"/>
    <w:pPr>
      <w:spacing w:after="0" w:line="240" w:lineRule="auto"/>
    </w:pPr>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65462A"/>
    <w:rPr>
      <w:rFonts w:ascii="Tahoma" w:hAnsi="Tahoma" w:cs="Tahoma"/>
      <w:sz w:val="16"/>
      <w:szCs w:val="16"/>
    </w:rPr>
  </w:style>
  <w:style w:type="character" w:customStyle="1" w:styleId="BalloonTextChar">
    <w:name w:val="Balloon Text Char"/>
    <w:basedOn w:val="DefaultParagraphFont"/>
    <w:link w:val="BalloonText"/>
    <w:uiPriority w:val="99"/>
    <w:semiHidden/>
    <w:rsid w:val="0065462A"/>
    <w:rPr>
      <w:rFonts w:ascii="Tahoma" w:eastAsia="Calibri" w:hAnsi="Tahoma" w:cs="Tahoma"/>
      <w:sz w:val="16"/>
      <w:szCs w:val="16"/>
    </w:rPr>
  </w:style>
  <w:style w:type="character" w:customStyle="1" w:styleId="dlxnowrap1">
    <w:name w:val="dlxnowrap1"/>
    <w:basedOn w:val="DefaultParagraphFont"/>
    <w:rsid w:val="00D35632"/>
  </w:style>
  <w:style w:type="paragraph" w:styleId="Header">
    <w:name w:val="header"/>
    <w:basedOn w:val="Normal"/>
    <w:link w:val="HeaderChar"/>
    <w:uiPriority w:val="99"/>
    <w:unhideWhenUsed/>
    <w:rsid w:val="00325D9F"/>
    <w:pPr>
      <w:tabs>
        <w:tab w:val="center" w:pos="4819"/>
        <w:tab w:val="right" w:pos="9638"/>
      </w:tabs>
    </w:pPr>
  </w:style>
  <w:style w:type="character" w:customStyle="1" w:styleId="HeaderChar">
    <w:name w:val="Header Char"/>
    <w:basedOn w:val="DefaultParagraphFont"/>
    <w:link w:val="Header"/>
    <w:uiPriority w:val="99"/>
    <w:rsid w:val="00325D9F"/>
    <w:rPr>
      <w:rFonts w:ascii="Times New Roman" w:eastAsia="Calibri" w:hAnsi="Times New Roman" w:cs="Times New Roman"/>
      <w:sz w:val="24"/>
      <w:szCs w:val="20"/>
    </w:rPr>
  </w:style>
  <w:style w:type="paragraph" w:styleId="Footer">
    <w:name w:val="footer"/>
    <w:basedOn w:val="Normal"/>
    <w:link w:val="FooterChar"/>
    <w:uiPriority w:val="99"/>
    <w:unhideWhenUsed/>
    <w:rsid w:val="00325D9F"/>
    <w:pPr>
      <w:tabs>
        <w:tab w:val="center" w:pos="4819"/>
        <w:tab w:val="right" w:pos="9638"/>
      </w:tabs>
    </w:pPr>
  </w:style>
  <w:style w:type="character" w:customStyle="1" w:styleId="FooterChar">
    <w:name w:val="Footer Char"/>
    <w:basedOn w:val="DefaultParagraphFont"/>
    <w:link w:val="Footer"/>
    <w:uiPriority w:val="99"/>
    <w:rsid w:val="00325D9F"/>
    <w:rPr>
      <w:rFonts w:ascii="Times New Roman" w:eastAsia="Calibri" w:hAnsi="Times New Roman" w:cs="Times New Roman"/>
      <w:sz w:val="24"/>
      <w:szCs w:val="20"/>
    </w:rPr>
  </w:style>
  <w:style w:type="paragraph" w:customStyle="1" w:styleId="AssecoParagraphNormalFirstLine">
    <w:name w:val="Asseco Paragraph Normal First Line"/>
    <w:basedOn w:val="Normal"/>
    <w:qFormat/>
    <w:rsid w:val="00570EEC"/>
    <w:pPr>
      <w:ind w:firstLine="709"/>
      <w:jc w:val="both"/>
    </w:pPr>
    <w:rPr>
      <w:rFonts w:ascii="Calibri" w:eastAsia="Times New Roman" w:hAnsi="Calibri"/>
      <w:sz w:val="22"/>
      <w:lang w:eastAsia="pl-PL"/>
    </w:rPr>
  </w:style>
  <w:style w:type="character" w:styleId="Hyperlink">
    <w:name w:val="Hyperlink"/>
    <w:basedOn w:val="DefaultParagraphFont"/>
    <w:uiPriority w:val="99"/>
    <w:semiHidden/>
    <w:unhideWhenUsed/>
    <w:rsid w:val="00B34048"/>
    <w:rPr>
      <w:color w:val="0000FF"/>
      <w:u w:val="single"/>
    </w:rPr>
  </w:style>
  <w:style w:type="paragraph" w:styleId="PlainText">
    <w:name w:val="Plain Text"/>
    <w:basedOn w:val="Normal"/>
    <w:link w:val="PlainTextChar"/>
    <w:uiPriority w:val="99"/>
    <w:unhideWhenUsed/>
    <w:qFormat/>
    <w:rsid w:val="00371C02"/>
    <w:pPr>
      <w:spacing w:after="160" w:line="259"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qFormat/>
    <w:rsid w:val="00371C0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4602</Words>
  <Characters>2624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Sabina Maliavkina</dc:creator>
  <cp:lastModifiedBy>Kristina Krikštaponienė</cp:lastModifiedBy>
  <cp:revision>3</cp:revision>
  <dcterms:created xsi:type="dcterms:W3CDTF">2021-10-28T11:24:00Z</dcterms:created>
  <dcterms:modified xsi:type="dcterms:W3CDTF">2021-10-28T11:34:00Z</dcterms:modified>
</cp:coreProperties>
</file>