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8128A" w14:textId="008DC08E" w:rsidR="00161A90" w:rsidRDefault="00161A90" w:rsidP="00161A90">
      <w:pPr>
        <w:pStyle w:val="BodyA"/>
        <w:jc w:val="center"/>
        <w:rPr>
          <w:rFonts w:hAnsi="Times New Roman" w:cs="Times New Roman"/>
          <w:b/>
          <w:bCs/>
          <w:caps/>
          <w:lang w:val="lt-LT"/>
        </w:rPr>
      </w:pPr>
      <w:r w:rsidRPr="003F18DB">
        <w:rPr>
          <w:rFonts w:hAnsi="Times New Roman" w:cs="Times New Roman"/>
          <w:b/>
          <w:bCs/>
          <w:caps/>
          <w:lang w:val="lt-LT"/>
        </w:rPr>
        <w:t>PAŽYMA</w:t>
      </w:r>
    </w:p>
    <w:p w14:paraId="5920C720" w14:textId="16A25897" w:rsidR="00C9706E" w:rsidRDefault="00C9706E" w:rsidP="00161A90">
      <w:pPr>
        <w:pStyle w:val="BodyA"/>
        <w:jc w:val="center"/>
        <w:rPr>
          <w:rFonts w:hAnsi="Times New Roman" w:cs="Times New Roman"/>
          <w:b/>
          <w:bCs/>
          <w:caps/>
          <w:lang w:val="lt-LT"/>
        </w:rPr>
      </w:pPr>
      <w:r w:rsidRPr="003F18DB">
        <w:rPr>
          <w:rFonts w:hAnsi="Times New Roman" w:cs="Times New Roman"/>
          <w:b/>
          <w:bCs/>
          <w:caps/>
          <w:lang w:val="lt-LT"/>
        </w:rPr>
        <w:t>Teisingumo m</w:t>
      </w:r>
      <w:r w:rsidR="00D45540">
        <w:rPr>
          <w:rFonts w:hAnsi="Times New Roman" w:cs="Times New Roman"/>
          <w:b/>
          <w:bCs/>
          <w:caps/>
          <w:lang w:val="lt-LT"/>
        </w:rPr>
        <w:t>i</w:t>
      </w:r>
      <w:r w:rsidRPr="003F18DB">
        <w:rPr>
          <w:rFonts w:hAnsi="Times New Roman" w:cs="Times New Roman"/>
          <w:b/>
          <w:bCs/>
          <w:caps/>
          <w:lang w:val="lt-LT"/>
        </w:rPr>
        <w:t>nistrų neformalus susitikimas 20</w:t>
      </w:r>
      <w:r w:rsidR="00D45540">
        <w:rPr>
          <w:rFonts w:hAnsi="Times New Roman" w:cs="Times New Roman"/>
          <w:b/>
          <w:bCs/>
          <w:caps/>
          <w:lang w:val="lt-LT"/>
        </w:rPr>
        <w:t>21</w:t>
      </w:r>
      <w:r w:rsidRPr="003F18DB">
        <w:rPr>
          <w:rFonts w:hAnsi="Times New Roman" w:cs="Times New Roman"/>
          <w:b/>
          <w:bCs/>
          <w:caps/>
          <w:lang w:val="lt-LT"/>
        </w:rPr>
        <w:t xml:space="preserve"> m. </w:t>
      </w:r>
      <w:r w:rsidR="00D45540">
        <w:rPr>
          <w:rFonts w:hAnsi="Times New Roman" w:cs="Times New Roman"/>
          <w:b/>
          <w:bCs/>
          <w:caps/>
          <w:lang w:val="lt-LT"/>
        </w:rPr>
        <w:t>kovo</w:t>
      </w:r>
      <w:r w:rsidRPr="003F18DB">
        <w:rPr>
          <w:rFonts w:hAnsi="Times New Roman" w:cs="Times New Roman"/>
          <w:b/>
          <w:bCs/>
          <w:caps/>
          <w:lang w:val="lt-LT"/>
        </w:rPr>
        <w:t xml:space="preserve"> </w:t>
      </w:r>
      <w:r w:rsidR="00D45540">
        <w:rPr>
          <w:rFonts w:hAnsi="Times New Roman" w:cs="Times New Roman"/>
          <w:b/>
          <w:bCs/>
          <w:caps/>
          <w:lang w:val="lt-LT"/>
        </w:rPr>
        <w:t>11</w:t>
      </w:r>
      <w:r w:rsidRPr="003F18DB">
        <w:rPr>
          <w:rFonts w:hAnsi="Times New Roman" w:cs="Times New Roman"/>
          <w:b/>
          <w:bCs/>
          <w:caps/>
          <w:lang w:val="lt-LT"/>
        </w:rPr>
        <w:t xml:space="preserve"> d. (vaizdo konferencija)</w:t>
      </w:r>
    </w:p>
    <w:p w14:paraId="6D2D644E" w14:textId="016E012C" w:rsidR="00A779E6" w:rsidRDefault="00A779E6" w:rsidP="00161A90">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A779E6" w:rsidRPr="00FA71B6" w14:paraId="0B86CC53" w14:textId="77777777" w:rsidTr="006320C4">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FB1FDF" w14:textId="77777777" w:rsidR="00A779E6" w:rsidRDefault="00A779E6" w:rsidP="006320C4">
            <w:pPr>
              <w:pStyle w:val="BodyA"/>
              <w:jc w:val="both"/>
              <w:rPr>
                <w:rFonts w:hAnsi="Times New Roman" w:cs="Times New Roman"/>
                <w:lang w:val="lt-LT"/>
              </w:rPr>
            </w:pPr>
          </w:p>
          <w:p w14:paraId="642DFF50" w14:textId="77777777" w:rsidR="00A779E6" w:rsidRPr="00A779E6" w:rsidRDefault="00A779E6" w:rsidP="00F12B57">
            <w:pPr>
              <w:tabs>
                <w:tab w:val="left" w:pos="370"/>
              </w:tabs>
              <w:ind w:left="370"/>
              <w:jc w:val="both"/>
              <w:rPr>
                <w:rFonts w:hAnsi="Arial Unicode MS" w:cs="Arial Unicode MS"/>
                <w:color w:val="000000"/>
                <w:u w:color="000000"/>
                <w:lang w:val="lt-LT"/>
              </w:rPr>
            </w:pPr>
            <w:r w:rsidRPr="00A779E6">
              <w:rPr>
                <w:b/>
                <w:bCs/>
                <w:color w:val="000000"/>
                <w:u w:color="000000"/>
                <w:lang w:val="lt-LT"/>
              </w:rPr>
              <w:t>Kiti klausimai (AOB). Dabartiniai pasiūlymai dėl teisės aktų (viešas klausimas</w:t>
            </w:r>
            <w:r w:rsidRPr="00A779E6">
              <w:rPr>
                <w:color w:val="000000"/>
                <w:u w:color="000000"/>
                <w:lang w:val="lt-LT"/>
              </w:rPr>
              <w:t>)</w:t>
            </w:r>
            <w:r w:rsidRPr="00A779E6">
              <w:rPr>
                <w:rFonts w:hAnsi="Arial Unicode MS" w:cs="Arial Unicode MS"/>
                <w:color w:val="000000"/>
                <w:u w:color="000000"/>
                <w:lang w:val="lt-LT"/>
              </w:rPr>
              <w:t xml:space="preserve"> </w:t>
            </w:r>
          </w:p>
          <w:p w14:paraId="53A89912" w14:textId="77777777" w:rsidR="00A779E6" w:rsidRPr="00A779E6" w:rsidRDefault="00A779E6" w:rsidP="00A779E6">
            <w:pPr>
              <w:ind w:left="370"/>
              <w:jc w:val="both"/>
              <w:rPr>
                <w:color w:val="000000"/>
                <w:u w:color="000000"/>
                <w:lang w:val="lt-LT"/>
              </w:rPr>
            </w:pPr>
            <w:proofErr w:type="spellStart"/>
            <w:r w:rsidRPr="00A779E6">
              <w:rPr>
                <w:color w:val="000000"/>
                <w:u w:color="000000"/>
                <w:lang w:val="lt-LT"/>
              </w:rPr>
              <w:t>Current</w:t>
            </w:r>
            <w:proofErr w:type="spellEnd"/>
            <w:r w:rsidRPr="00A779E6">
              <w:rPr>
                <w:color w:val="000000"/>
                <w:u w:color="000000"/>
                <w:lang w:val="lt-LT"/>
              </w:rPr>
              <w:t xml:space="preserve"> </w:t>
            </w:r>
            <w:proofErr w:type="spellStart"/>
            <w:r w:rsidRPr="00A779E6">
              <w:rPr>
                <w:color w:val="000000"/>
                <w:u w:color="000000"/>
                <w:lang w:val="lt-LT"/>
              </w:rPr>
              <w:t>legislative</w:t>
            </w:r>
            <w:proofErr w:type="spellEnd"/>
            <w:r w:rsidRPr="00A779E6">
              <w:rPr>
                <w:color w:val="000000"/>
                <w:u w:color="000000"/>
                <w:lang w:val="lt-LT"/>
              </w:rPr>
              <w:t xml:space="preserve"> </w:t>
            </w:r>
            <w:proofErr w:type="spellStart"/>
            <w:r w:rsidRPr="00A779E6">
              <w:rPr>
                <w:color w:val="000000"/>
                <w:u w:color="000000"/>
                <w:lang w:val="lt-LT"/>
              </w:rPr>
              <w:t>proposals</w:t>
            </w:r>
            <w:proofErr w:type="spellEnd"/>
            <w:r w:rsidRPr="00A779E6">
              <w:rPr>
                <w:color w:val="000000"/>
                <w:u w:color="000000"/>
                <w:lang w:val="lt-LT"/>
              </w:rPr>
              <w:t xml:space="preserve"> (</w:t>
            </w:r>
            <w:proofErr w:type="spellStart"/>
            <w:r w:rsidRPr="00A779E6">
              <w:rPr>
                <w:color w:val="000000"/>
                <w:u w:color="000000"/>
                <w:lang w:val="lt-LT"/>
              </w:rPr>
              <w:t>public</w:t>
            </w:r>
            <w:proofErr w:type="spellEnd"/>
            <w:r w:rsidRPr="00A779E6">
              <w:rPr>
                <w:color w:val="000000"/>
                <w:u w:color="000000"/>
                <w:lang w:val="lt-LT"/>
              </w:rPr>
              <w:t xml:space="preserve"> </w:t>
            </w:r>
            <w:proofErr w:type="spellStart"/>
            <w:r w:rsidRPr="00A779E6">
              <w:rPr>
                <w:color w:val="000000"/>
                <w:u w:color="000000"/>
                <w:lang w:val="lt-LT"/>
              </w:rPr>
              <w:t>item</w:t>
            </w:r>
            <w:proofErr w:type="spellEnd"/>
            <w:r w:rsidRPr="00A779E6">
              <w:rPr>
                <w:color w:val="000000"/>
                <w:u w:color="000000"/>
                <w:lang w:val="lt-LT"/>
              </w:rPr>
              <w:t>)</w:t>
            </w:r>
          </w:p>
          <w:p w14:paraId="06052ECB" w14:textId="77777777" w:rsidR="00A779E6" w:rsidRPr="00A779E6" w:rsidRDefault="00A779E6" w:rsidP="00A779E6">
            <w:pPr>
              <w:ind w:left="393"/>
              <w:jc w:val="both"/>
              <w:rPr>
                <w:color w:val="000000"/>
                <w:u w:color="000000"/>
                <w:lang w:val="lt-LT"/>
              </w:rPr>
            </w:pPr>
            <w:r w:rsidRPr="00A779E6">
              <w:rPr>
                <w:color w:val="000000"/>
                <w:u w:color="000000"/>
                <w:lang w:val="lt-LT"/>
              </w:rPr>
              <w:t>(</w:t>
            </w:r>
            <w:r w:rsidRPr="00A779E6">
              <w:rPr>
                <w:i/>
                <w:iCs/>
                <w:color w:val="000000"/>
                <w:u w:color="000000"/>
                <w:lang w:val="lt-LT"/>
              </w:rPr>
              <w:t>Pirmininkaujančios valstybės informacija</w:t>
            </w:r>
            <w:r w:rsidRPr="00A779E6">
              <w:rPr>
                <w:color w:val="000000"/>
                <w:u w:color="000000"/>
                <w:lang w:val="lt-LT"/>
              </w:rPr>
              <w:t>)</w:t>
            </w:r>
          </w:p>
          <w:p w14:paraId="0FE0E0C4" w14:textId="77777777" w:rsidR="00A779E6" w:rsidRPr="00A779E6" w:rsidRDefault="00A779E6" w:rsidP="00A779E6">
            <w:pPr>
              <w:ind w:left="393"/>
              <w:jc w:val="both"/>
              <w:rPr>
                <w:color w:val="000000"/>
                <w:u w:color="000000"/>
                <w:lang w:val="lt-LT"/>
              </w:rPr>
            </w:pPr>
          </w:p>
          <w:p w14:paraId="411B6977" w14:textId="77777777" w:rsidR="00A779E6" w:rsidRPr="00A779E6" w:rsidRDefault="00A779E6" w:rsidP="00A779E6">
            <w:pPr>
              <w:ind w:left="393"/>
              <w:jc w:val="both"/>
              <w:rPr>
                <w:color w:val="000000"/>
                <w:u w:color="000000"/>
                <w:lang w:val="lt-LT"/>
              </w:rPr>
            </w:pPr>
            <w:r w:rsidRPr="00A779E6">
              <w:rPr>
                <w:b/>
                <w:bCs/>
                <w:color w:val="000000"/>
                <w:u w:color="000000"/>
                <w:lang w:val="lt-LT"/>
              </w:rPr>
              <w:t>Lietuvos pozicija</w:t>
            </w:r>
            <w:r w:rsidRPr="00A779E6">
              <w:rPr>
                <w:color w:val="000000"/>
                <w:u w:color="000000"/>
                <w:lang w:val="lt-LT"/>
              </w:rPr>
              <w:t xml:space="preserve">: išklausyti informaciją. </w:t>
            </w:r>
          </w:p>
          <w:p w14:paraId="710297CF" w14:textId="77777777" w:rsidR="00A779E6" w:rsidRPr="003F18DB" w:rsidRDefault="00A779E6" w:rsidP="006320C4">
            <w:pPr>
              <w:pStyle w:val="BodyA"/>
              <w:ind w:left="370"/>
              <w:rPr>
                <w:rFonts w:hAnsi="Times New Roman" w:cs="Times New Roman"/>
                <w:b/>
                <w:bCs/>
                <w:lang w:val="lt-LT"/>
              </w:rPr>
            </w:pPr>
          </w:p>
        </w:tc>
      </w:tr>
    </w:tbl>
    <w:p w14:paraId="742F99C5" w14:textId="77777777" w:rsidR="00A779E6" w:rsidRPr="003F18DB" w:rsidRDefault="00A779E6" w:rsidP="00161A90">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F12B57" w:rsidRPr="00FA71B6" w14:paraId="19827DEE" w14:textId="77777777" w:rsidTr="009B3A8E">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C4A21" w14:textId="77777777" w:rsidR="00F12B57" w:rsidRPr="003F4A7B" w:rsidRDefault="00F12B57" w:rsidP="00F12B57">
            <w:pPr>
              <w:pStyle w:val="BodyA"/>
              <w:tabs>
                <w:tab w:val="left" w:pos="370"/>
              </w:tabs>
              <w:ind w:left="370"/>
              <w:jc w:val="both"/>
              <w:rPr>
                <w:rFonts w:hAnsi="Times New Roman" w:cs="Times New Roman"/>
                <w:b/>
                <w:bCs/>
                <w:lang w:val="lt-LT"/>
              </w:rPr>
            </w:pPr>
            <w:r w:rsidRPr="003F4A7B">
              <w:rPr>
                <w:rFonts w:hAnsi="Times New Roman" w:cs="Times New Roman"/>
                <w:b/>
                <w:bCs/>
                <w:lang w:val="lt-LT"/>
              </w:rPr>
              <w:t xml:space="preserve">Elektroninės komunikacijos duomenų saugojimas </w:t>
            </w:r>
          </w:p>
          <w:p w14:paraId="2B849840" w14:textId="77777777" w:rsidR="00F12B57" w:rsidRPr="00D45540" w:rsidRDefault="00F12B57" w:rsidP="009B3A8E">
            <w:pPr>
              <w:pStyle w:val="BodyA"/>
              <w:tabs>
                <w:tab w:val="left" w:pos="370"/>
              </w:tabs>
              <w:ind w:left="370"/>
              <w:jc w:val="both"/>
              <w:rPr>
                <w:rFonts w:hAnsi="Times New Roman" w:cs="Times New Roman"/>
                <w:lang w:val="lt-LT"/>
              </w:rPr>
            </w:pPr>
            <w:proofErr w:type="spellStart"/>
            <w:r w:rsidRPr="00D45540">
              <w:rPr>
                <w:rFonts w:hAnsi="Times New Roman" w:cs="Times New Roman"/>
                <w:lang w:val="lt-LT"/>
              </w:rPr>
              <w:t>Retention</w:t>
            </w:r>
            <w:proofErr w:type="spellEnd"/>
            <w:r w:rsidRPr="00D45540">
              <w:rPr>
                <w:rFonts w:hAnsi="Times New Roman" w:cs="Times New Roman"/>
                <w:lang w:val="lt-LT"/>
              </w:rPr>
              <w:t xml:space="preserve"> </w:t>
            </w:r>
            <w:proofErr w:type="spellStart"/>
            <w:r w:rsidRPr="00D45540">
              <w:rPr>
                <w:rFonts w:hAnsi="Times New Roman" w:cs="Times New Roman"/>
                <w:lang w:val="lt-LT"/>
              </w:rPr>
              <w:t>of</w:t>
            </w:r>
            <w:proofErr w:type="spellEnd"/>
            <w:r w:rsidRPr="00D45540">
              <w:rPr>
                <w:rFonts w:hAnsi="Times New Roman" w:cs="Times New Roman"/>
                <w:lang w:val="lt-LT"/>
              </w:rPr>
              <w:t xml:space="preserve"> </w:t>
            </w:r>
            <w:proofErr w:type="spellStart"/>
            <w:r w:rsidRPr="00D45540">
              <w:rPr>
                <w:rFonts w:hAnsi="Times New Roman" w:cs="Times New Roman"/>
                <w:lang w:val="lt-LT"/>
              </w:rPr>
              <w:t>electronic</w:t>
            </w:r>
            <w:proofErr w:type="spellEnd"/>
            <w:r w:rsidRPr="00D45540">
              <w:rPr>
                <w:rFonts w:hAnsi="Times New Roman" w:cs="Times New Roman"/>
                <w:lang w:val="lt-LT"/>
              </w:rPr>
              <w:t xml:space="preserve"> </w:t>
            </w:r>
            <w:proofErr w:type="spellStart"/>
            <w:r w:rsidRPr="00D45540">
              <w:rPr>
                <w:rFonts w:hAnsi="Times New Roman" w:cs="Times New Roman"/>
                <w:lang w:val="lt-LT"/>
              </w:rPr>
              <w:t>communication</w:t>
            </w:r>
            <w:proofErr w:type="spellEnd"/>
            <w:r w:rsidRPr="00D45540">
              <w:rPr>
                <w:rFonts w:hAnsi="Times New Roman" w:cs="Times New Roman"/>
                <w:lang w:val="lt-LT"/>
              </w:rPr>
              <w:t xml:space="preserve"> data</w:t>
            </w:r>
          </w:p>
          <w:p w14:paraId="18D194F0" w14:textId="77777777" w:rsidR="00F12B57" w:rsidRDefault="00F12B57" w:rsidP="009B3A8E">
            <w:pPr>
              <w:pStyle w:val="BodyA"/>
              <w:ind w:left="100" w:firstLine="270"/>
              <w:jc w:val="both"/>
              <w:rPr>
                <w:rFonts w:hAnsi="Times New Roman" w:cs="Times New Roman"/>
                <w:lang w:val="lt-LT"/>
              </w:rPr>
            </w:pPr>
            <w:r w:rsidRPr="003B38E4">
              <w:rPr>
                <w:rFonts w:hAnsi="Times New Roman" w:cs="Times New Roman"/>
                <w:lang w:val="lt-LT"/>
              </w:rPr>
              <w:t>(</w:t>
            </w:r>
            <w:r w:rsidRPr="001E3D38">
              <w:rPr>
                <w:rFonts w:hAnsi="Times New Roman" w:cs="Times New Roman"/>
                <w:i/>
                <w:iCs/>
                <w:lang w:val="lt-LT"/>
              </w:rPr>
              <w:t>pasikeitimas nuomonėmis</w:t>
            </w:r>
            <w:r w:rsidRPr="003B38E4">
              <w:rPr>
                <w:rFonts w:hAnsi="Times New Roman" w:cs="Times New Roman"/>
                <w:lang w:val="lt-LT"/>
              </w:rPr>
              <w:t>)</w:t>
            </w:r>
            <w:r>
              <w:rPr>
                <w:rFonts w:hAnsi="Times New Roman" w:cs="Times New Roman"/>
                <w:lang w:val="lt-LT"/>
              </w:rPr>
              <w:t xml:space="preserve"> </w:t>
            </w:r>
          </w:p>
          <w:p w14:paraId="3B4B6BD1" w14:textId="77777777" w:rsidR="00F12B57" w:rsidRPr="000C55B6" w:rsidRDefault="00F12B57" w:rsidP="009B3A8E">
            <w:pPr>
              <w:pStyle w:val="BodyA"/>
              <w:ind w:left="100"/>
              <w:jc w:val="both"/>
              <w:rPr>
                <w:rFonts w:hAnsi="Times New Roman" w:cs="Times New Roman"/>
                <w:lang w:val="lt-LT"/>
              </w:rPr>
            </w:pPr>
          </w:p>
          <w:p w14:paraId="57740658" w14:textId="77777777" w:rsidR="00F12B57" w:rsidRPr="00C51E95" w:rsidRDefault="00F12B57" w:rsidP="009B3A8E">
            <w:pPr>
              <w:pStyle w:val="BodyA"/>
              <w:ind w:left="100"/>
              <w:jc w:val="both"/>
              <w:rPr>
                <w:rFonts w:hAnsi="Times New Roman" w:cs="Times New Roman"/>
                <w:color w:val="auto"/>
                <w:lang w:val="lt-LT"/>
              </w:rPr>
            </w:pPr>
            <w:r w:rsidRPr="005B3222">
              <w:rPr>
                <w:rFonts w:hAnsi="Times New Roman" w:cs="Times New Roman"/>
                <w:b/>
                <w:bCs/>
                <w:lang w:val="lt-LT"/>
              </w:rPr>
              <w:t>Klausimo esmė.</w:t>
            </w:r>
            <w:r>
              <w:rPr>
                <w:rFonts w:hAnsi="Times New Roman" w:cs="Times New Roman"/>
                <w:lang w:val="lt-LT"/>
              </w:rPr>
              <w:t xml:space="preserve"> </w:t>
            </w:r>
            <w:bookmarkStart w:id="0" w:name="_Hlk65831367"/>
            <w:r w:rsidRPr="00ED0941">
              <w:rPr>
                <w:rFonts w:hAnsi="Times New Roman" w:cs="Times New Roman"/>
                <w:color w:val="auto"/>
                <w:lang w:val="lt-LT"/>
              </w:rPr>
              <w:t>2014 m. Teisingumo Teismas paskelbė 2006 m. Duomenų saugojimo direktyvą 2006/24/EB negaliojančia. 2016 m. Teisingumo Teismas sprendime Tele2 ir kt. bylose išaiškino,  kad draudžiami nacionalinės teisės aktai, kuriuose kovos su nusikalstamumu tikslais numatyta pareiga bendrai nediferencijuojant saugoti visus su visais abonentais susijusius srauto ir vietos nustatymo duomenis; taip pat, kad draudžiami nacionalinės teisės aktai, nustatantys neribotą kompetentingų nacionalinių instituciją prieigą prie saugomų duomenų, t. y. neribojant prieigos kovos su sunkiais nusikaltimais tikslais, netaikant išankstinės teismo ar nepriklausomos administracinės institucijos kontrolės ir nereikalaujant, kad nagrinėjami duomenys būtų saugomi ES.</w:t>
            </w:r>
          </w:p>
          <w:bookmarkEnd w:id="0"/>
          <w:p w14:paraId="19243A82"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 xml:space="preserve">2017 m. Taryboje pradėta bendrai svarstyti, kaip, viena vertus, įgyvendinti Teisingumo Teismo sprendimus, kita vertus, užtikrinti galimybę gauti duomenis nusikalstamumo prevencijos ir kovos su juo tikslais. 2019 m. birželio mėn. Tarybos išvadose Komisijai buvo pavesta pradėti tikslines konsultacijas su atitinkamomis suinteresuotosiomis šalimis ir atlikti duomenų saugojimo studiją, įvertinant įvairias galimybes, įskaitant ir naujo teisės akto pasiūlymo rengimą. </w:t>
            </w:r>
            <w:r>
              <w:rPr>
                <w:rFonts w:hAnsi="Times New Roman" w:cs="Times New Roman"/>
                <w:lang w:val="lt-LT"/>
              </w:rPr>
              <w:t xml:space="preserve">2020 m. </w:t>
            </w:r>
            <w:r w:rsidRPr="000C55B6">
              <w:rPr>
                <w:rFonts w:hAnsi="Times New Roman" w:cs="Times New Roman"/>
                <w:lang w:val="lt-LT"/>
              </w:rPr>
              <w:t>rudenį buvo studija buvo baigta.</w:t>
            </w:r>
          </w:p>
          <w:p w14:paraId="1DE54D38"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2020 m. spalio 6 d. Teisingumo Teismas, priimdamas bylose C-623/17 C-511/18 ir C-512/18C-520/18 sprendimus, patvirtino savo ankstesnę teisminę praktiką (2014, 2016 m), kad elektroninių ryšių duomenys yra konfidencialūs ir iš esmės srauto ir vietos nustatymo duomenys negali būti saugomi bendrai ir nediferencijuojant. Teismas nustatė ribotas šios taisyklės išimtis, susijusias su nacionaliniu saugumu, taip pat dėl tikslinio duomenų saugojimo ir IP adreso bei civilinės tapatybės duomenų.</w:t>
            </w:r>
          </w:p>
          <w:p w14:paraId="00D01578"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2020 m. gruodžio mėn. Europos Vadovų Tarybos išvadose pripažinta, kaip svarbu, kad teisėsaugos ir teisminės institucijos galėtų naudotis savo teisėtais įgaliojimais kovojant su sunkiais nusikaltimais. Išvadose pabrėžiama, kad, atsižvelgiant į naujausią Teisingumo Teismo praktiką ir visapusiškai gerbiant pagrindines teises ir laisves, būtina toliau saugoti duomenis, būtinus kovojant su sunkiais nusikaltimais.</w:t>
            </w:r>
          </w:p>
          <w:p w14:paraId="49D451F1"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 xml:space="preserve"> </w:t>
            </w:r>
            <w:r w:rsidRPr="005B3222">
              <w:rPr>
                <w:rFonts w:hAnsi="Times New Roman" w:cs="Times New Roman"/>
                <w:i/>
                <w:iCs/>
                <w:lang w:val="lt-LT"/>
              </w:rPr>
              <w:t>Pirmininkaujanti valstybė narė kviečia teisingumo ministrus pareikšti savo nuomonę</w:t>
            </w:r>
            <w:r w:rsidRPr="000C55B6">
              <w:rPr>
                <w:rFonts w:hAnsi="Times New Roman" w:cs="Times New Roman"/>
                <w:lang w:val="lt-LT"/>
              </w:rPr>
              <w:t>:</w:t>
            </w:r>
          </w:p>
          <w:p w14:paraId="715870FA" w14:textId="77777777" w:rsidR="00F12B57" w:rsidRPr="005B3222" w:rsidRDefault="00F12B57" w:rsidP="009B3A8E">
            <w:pPr>
              <w:pStyle w:val="BodyA"/>
              <w:ind w:left="100"/>
              <w:jc w:val="both"/>
              <w:rPr>
                <w:rFonts w:hAnsi="Times New Roman" w:cs="Times New Roman"/>
                <w:i/>
                <w:iCs/>
                <w:lang w:val="lt-LT"/>
              </w:rPr>
            </w:pPr>
            <w:r w:rsidRPr="000C55B6">
              <w:rPr>
                <w:rFonts w:hAnsi="Times New Roman" w:cs="Times New Roman"/>
                <w:lang w:val="lt-LT"/>
              </w:rPr>
              <w:t xml:space="preserve"> </w:t>
            </w:r>
            <w:r w:rsidRPr="005B3222">
              <w:rPr>
                <w:rFonts w:hAnsi="Times New Roman" w:cs="Times New Roman"/>
                <w:i/>
                <w:iCs/>
                <w:lang w:val="lt-LT"/>
              </w:rPr>
              <w:t>a) ar reikėtų priimti teisės aktus, kuriais būtų užtikrinta suderinta duomenų saugojimo ES lygmeniu tvarka, tinkamai atsižvelgiant į Teisingumo Teismo praktiką?</w:t>
            </w:r>
          </w:p>
          <w:p w14:paraId="68F317BC" w14:textId="77777777" w:rsidR="00F12B57" w:rsidRPr="005B3222" w:rsidRDefault="00F12B57" w:rsidP="009B3A8E">
            <w:pPr>
              <w:pStyle w:val="BodyA"/>
              <w:ind w:left="100"/>
              <w:jc w:val="both"/>
              <w:rPr>
                <w:rFonts w:hAnsi="Times New Roman" w:cs="Times New Roman"/>
                <w:i/>
                <w:iCs/>
                <w:lang w:val="lt-LT"/>
              </w:rPr>
            </w:pPr>
            <w:r w:rsidRPr="005B3222">
              <w:rPr>
                <w:rFonts w:hAnsi="Times New Roman" w:cs="Times New Roman"/>
                <w:i/>
                <w:iCs/>
                <w:lang w:val="lt-LT"/>
              </w:rPr>
              <w:t xml:space="preserve"> b) jei taip, ar tai turėtų būti "a </w:t>
            </w:r>
            <w:proofErr w:type="spellStart"/>
            <w:r w:rsidRPr="005B3222">
              <w:rPr>
                <w:rFonts w:hAnsi="Times New Roman" w:cs="Times New Roman"/>
                <w:i/>
                <w:iCs/>
                <w:lang w:val="lt-LT"/>
              </w:rPr>
              <w:t>comprehensive</w:t>
            </w:r>
            <w:proofErr w:type="spellEnd"/>
            <w:r w:rsidRPr="005B3222">
              <w:rPr>
                <w:rFonts w:hAnsi="Times New Roman" w:cs="Times New Roman"/>
                <w:i/>
                <w:iCs/>
                <w:lang w:val="lt-LT"/>
              </w:rPr>
              <w:t xml:space="preserve"> </w:t>
            </w:r>
            <w:proofErr w:type="spellStart"/>
            <w:r w:rsidRPr="005B3222">
              <w:rPr>
                <w:rFonts w:hAnsi="Times New Roman" w:cs="Times New Roman"/>
                <w:i/>
                <w:iCs/>
                <w:lang w:val="lt-LT"/>
              </w:rPr>
              <w:t>or</w:t>
            </w:r>
            <w:proofErr w:type="spellEnd"/>
            <w:r w:rsidRPr="005B3222">
              <w:rPr>
                <w:rFonts w:hAnsi="Times New Roman" w:cs="Times New Roman"/>
                <w:i/>
                <w:iCs/>
                <w:lang w:val="lt-LT"/>
              </w:rPr>
              <w:t xml:space="preserve"> a </w:t>
            </w:r>
            <w:proofErr w:type="spellStart"/>
            <w:r w:rsidRPr="005B3222">
              <w:rPr>
                <w:rFonts w:hAnsi="Times New Roman" w:cs="Times New Roman"/>
                <w:i/>
                <w:iCs/>
                <w:lang w:val="lt-LT"/>
              </w:rPr>
              <w:t>targeted</w:t>
            </w:r>
            <w:proofErr w:type="spellEnd"/>
            <w:r w:rsidRPr="005B3222">
              <w:rPr>
                <w:rFonts w:hAnsi="Times New Roman" w:cs="Times New Roman"/>
                <w:i/>
                <w:iCs/>
                <w:lang w:val="lt-LT"/>
              </w:rPr>
              <w:t xml:space="preserve"> </w:t>
            </w:r>
            <w:proofErr w:type="spellStart"/>
            <w:r w:rsidRPr="005B3222">
              <w:rPr>
                <w:rFonts w:hAnsi="Times New Roman" w:cs="Times New Roman"/>
                <w:i/>
                <w:iCs/>
                <w:lang w:val="lt-LT"/>
              </w:rPr>
              <w:t>approach</w:t>
            </w:r>
            <w:proofErr w:type="spellEnd"/>
            <w:r w:rsidRPr="005B3222">
              <w:rPr>
                <w:rFonts w:hAnsi="Times New Roman" w:cs="Times New Roman"/>
                <w:i/>
                <w:iCs/>
                <w:lang w:val="lt-LT"/>
              </w:rPr>
              <w:t>"? (tikslinamasi dėl prasmės)</w:t>
            </w:r>
          </w:p>
          <w:p w14:paraId="50E27D4F" w14:textId="77777777" w:rsidR="00F12B57" w:rsidRPr="005B3222" w:rsidRDefault="00F12B57" w:rsidP="009B3A8E">
            <w:pPr>
              <w:pStyle w:val="BodyA"/>
              <w:ind w:left="100"/>
              <w:jc w:val="both"/>
              <w:rPr>
                <w:rFonts w:hAnsi="Times New Roman" w:cs="Times New Roman"/>
                <w:i/>
                <w:iCs/>
                <w:lang w:val="lt-LT"/>
              </w:rPr>
            </w:pPr>
            <w:r w:rsidRPr="005B3222">
              <w:rPr>
                <w:rFonts w:hAnsi="Times New Roman" w:cs="Times New Roman"/>
                <w:i/>
                <w:iCs/>
                <w:lang w:val="lt-LT"/>
              </w:rPr>
              <w:t xml:space="preserve"> c) ar pakanka tik nacionalinių įstatymų, reglamentuojančių duomenų saugojimą, ir atitinkančių Pagrindinių teisių chartiją ir Teisingumo Teismo praktiką?</w:t>
            </w:r>
          </w:p>
          <w:p w14:paraId="1BEE1CC3" w14:textId="77777777" w:rsidR="00F12B57" w:rsidRPr="000C55B6" w:rsidRDefault="00F12B57" w:rsidP="009B3A8E">
            <w:pPr>
              <w:pStyle w:val="BodyA"/>
              <w:ind w:left="100"/>
              <w:jc w:val="both"/>
              <w:rPr>
                <w:rFonts w:hAnsi="Times New Roman" w:cs="Times New Roman"/>
                <w:lang w:val="lt-LT"/>
              </w:rPr>
            </w:pPr>
          </w:p>
          <w:p w14:paraId="18D22F3F" w14:textId="77777777" w:rsidR="00F12B57" w:rsidRPr="005B3222" w:rsidRDefault="00F12B57" w:rsidP="009B3A8E">
            <w:pPr>
              <w:pStyle w:val="BodyA"/>
              <w:ind w:left="100"/>
              <w:jc w:val="both"/>
              <w:rPr>
                <w:rFonts w:hAnsi="Times New Roman" w:cs="Times New Roman"/>
                <w:b/>
                <w:bCs/>
                <w:lang w:val="lt-LT"/>
              </w:rPr>
            </w:pPr>
            <w:r w:rsidRPr="005B3222">
              <w:rPr>
                <w:rFonts w:hAnsi="Times New Roman" w:cs="Times New Roman"/>
                <w:b/>
                <w:bCs/>
                <w:lang w:val="lt-LT"/>
              </w:rPr>
              <w:t xml:space="preserve">Lietuvos pozicija: </w:t>
            </w:r>
          </w:p>
          <w:p w14:paraId="526B4586"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lastRenderedPageBreak/>
              <w:t xml:space="preserve">a) ar reikėtų priimti teisės aktus, kuriais būtų užtikrinta suderinta duomenų saugojimo ES lygmeniu tvarka, tinkamai atsižvelgiant į Teisingumo Teismo praktiką? atsakyti: Taip, palaikome siekį duomenų saugojimo taisykles nustatyti ES teisės akte. Tai leistų išvengti reguliavimo fragmentiškumo ES (tai būtų svarbu ryšių operatoriams), suteiktų daugiau saugumo/užtikrintumo dėl nuostatų atitikties Chartijai ir Teisingumo Teismo sprendimams. Vieno ES teisės akto, nustatančio duomenų saugojimo sąlygas, egzistavimas prisidėtų ir prie kelių VN kartu vykdomų tyrimų sėkmės, nes galima būtų pasinaudoti ir kitoje VN saugomais duomenimis. </w:t>
            </w:r>
          </w:p>
          <w:p w14:paraId="78570403"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 xml:space="preserve">Iki šiol ES valstybės narės susiduria su problemomis ir klausimais, kaip praktiškai ir tinkamai nacionaliniuose teisės aktuose įgyvendinti Teisingumo Teismo sprendimus. ES valstybių narių atstovai įvairiuose darbiniuose formatuose dalinasi patirtimi, įžvalgomis bei ieško tinkamiausių variantų, kaip praktiškai ir tinkamai teisės aktuose įgyvendinti Teisingumo Teismo sprendimus. Atsižvelgiant į neaiškumus, kurie kyla valstybėms narėms vertinant nacionalinės teisės nuostatas Teisingumo Teismo sprendimų „šviesoje“, nacionaliniai teismai kelia vis naujus </w:t>
            </w:r>
            <w:proofErr w:type="spellStart"/>
            <w:r w:rsidRPr="000C55B6">
              <w:rPr>
                <w:rFonts w:hAnsi="Times New Roman" w:cs="Times New Roman"/>
                <w:lang w:val="lt-LT"/>
              </w:rPr>
              <w:t>prejudicinius</w:t>
            </w:r>
            <w:proofErr w:type="spellEnd"/>
            <w:r w:rsidRPr="000C55B6">
              <w:rPr>
                <w:rFonts w:hAnsi="Times New Roman" w:cs="Times New Roman"/>
                <w:lang w:val="lt-LT"/>
              </w:rPr>
              <w:t xml:space="preserve"> klausimus dėl ES teisės taikymo, ir šiuo metu laukiama eilės Teisingumo Teismo sprendimų, susijusių su duomenų tvarkymu elektroninių ryšių sektoriuje.</w:t>
            </w:r>
          </w:p>
          <w:p w14:paraId="3D41DB3B"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Iki šiol nėra aiškumo, ką valstybės narės ir ES konkrečiai turėtų daryti, siekdamos suderinti teisės aktus su Teisingumo teismo išaiškinimais ir išsaugoti galimybes efektyviai kovoti su nusikalstamumu.</w:t>
            </w:r>
          </w:p>
          <w:p w14:paraId="22842EE4" w14:textId="77777777" w:rsidR="00F12B57" w:rsidRPr="000C55B6" w:rsidRDefault="00F12B57" w:rsidP="009B3A8E">
            <w:pPr>
              <w:pStyle w:val="BodyA"/>
              <w:ind w:left="100"/>
              <w:jc w:val="both"/>
              <w:rPr>
                <w:rFonts w:hAnsi="Times New Roman" w:cs="Times New Roman"/>
                <w:lang w:val="lt-LT"/>
              </w:rPr>
            </w:pPr>
            <w:r w:rsidRPr="000C55B6">
              <w:rPr>
                <w:rFonts w:hAnsi="Times New Roman" w:cs="Times New Roman"/>
                <w:lang w:val="lt-LT"/>
              </w:rPr>
              <w:t>Turime rasti balansą tarp duomenų saugojimo ir gavimo siekiant efektyvaus ikiteisminio tyrimo, nacionalinio saugumo iš vienos pusės ir asmens duomenų apsaugos bei žmogaus privatumo užtikrinimo iš kitos pusės. Tačiau abi šias vertybes tenkinančio sprendimo iki šiol nebuvo surasta, todėl manome, kad to geriau galima pasiekti priimant išsamų ES teisės aktą, kuriame būdų įvertinti visi Teisingumo Teismo sprendimuose aptariami aspektai.</w:t>
            </w:r>
          </w:p>
          <w:p w14:paraId="7588BB33" w14:textId="4F90020B" w:rsidR="00F12B57" w:rsidRPr="003F18DB" w:rsidRDefault="0028069B" w:rsidP="009B3A8E">
            <w:pPr>
              <w:pStyle w:val="BodyA"/>
              <w:ind w:left="100"/>
              <w:rPr>
                <w:rFonts w:hAnsi="Times New Roman" w:cs="Times New Roman"/>
                <w:b/>
                <w:bCs/>
                <w:lang w:val="lt-LT"/>
              </w:rPr>
            </w:pPr>
            <w:r>
              <w:rPr>
                <w:rFonts w:hAnsi="Times New Roman" w:cs="Times New Roman"/>
                <w:lang w:val="lt-LT"/>
              </w:rPr>
              <w:t xml:space="preserve">Dėl b) </w:t>
            </w:r>
            <w:r w:rsidR="006A16D4">
              <w:rPr>
                <w:rFonts w:hAnsi="Times New Roman" w:cs="Times New Roman"/>
                <w:lang w:val="lt-LT"/>
              </w:rPr>
              <w:t xml:space="preserve">laikomės pozicijos, kad </w:t>
            </w:r>
            <w:r w:rsidRPr="0028069B">
              <w:rPr>
                <w:rFonts w:hAnsi="Times New Roman" w:cs="Times New Roman"/>
                <w:lang w:val="lt-LT"/>
              </w:rPr>
              <w:t xml:space="preserve">ES lygmens teisės akto priėmimas nėra savitikslis – jis turi pasitarnauti bendriems ES tikslams, būti pakankamai universalus ir turi būti pasiektas sutarimas dėl jo turinio. </w:t>
            </w:r>
          </w:p>
        </w:tc>
      </w:tr>
    </w:tbl>
    <w:p w14:paraId="434C3C28" w14:textId="7EA09AC7" w:rsidR="00161A90" w:rsidRDefault="00161A90" w:rsidP="00167C5A">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F12B57" w:rsidRPr="00FA71B6" w14:paraId="17E0C626" w14:textId="77777777" w:rsidTr="009B3A8E">
        <w:trPr>
          <w:trHeight w:val="812"/>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7B4FEA" w14:textId="1623A4C1" w:rsidR="00F12B57" w:rsidRPr="003F4A7B" w:rsidRDefault="00F12B57" w:rsidP="00F12B57">
            <w:pPr>
              <w:pStyle w:val="BodyA"/>
              <w:ind w:left="370"/>
              <w:jc w:val="both"/>
              <w:rPr>
                <w:rFonts w:hAnsi="Times New Roman" w:cs="Times New Roman"/>
                <w:lang w:val="lt-LT"/>
              </w:rPr>
            </w:pPr>
            <w:bookmarkStart w:id="1" w:name="_Hlk65828413"/>
            <w:r w:rsidRPr="004B65A0">
              <w:rPr>
                <w:rFonts w:hAnsi="Times New Roman" w:cs="Times New Roman"/>
                <w:b/>
                <w:bCs/>
                <w:lang w:val="lt-LT"/>
              </w:rPr>
              <w:t xml:space="preserve">Pagrindinės teisės </w:t>
            </w:r>
            <w:r w:rsidRPr="003F4A7B">
              <w:rPr>
                <w:rFonts w:hAnsi="Times New Roman" w:cs="Times New Roman"/>
                <w:lang w:val="lt-LT"/>
              </w:rPr>
              <w:t xml:space="preserve">/ </w:t>
            </w:r>
            <w:proofErr w:type="spellStart"/>
            <w:r w:rsidRPr="003F4A7B">
              <w:rPr>
                <w:rFonts w:hAnsi="Times New Roman" w:cs="Times New Roman"/>
                <w:lang w:val="lt-LT"/>
              </w:rPr>
              <w:t>Fundamental</w:t>
            </w:r>
            <w:proofErr w:type="spellEnd"/>
            <w:r w:rsidRPr="003F4A7B">
              <w:rPr>
                <w:rFonts w:hAnsi="Times New Roman" w:cs="Times New Roman"/>
                <w:lang w:val="lt-LT"/>
              </w:rPr>
              <w:t xml:space="preserve"> </w:t>
            </w:r>
            <w:proofErr w:type="spellStart"/>
            <w:r w:rsidRPr="003F4A7B">
              <w:rPr>
                <w:rFonts w:hAnsi="Times New Roman" w:cs="Times New Roman"/>
                <w:lang w:val="lt-LT"/>
              </w:rPr>
              <w:t>Rights</w:t>
            </w:r>
            <w:proofErr w:type="spellEnd"/>
          </w:p>
          <w:p w14:paraId="54B5A3D7" w14:textId="77777777" w:rsidR="00F12B57" w:rsidRDefault="00F12B57" w:rsidP="009B3A8E">
            <w:pPr>
              <w:pStyle w:val="BodyA"/>
              <w:ind w:left="393"/>
              <w:jc w:val="both"/>
              <w:rPr>
                <w:rFonts w:hAnsi="Times New Roman" w:cs="Times New Roman"/>
                <w:lang w:val="lt-LT"/>
              </w:rPr>
            </w:pPr>
            <w:r w:rsidRPr="00A779E6">
              <w:rPr>
                <w:rFonts w:hAnsi="Times New Roman" w:cs="Times New Roman"/>
                <w:b/>
                <w:bCs/>
                <w:lang w:val="lt-LT"/>
              </w:rPr>
              <w:t>I</w:t>
            </w:r>
            <w:r w:rsidRPr="003F4A7B">
              <w:rPr>
                <w:rFonts w:hAnsi="Times New Roman" w:cs="Times New Roman"/>
                <w:b/>
                <w:bCs/>
                <w:lang w:val="lt-LT"/>
              </w:rPr>
              <w:t>švados dėl Pagrindinių teisių chartijos platesnio taikymo ES</w:t>
            </w:r>
            <w:r>
              <w:rPr>
                <w:rFonts w:hAnsi="Times New Roman" w:cs="Times New Roman"/>
                <w:lang w:val="lt-LT"/>
              </w:rPr>
              <w:t xml:space="preserve">   </w:t>
            </w:r>
          </w:p>
          <w:p w14:paraId="575B5528" w14:textId="77777777" w:rsidR="00F12B57" w:rsidRPr="00D45540" w:rsidRDefault="00F12B57" w:rsidP="009B3A8E">
            <w:pPr>
              <w:pStyle w:val="BodyA"/>
              <w:ind w:left="393"/>
              <w:jc w:val="both"/>
              <w:rPr>
                <w:rFonts w:hAnsi="Times New Roman" w:cs="Times New Roman"/>
                <w:lang w:val="lt-LT"/>
              </w:rPr>
            </w:pPr>
            <w:proofErr w:type="spellStart"/>
            <w:r w:rsidRPr="00D45540">
              <w:rPr>
                <w:rFonts w:hAnsi="Times New Roman" w:cs="Times New Roman"/>
                <w:lang w:val="lt-LT"/>
              </w:rPr>
              <w:t>Conclusions</w:t>
            </w:r>
            <w:proofErr w:type="spellEnd"/>
            <w:r w:rsidRPr="00D45540">
              <w:rPr>
                <w:rFonts w:hAnsi="Times New Roman" w:cs="Times New Roman"/>
                <w:lang w:val="lt-LT"/>
              </w:rPr>
              <w:t xml:space="preserve"> </w:t>
            </w:r>
            <w:proofErr w:type="spellStart"/>
            <w:r w:rsidRPr="00D45540">
              <w:rPr>
                <w:rFonts w:hAnsi="Times New Roman" w:cs="Times New Roman"/>
                <w:lang w:val="lt-LT"/>
              </w:rPr>
              <w:t>on</w:t>
            </w:r>
            <w:proofErr w:type="spellEnd"/>
            <w:r w:rsidRPr="00D45540">
              <w:rPr>
                <w:rFonts w:hAnsi="Times New Roman" w:cs="Times New Roman"/>
                <w:lang w:val="lt-LT"/>
              </w:rPr>
              <w:t xml:space="preserve"> </w:t>
            </w:r>
            <w:proofErr w:type="spellStart"/>
            <w:r w:rsidRPr="00D45540">
              <w:rPr>
                <w:rFonts w:hAnsi="Times New Roman" w:cs="Times New Roman"/>
                <w:lang w:val="lt-LT"/>
              </w:rPr>
              <w:t>strengthening</w:t>
            </w:r>
            <w:proofErr w:type="spellEnd"/>
            <w:r w:rsidRPr="00D45540">
              <w:rPr>
                <w:rFonts w:hAnsi="Times New Roman" w:cs="Times New Roman"/>
                <w:lang w:val="lt-LT"/>
              </w:rPr>
              <w:t xml:space="preserve"> </w:t>
            </w:r>
            <w:proofErr w:type="spellStart"/>
            <w:r w:rsidRPr="00D45540">
              <w:rPr>
                <w:rFonts w:hAnsi="Times New Roman" w:cs="Times New Roman"/>
                <w:lang w:val="lt-LT"/>
              </w:rPr>
              <w:t>the</w:t>
            </w:r>
            <w:proofErr w:type="spellEnd"/>
            <w:r w:rsidRPr="00D45540">
              <w:rPr>
                <w:rFonts w:hAnsi="Times New Roman" w:cs="Times New Roman"/>
                <w:lang w:val="lt-LT"/>
              </w:rPr>
              <w:t xml:space="preserve"> </w:t>
            </w:r>
            <w:proofErr w:type="spellStart"/>
            <w:r w:rsidRPr="00D45540">
              <w:rPr>
                <w:rFonts w:hAnsi="Times New Roman" w:cs="Times New Roman"/>
                <w:lang w:val="lt-LT"/>
              </w:rPr>
              <w:t>application</w:t>
            </w:r>
            <w:proofErr w:type="spellEnd"/>
            <w:r w:rsidRPr="00D45540">
              <w:rPr>
                <w:rFonts w:hAnsi="Times New Roman" w:cs="Times New Roman"/>
                <w:lang w:val="lt-LT"/>
              </w:rPr>
              <w:t xml:space="preserve"> </w:t>
            </w:r>
            <w:proofErr w:type="spellStart"/>
            <w:r w:rsidRPr="00D45540">
              <w:rPr>
                <w:rFonts w:hAnsi="Times New Roman" w:cs="Times New Roman"/>
                <w:lang w:val="lt-LT"/>
              </w:rPr>
              <w:t>of</w:t>
            </w:r>
            <w:proofErr w:type="spellEnd"/>
            <w:r w:rsidRPr="00D45540">
              <w:rPr>
                <w:rFonts w:hAnsi="Times New Roman" w:cs="Times New Roman"/>
                <w:lang w:val="lt-LT"/>
              </w:rPr>
              <w:t xml:space="preserve"> </w:t>
            </w:r>
            <w:proofErr w:type="spellStart"/>
            <w:r w:rsidRPr="00D45540">
              <w:rPr>
                <w:rFonts w:hAnsi="Times New Roman" w:cs="Times New Roman"/>
                <w:lang w:val="lt-LT"/>
              </w:rPr>
              <w:t>the</w:t>
            </w:r>
            <w:proofErr w:type="spellEnd"/>
            <w:r w:rsidRPr="00D45540">
              <w:rPr>
                <w:rFonts w:hAnsi="Times New Roman" w:cs="Times New Roman"/>
                <w:lang w:val="lt-LT"/>
              </w:rPr>
              <w:t xml:space="preserve"> </w:t>
            </w:r>
            <w:proofErr w:type="spellStart"/>
            <w:r w:rsidRPr="00D45540">
              <w:rPr>
                <w:rFonts w:hAnsi="Times New Roman" w:cs="Times New Roman"/>
                <w:lang w:val="lt-LT"/>
              </w:rPr>
              <w:t>Charter</w:t>
            </w:r>
            <w:proofErr w:type="spellEnd"/>
            <w:r w:rsidRPr="00D45540">
              <w:rPr>
                <w:rFonts w:hAnsi="Times New Roman" w:cs="Times New Roman"/>
                <w:lang w:val="lt-LT"/>
              </w:rPr>
              <w:t xml:space="preserve"> </w:t>
            </w:r>
            <w:proofErr w:type="spellStart"/>
            <w:r w:rsidRPr="00D45540">
              <w:rPr>
                <w:rFonts w:hAnsi="Times New Roman" w:cs="Times New Roman"/>
                <w:lang w:val="lt-LT"/>
              </w:rPr>
              <w:t>of</w:t>
            </w:r>
            <w:proofErr w:type="spellEnd"/>
            <w:r>
              <w:rPr>
                <w:rFonts w:hAnsi="Times New Roman" w:cs="Times New Roman"/>
                <w:lang w:val="lt-LT"/>
              </w:rPr>
              <w:t xml:space="preserve"> </w:t>
            </w:r>
            <w:proofErr w:type="spellStart"/>
            <w:r w:rsidRPr="00D45540">
              <w:rPr>
                <w:rFonts w:hAnsi="Times New Roman" w:cs="Times New Roman"/>
                <w:lang w:val="lt-LT"/>
              </w:rPr>
              <w:t>Fundamental</w:t>
            </w:r>
            <w:proofErr w:type="spellEnd"/>
            <w:r w:rsidRPr="00D45540">
              <w:rPr>
                <w:rFonts w:hAnsi="Times New Roman" w:cs="Times New Roman"/>
                <w:lang w:val="lt-LT"/>
              </w:rPr>
              <w:t xml:space="preserve"> </w:t>
            </w:r>
            <w:proofErr w:type="spellStart"/>
            <w:r w:rsidRPr="00D45540">
              <w:rPr>
                <w:rFonts w:hAnsi="Times New Roman" w:cs="Times New Roman"/>
                <w:lang w:val="lt-LT"/>
              </w:rPr>
              <w:t>Rights</w:t>
            </w:r>
            <w:proofErr w:type="spellEnd"/>
            <w:r w:rsidRPr="00D45540">
              <w:rPr>
                <w:rFonts w:hAnsi="Times New Roman" w:cs="Times New Roman"/>
                <w:lang w:val="lt-LT"/>
              </w:rPr>
              <w:t xml:space="preserve"> </w:t>
            </w:r>
            <w:proofErr w:type="spellStart"/>
            <w:r w:rsidRPr="00D45540">
              <w:rPr>
                <w:rFonts w:hAnsi="Times New Roman" w:cs="Times New Roman"/>
                <w:lang w:val="lt-LT"/>
              </w:rPr>
              <w:t>in</w:t>
            </w:r>
            <w:proofErr w:type="spellEnd"/>
            <w:r w:rsidRPr="00D45540">
              <w:rPr>
                <w:rFonts w:hAnsi="Times New Roman" w:cs="Times New Roman"/>
                <w:lang w:val="lt-LT"/>
              </w:rPr>
              <w:t xml:space="preserve"> </w:t>
            </w:r>
            <w:proofErr w:type="spellStart"/>
            <w:r w:rsidRPr="00D45540">
              <w:rPr>
                <w:rFonts w:hAnsi="Times New Roman" w:cs="Times New Roman"/>
                <w:lang w:val="lt-LT"/>
              </w:rPr>
              <w:t>the</w:t>
            </w:r>
            <w:proofErr w:type="spellEnd"/>
            <w:r w:rsidRPr="00D45540">
              <w:rPr>
                <w:rFonts w:hAnsi="Times New Roman" w:cs="Times New Roman"/>
                <w:lang w:val="lt-LT"/>
              </w:rPr>
              <w:t xml:space="preserve"> </w:t>
            </w:r>
            <w:proofErr w:type="spellStart"/>
            <w:r w:rsidRPr="00D45540">
              <w:rPr>
                <w:rFonts w:hAnsi="Times New Roman" w:cs="Times New Roman"/>
                <w:lang w:val="lt-LT"/>
              </w:rPr>
              <w:t>European</w:t>
            </w:r>
            <w:proofErr w:type="spellEnd"/>
            <w:r w:rsidRPr="00D45540">
              <w:rPr>
                <w:rFonts w:hAnsi="Times New Roman" w:cs="Times New Roman"/>
                <w:lang w:val="lt-LT"/>
              </w:rPr>
              <w:t xml:space="preserve"> </w:t>
            </w:r>
            <w:proofErr w:type="spellStart"/>
            <w:r w:rsidRPr="00D45540">
              <w:rPr>
                <w:rFonts w:hAnsi="Times New Roman" w:cs="Times New Roman"/>
                <w:lang w:val="lt-LT"/>
              </w:rPr>
              <w:t>Union</w:t>
            </w:r>
            <w:proofErr w:type="spellEnd"/>
          </w:p>
          <w:p w14:paraId="65DEC881" w14:textId="77777777" w:rsidR="00F12B57" w:rsidRDefault="00F12B57" w:rsidP="009B3A8E">
            <w:pPr>
              <w:pStyle w:val="BodyA"/>
              <w:ind w:left="393"/>
              <w:jc w:val="both"/>
              <w:rPr>
                <w:rFonts w:hAnsi="Times New Roman" w:cs="Times New Roman"/>
                <w:lang w:val="lt-LT"/>
              </w:rPr>
            </w:pPr>
            <w:r w:rsidRPr="003B38E4">
              <w:rPr>
                <w:rFonts w:hAnsi="Times New Roman" w:cs="Times New Roman"/>
                <w:lang w:val="lt-LT"/>
              </w:rPr>
              <w:t>(</w:t>
            </w:r>
            <w:r w:rsidRPr="00DF2089">
              <w:rPr>
                <w:rFonts w:hAnsi="Times New Roman" w:cs="Times New Roman"/>
                <w:i/>
                <w:iCs/>
                <w:lang w:val="lt-LT"/>
              </w:rPr>
              <w:t>pasikeitimas nuomonėmis su ES Pagrindinių teisių agentūros (FRA) direktoriumi</w:t>
            </w:r>
            <w:r>
              <w:rPr>
                <w:rFonts w:hAnsi="Times New Roman" w:cs="Times New Roman"/>
                <w:i/>
                <w:iCs/>
                <w:lang w:val="lt-LT"/>
              </w:rPr>
              <w:t>)</w:t>
            </w:r>
          </w:p>
          <w:p w14:paraId="2EBEE910" w14:textId="77777777" w:rsidR="00F12B57" w:rsidRDefault="00F12B57" w:rsidP="009B3A8E">
            <w:pPr>
              <w:pStyle w:val="BodyA"/>
              <w:ind w:left="393"/>
              <w:jc w:val="both"/>
              <w:rPr>
                <w:lang w:val="lt-LT"/>
              </w:rPr>
            </w:pPr>
          </w:p>
          <w:p w14:paraId="6CFFC960" w14:textId="77777777" w:rsidR="00F12B57" w:rsidRPr="00346A85" w:rsidRDefault="00F12B57" w:rsidP="009B3A8E">
            <w:pPr>
              <w:pStyle w:val="BodyA"/>
              <w:ind w:left="100"/>
              <w:jc w:val="both"/>
              <w:rPr>
                <w:rFonts w:hAnsi="Times New Roman" w:cs="Times New Roman"/>
                <w:b/>
                <w:bCs/>
                <w:lang w:val="lt-LT"/>
              </w:rPr>
            </w:pPr>
            <w:bookmarkStart w:id="2" w:name="_Hlk65828175"/>
            <w:r w:rsidRPr="00346A85">
              <w:rPr>
                <w:rFonts w:hAnsi="Times New Roman" w:cs="Times New Roman"/>
                <w:b/>
                <w:bCs/>
                <w:lang w:val="lt-LT"/>
              </w:rPr>
              <w:t xml:space="preserve">Klausimo esmė. </w:t>
            </w:r>
          </w:p>
          <w:p w14:paraId="2BDD5B6A" w14:textId="274477E7" w:rsidR="00F12B57" w:rsidRDefault="00F12B57" w:rsidP="009B3A8E">
            <w:pPr>
              <w:pStyle w:val="BodyA"/>
              <w:ind w:left="100"/>
              <w:jc w:val="both"/>
              <w:rPr>
                <w:rFonts w:hAnsi="Times New Roman" w:cs="Times New Roman"/>
                <w:lang w:val="lt-LT"/>
              </w:rPr>
            </w:pPr>
            <w:r>
              <w:rPr>
                <w:lang w:val="lt-LT"/>
              </w:rPr>
              <w:t>I</w:t>
            </w:r>
            <w:r w:rsidRPr="00346A85">
              <w:rPr>
                <w:rFonts w:hAnsi="Times New Roman" w:cs="Times New Roman"/>
                <w:lang w:val="lt-LT"/>
              </w:rPr>
              <w:t xml:space="preserve">švadose dėl Chartijos akcentuojama mokymų apie Chartiją svarba. </w:t>
            </w:r>
            <w:r w:rsidR="004663CC">
              <w:rPr>
                <w:rFonts w:hAnsi="Times New Roman" w:cs="Times New Roman"/>
                <w:lang w:val="lt-LT"/>
              </w:rPr>
              <w:t>Tarybos išvados buvo patvirtintos kovo 5 d. rašytinės procedūros tvarka.</w:t>
            </w:r>
          </w:p>
          <w:p w14:paraId="70606474" w14:textId="5E5B1BD4" w:rsidR="002E7660" w:rsidRDefault="00510275" w:rsidP="009B3A8E">
            <w:pPr>
              <w:pStyle w:val="BodyA"/>
              <w:ind w:left="100"/>
              <w:jc w:val="both"/>
              <w:rPr>
                <w:rFonts w:hAnsi="Times New Roman" w:cs="Times New Roman"/>
                <w:lang w:val="lt-LT"/>
              </w:rPr>
            </w:pPr>
            <w:r>
              <w:rPr>
                <w:rFonts w:hAnsi="Times New Roman" w:cs="Times New Roman"/>
                <w:lang w:val="lt-LT"/>
              </w:rPr>
              <w:t>Pagrindinių teisių agentūros (</w:t>
            </w:r>
            <w:r w:rsidR="002E7660" w:rsidRPr="002E7660">
              <w:rPr>
                <w:rFonts w:hAnsi="Times New Roman" w:cs="Times New Roman"/>
                <w:lang w:val="lt-LT"/>
              </w:rPr>
              <w:t>FRA</w:t>
            </w:r>
            <w:r>
              <w:rPr>
                <w:rFonts w:hAnsi="Times New Roman" w:cs="Times New Roman"/>
                <w:lang w:val="lt-LT"/>
              </w:rPr>
              <w:t>)</w:t>
            </w:r>
            <w:r w:rsidR="002E7660" w:rsidRPr="002E7660">
              <w:rPr>
                <w:rFonts w:hAnsi="Times New Roman" w:cs="Times New Roman"/>
                <w:lang w:val="lt-LT"/>
              </w:rPr>
              <w:t xml:space="preserve"> </w:t>
            </w:r>
            <w:r w:rsidR="002E7660">
              <w:rPr>
                <w:rFonts w:hAnsi="Times New Roman" w:cs="Times New Roman"/>
                <w:lang w:val="lt-LT"/>
              </w:rPr>
              <w:t xml:space="preserve">direktorius savo kalboje akcentuos </w:t>
            </w:r>
            <w:r w:rsidR="002E7660">
              <w:rPr>
                <w:lang w:val="lt-LT"/>
              </w:rPr>
              <w:t>I</w:t>
            </w:r>
            <w:r w:rsidR="002E7660" w:rsidRPr="00346A85">
              <w:rPr>
                <w:rFonts w:hAnsi="Times New Roman" w:cs="Times New Roman"/>
                <w:lang w:val="lt-LT"/>
              </w:rPr>
              <w:t>švad</w:t>
            </w:r>
            <w:r w:rsidR="002E7660">
              <w:rPr>
                <w:rFonts w:hAnsi="Times New Roman" w:cs="Times New Roman"/>
                <w:lang w:val="lt-LT"/>
              </w:rPr>
              <w:t>ų</w:t>
            </w:r>
            <w:r w:rsidR="002E7660" w:rsidRPr="00346A85">
              <w:rPr>
                <w:rFonts w:hAnsi="Times New Roman" w:cs="Times New Roman"/>
                <w:lang w:val="lt-LT"/>
              </w:rPr>
              <w:t xml:space="preserve"> dėl Chartijos </w:t>
            </w:r>
            <w:r w:rsidR="002E7660">
              <w:rPr>
                <w:rFonts w:hAnsi="Times New Roman" w:cs="Times New Roman"/>
                <w:lang w:val="lt-LT"/>
              </w:rPr>
              <w:t>ir vėliausios Komisijos strategijos dėl Chartijos platesnio taikymo svarbą. Remdamasis įrodymais, surinktais rengiant Pagrindinių teisių ataskaitą (kuri bus publikuojama gegužės mėn.) aptars išvadose pasiūlytus veiksmus, įskaitant nacionalinių žmogaus teisių institucijų įtraukimą. Taip pat informuos, kaip Agentūra tolimesniame darbe įgyvendins išvadas, ypač tas, kurios susij</w:t>
            </w:r>
            <w:r>
              <w:rPr>
                <w:rFonts w:hAnsi="Times New Roman" w:cs="Times New Roman"/>
                <w:lang w:val="lt-LT"/>
              </w:rPr>
              <w:t xml:space="preserve">usios </w:t>
            </w:r>
            <w:r w:rsidR="002E7660">
              <w:rPr>
                <w:rFonts w:hAnsi="Times New Roman" w:cs="Times New Roman"/>
                <w:lang w:val="lt-LT"/>
              </w:rPr>
              <w:t xml:space="preserve">su Agentūros veikla. </w:t>
            </w:r>
          </w:p>
          <w:bookmarkEnd w:id="1"/>
          <w:bookmarkEnd w:id="2"/>
          <w:p w14:paraId="6608CEF1" w14:textId="77777777" w:rsidR="00F12B57" w:rsidRDefault="00F12B57" w:rsidP="009B3A8E">
            <w:pPr>
              <w:pStyle w:val="BodyA"/>
              <w:ind w:left="190"/>
              <w:jc w:val="both"/>
              <w:rPr>
                <w:rFonts w:hAnsi="Times New Roman" w:cs="Times New Roman"/>
                <w:b/>
                <w:bCs/>
                <w:lang w:val="lt-LT"/>
              </w:rPr>
            </w:pPr>
          </w:p>
          <w:p w14:paraId="7AF7E0CB" w14:textId="77777777" w:rsidR="00F12B57" w:rsidRPr="00346A85" w:rsidRDefault="00F12B57" w:rsidP="009B3A8E">
            <w:pPr>
              <w:pStyle w:val="BodyA"/>
              <w:ind w:left="100"/>
              <w:jc w:val="both"/>
              <w:rPr>
                <w:rFonts w:hAnsi="Times New Roman" w:cs="Times New Roman"/>
                <w:b/>
                <w:bCs/>
                <w:lang w:val="lt-LT"/>
              </w:rPr>
            </w:pPr>
            <w:r w:rsidRPr="00346A85">
              <w:rPr>
                <w:rFonts w:hAnsi="Times New Roman" w:cs="Times New Roman"/>
                <w:b/>
                <w:bCs/>
                <w:lang w:val="lt-LT"/>
              </w:rPr>
              <w:t xml:space="preserve">Lietuvos pozicija: </w:t>
            </w:r>
          </w:p>
          <w:p w14:paraId="1277C582" w14:textId="009C29DF" w:rsidR="00F12B57" w:rsidRPr="003F18DB" w:rsidRDefault="00F12B57" w:rsidP="009B3A8E">
            <w:pPr>
              <w:pStyle w:val="BodyA"/>
              <w:ind w:left="100"/>
              <w:jc w:val="both"/>
              <w:rPr>
                <w:rFonts w:hAnsi="Times New Roman" w:cs="Times New Roman"/>
                <w:b/>
                <w:bCs/>
                <w:lang w:val="lt-LT"/>
              </w:rPr>
            </w:pPr>
            <w:r w:rsidRPr="008779DC">
              <w:rPr>
                <w:rFonts w:hAnsi="Times New Roman" w:cs="Times New Roman"/>
                <w:lang w:val="lt-LT"/>
              </w:rPr>
              <w:t>Apibendrinant Chartijos taikymo praktiką ir kuriant informacinę medžiagą apie Chartijos taikymo aktualijas ypač svarbi ES pagrindinių teisių agentūros veikla, tačiau taip pat svarbu, kad Chartijos taikymo analizė ir mokymai nebūtų atsieti nuo kitų žmogaus teisių standartų (tarptautinių, nacionalinių) taikymo analizės.</w:t>
            </w:r>
            <w:r w:rsidR="006208B9">
              <w:rPr>
                <w:rFonts w:hAnsi="Times New Roman" w:cs="Times New Roman"/>
                <w:lang w:val="lt-LT"/>
              </w:rPr>
              <w:t xml:space="preserve"> </w:t>
            </w:r>
            <w:r w:rsidR="006208B9" w:rsidRPr="00FA71B6">
              <w:rPr>
                <w:lang w:val="lt-LT"/>
              </w:rPr>
              <w:t xml:space="preserve"> </w:t>
            </w:r>
            <w:r w:rsidR="006208B9" w:rsidRPr="006208B9">
              <w:rPr>
                <w:rFonts w:hAnsi="Times New Roman" w:cs="Times New Roman"/>
                <w:lang w:val="lt-LT"/>
              </w:rPr>
              <w:t>Be to, pabrėšime FRA indėlį į kovos su neapykantos veikomis srityje</w:t>
            </w:r>
            <w:r w:rsidR="006208B9">
              <w:rPr>
                <w:rFonts w:hAnsi="Times New Roman" w:cs="Times New Roman"/>
                <w:lang w:val="lt-LT"/>
              </w:rPr>
              <w:t xml:space="preserve"> </w:t>
            </w:r>
            <w:r w:rsidR="006208B9" w:rsidRPr="006208B9">
              <w:rPr>
                <w:rFonts w:hAnsi="Times New Roman" w:cs="Times New Roman"/>
                <w:lang w:val="lt-LT"/>
              </w:rPr>
              <w:t xml:space="preserve">ir mokymų apie tai poreikį (be kitų subjektų, taip pat ir privačioms </w:t>
            </w:r>
            <w:r w:rsidR="006208B9" w:rsidRPr="006208B9">
              <w:rPr>
                <w:rFonts w:hAnsi="Times New Roman" w:cs="Times New Roman"/>
                <w:lang w:val="lt-LT"/>
              </w:rPr>
              <w:lastRenderedPageBreak/>
              <w:t>bendrovėms, užsiimančioms interneto svetainių, kur ypač plinta neapykantos kalba, turinio moderavimu).</w:t>
            </w:r>
          </w:p>
        </w:tc>
      </w:tr>
    </w:tbl>
    <w:p w14:paraId="6FA75600" w14:textId="77777777" w:rsidR="00F12B57" w:rsidRPr="003F18DB" w:rsidRDefault="00F12B57" w:rsidP="00167C5A">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630401" w:rsidRPr="00FA71B6" w14:paraId="2FB8E16A" w14:textId="77777777" w:rsidTr="00630401">
        <w:trPr>
          <w:trHeight w:val="4024"/>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45F421" w14:textId="6DC93262" w:rsidR="0010244F" w:rsidRPr="004B65A0" w:rsidRDefault="0010244F" w:rsidP="00F12B57">
            <w:pPr>
              <w:pStyle w:val="BodyA"/>
              <w:tabs>
                <w:tab w:val="left" w:pos="280"/>
              </w:tabs>
              <w:ind w:left="280"/>
              <w:jc w:val="both"/>
              <w:rPr>
                <w:rFonts w:hAnsi="Times New Roman" w:cs="Times New Roman"/>
                <w:b/>
                <w:bCs/>
                <w:lang w:val="lt-LT"/>
              </w:rPr>
            </w:pPr>
            <w:r w:rsidRPr="004B65A0">
              <w:rPr>
                <w:rFonts w:hAnsi="Times New Roman" w:cs="Times New Roman"/>
                <w:b/>
                <w:bCs/>
                <w:lang w:val="lt-LT"/>
              </w:rPr>
              <w:t>Teisėjų mokymai: Išvados: "Teisininkų mokymo skatinimas“</w:t>
            </w:r>
          </w:p>
          <w:p w14:paraId="2DB34D36" w14:textId="77777777" w:rsidR="0010244F" w:rsidRPr="00D45540" w:rsidRDefault="0010244F" w:rsidP="0010244F">
            <w:pPr>
              <w:pStyle w:val="BodyA"/>
              <w:ind w:left="280"/>
              <w:jc w:val="both"/>
              <w:rPr>
                <w:rFonts w:hAnsi="Times New Roman" w:cs="Times New Roman"/>
                <w:lang w:val="lt-LT"/>
              </w:rPr>
            </w:pPr>
            <w:proofErr w:type="spellStart"/>
            <w:r w:rsidRPr="003B38E4">
              <w:rPr>
                <w:rFonts w:hAnsi="Times New Roman" w:cs="Times New Roman"/>
                <w:lang w:val="lt-LT"/>
              </w:rPr>
              <w:t>Judicial</w:t>
            </w:r>
            <w:proofErr w:type="spellEnd"/>
            <w:r w:rsidRPr="003B38E4">
              <w:rPr>
                <w:rFonts w:hAnsi="Times New Roman" w:cs="Times New Roman"/>
                <w:lang w:val="lt-LT"/>
              </w:rPr>
              <w:t xml:space="preserve"> </w:t>
            </w:r>
            <w:proofErr w:type="spellStart"/>
            <w:r w:rsidRPr="003B38E4">
              <w:rPr>
                <w:rFonts w:hAnsi="Times New Roman" w:cs="Times New Roman"/>
                <w:lang w:val="lt-LT"/>
              </w:rPr>
              <w:t>training</w:t>
            </w:r>
            <w:proofErr w:type="spellEnd"/>
            <w:r w:rsidRPr="003B38E4">
              <w:rPr>
                <w:rFonts w:hAnsi="Times New Roman" w:cs="Times New Roman"/>
                <w:lang w:val="lt-LT"/>
              </w:rPr>
              <w:t xml:space="preserve">: </w:t>
            </w:r>
            <w:proofErr w:type="spellStart"/>
            <w:r w:rsidRPr="003B38E4">
              <w:rPr>
                <w:rFonts w:hAnsi="Times New Roman" w:cs="Times New Roman"/>
                <w:lang w:val="lt-LT"/>
              </w:rPr>
              <w:t>Conclusions</w:t>
            </w:r>
            <w:proofErr w:type="spellEnd"/>
            <w:r w:rsidRPr="003B38E4">
              <w:rPr>
                <w:rFonts w:hAnsi="Times New Roman" w:cs="Times New Roman"/>
                <w:lang w:val="lt-LT"/>
              </w:rPr>
              <w:t xml:space="preserve"> "</w:t>
            </w:r>
            <w:proofErr w:type="spellStart"/>
            <w:r w:rsidRPr="003B38E4">
              <w:rPr>
                <w:rFonts w:hAnsi="Times New Roman" w:cs="Times New Roman"/>
                <w:lang w:val="lt-LT"/>
              </w:rPr>
              <w:t>Boosting</w:t>
            </w:r>
            <w:proofErr w:type="spellEnd"/>
            <w:r w:rsidRPr="003B38E4">
              <w:rPr>
                <w:rFonts w:hAnsi="Times New Roman" w:cs="Times New Roman"/>
                <w:lang w:val="lt-LT"/>
              </w:rPr>
              <w:t xml:space="preserve"> </w:t>
            </w:r>
            <w:proofErr w:type="spellStart"/>
            <w:r w:rsidRPr="003B38E4">
              <w:rPr>
                <w:rFonts w:hAnsi="Times New Roman" w:cs="Times New Roman"/>
                <w:lang w:val="lt-LT"/>
              </w:rPr>
              <w:t>training</w:t>
            </w:r>
            <w:proofErr w:type="spellEnd"/>
            <w:r w:rsidRPr="003B38E4">
              <w:rPr>
                <w:rFonts w:hAnsi="Times New Roman" w:cs="Times New Roman"/>
                <w:lang w:val="lt-LT"/>
              </w:rPr>
              <w:t xml:space="preserve"> </w:t>
            </w:r>
            <w:proofErr w:type="spellStart"/>
            <w:r w:rsidRPr="003B38E4">
              <w:rPr>
                <w:rFonts w:hAnsi="Times New Roman" w:cs="Times New Roman"/>
                <w:lang w:val="lt-LT"/>
              </w:rPr>
              <w:t>of</w:t>
            </w:r>
            <w:proofErr w:type="spellEnd"/>
            <w:r w:rsidRPr="003B38E4">
              <w:rPr>
                <w:rFonts w:hAnsi="Times New Roman" w:cs="Times New Roman"/>
                <w:lang w:val="lt-LT"/>
              </w:rPr>
              <w:t xml:space="preserve"> </w:t>
            </w:r>
            <w:proofErr w:type="spellStart"/>
            <w:r w:rsidRPr="003B38E4">
              <w:rPr>
                <w:rFonts w:hAnsi="Times New Roman" w:cs="Times New Roman"/>
                <w:lang w:val="lt-LT"/>
              </w:rPr>
              <w:t>justice</w:t>
            </w:r>
            <w:proofErr w:type="spellEnd"/>
            <w:r>
              <w:rPr>
                <w:rFonts w:hAnsi="Times New Roman" w:cs="Times New Roman"/>
                <w:lang w:val="lt-LT"/>
              </w:rPr>
              <w:t xml:space="preserve"> </w:t>
            </w:r>
            <w:proofErr w:type="spellStart"/>
            <w:r w:rsidRPr="003B38E4">
              <w:rPr>
                <w:rFonts w:hAnsi="Times New Roman" w:cs="Times New Roman"/>
                <w:lang w:val="lt-LT"/>
              </w:rPr>
              <w:t>professionals</w:t>
            </w:r>
            <w:proofErr w:type="spellEnd"/>
            <w:r w:rsidRPr="003B38E4">
              <w:rPr>
                <w:rFonts w:hAnsi="Times New Roman" w:cs="Times New Roman"/>
                <w:lang w:val="lt-LT"/>
              </w:rPr>
              <w:t>"</w:t>
            </w:r>
          </w:p>
          <w:p w14:paraId="52A5E570" w14:textId="3414EF35" w:rsidR="0010244F" w:rsidRDefault="0010244F" w:rsidP="0010244F">
            <w:pPr>
              <w:pStyle w:val="BodyA"/>
              <w:ind w:left="190" w:firstLine="90"/>
              <w:jc w:val="both"/>
              <w:rPr>
                <w:rFonts w:hAnsi="Times New Roman" w:cs="Times New Roman"/>
                <w:lang w:val="lt-LT"/>
              </w:rPr>
            </w:pPr>
            <w:r>
              <w:rPr>
                <w:rFonts w:hAnsi="Times New Roman" w:cs="Times New Roman"/>
                <w:i/>
                <w:iCs/>
                <w:lang w:val="lt-LT"/>
              </w:rPr>
              <w:t>(Pirmininkaujančios valstybės informacija</w:t>
            </w:r>
            <w:r>
              <w:rPr>
                <w:rFonts w:hAnsi="Times New Roman" w:cs="Times New Roman"/>
                <w:lang w:val="lt-LT"/>
              </w:rPr>
              <w:t xml:space="preserve">) </w:t>
            </w:r>
          </w:p>
          <w:p w14:paraId="2229933B" w14:textId="77777777" w:rsidR="00A779E6" w:rsidRDefault="00A779E6" w:rsidP="0010244F">
            <w:pPr>
              <w:pStyle w:val="BodyA"/>
              <w:ind w:left="190" w:firstLine="90"/>
              <w:jc w:val="both"/>
              <w:rPr>
                <w:rFonts w:hAnsi="Times New Roman" w:cs="Times New Roman"/>
                <w:lang w:val="lt-LT"/>
              </w:rPr>
            </w:pPr>
          </w:p>
          <w:p w14:paraId="415FDBD8" w14:textId="212BB3F7" w:rsidR="0010244F" w:rsidRPr="00897706" w:rsidRDefault="00A779E6" w:rsidP="00922C32">
            <w:pPr>
              <w:pStyle w:val="BodyA"/>
              <w:ind w:left="100"/>
              <w:jc w:val="both"/>
              <w:rPr>
                <w:rFonts w:hAnsi="Times New Roman" w:cs="Times New Roman"/>
                <w:lang w:val="lt-LT"/>
              </w:rPr>
            </w:pPr>
            <w:r w:rsidRPr="00A779E6">
              <w:rPr>
                <w:rFonts w:hAnsi="Times New Roman" w:cs="Times New Roman"/>
                <w:b/>
                <w:bCs/>
                <w:lang w:val="lt-LT"/>
              </w:rPr>
              <w:t>Klausimo esmė</w:t>
            </w:r>
            <w:r>
              <w:rPr>
                <w:rFonts w:hAnsi="Times New Roman" w:cs="Times New Roman"/>
                <w:lang w:val="lt-LT"/>
              </w:rPr>
              <w:t xml:space="preserve">. </w:t>
            </w:r>
            <w:r w:rsidR="0010244F" w:rsidRPr="00897706">
              <w:rPr>
                <w:rFonts w:hAnsi="Times New Roman" w:cs="Times New Roman"/>
                <w:lang w:val="lt-LT"/>
              </w:rPr>
              <w:t>Tarybos išvadų projekte (dokumentas 6377/21) numatyti toliau nurodyti esminiai siūlymai valstybėms narėms ir Europos Komisijai, susiję su teisėjų ir kitų teisinių profesijų atstovų mokymo skatinimu.</w:t>
            </w:r>
            <w:r w:rsidR="0010244F">
              <w:rPr>
                <w:rFonts w:hAnsi="Times New Roman" w:cs="Times New Roman"/>
                <w:lang w:val="lt-LT"/>
              </w:rPr>
              <w:t xml:space="preserve"> </w:t>
            </w:r>
            <w:r w:rsidR="0010244F" w:rsidRPr="00897706">
              <w:rPr>
                <w:rFonts w:hAnsi="Times New Roman" w:cs="Times New Roman"/>
                <w:lang w:val="lt-LT"/>
              </w:rPr>
              <w:t>Valstybės narės kviečiamos:</w:t>
            </w:r>
            <w:r w:rsidR="0010244F">
              <w:rPr>
                <w:rFonts w:hAnsi="Times New Roman" w:cs="Times New Roman"/>
                <w:lang w:val="lt-LT"/>
              </w:rPr>
              <w:t xml:space="preserve"> </w:t>
            </w:r>
            <w:r w:rsidR="0010244F" w:rsidRPr="00897706">
              <w:rPr>
                <w:rFonts w:hAnsi="Times New Roman" w:cs="Times New Roman"/>
                <w:lang w:val="lt-LT"/>
              </w:rPr>
              <w:t>remti teisėjų mokymo teikėjus</w:t>
            </w:r>
            <w:r w:rsidR="0010244F">
              <w:rPr>
                <w:rFonts w:hAnsi="Times New Roman" w:cs="Times New Roman"/>
                <w:lang w:val="lt-LT"/>
              </w:rPr>
              <w:t xml:space="preserve">, </w:t>
            </w:r>
            <w:r w:rsidR="0010244F" w:rsidRPr="00897706">
              <w:rPr>
                <w:rFonts w:hAnsi="Times New Roman" w:cs="Times New Roman"/>
                <w:lang w:val="lt-LT"/>
              </w:rPr>
              <w:t>naudotis ES paramos instrumentais</w:t>
            </w:r>
            <w:r w:rsidR="0010244F">
              <w:rPr>
                <w:rFonts w:hAnsi="Times New Roman" w:cs="Times New Roman"/>
                <w:lang w:val="lt-LT"/>
              </w:rPr>
              <w:t xml:space="preserve">, </w:t>
            </w:r>
            <w:r w:rsidR="0010244F" w:rsidRPr="00897706">
              <w:rPr>
                <w:rFonts w:hAnsi="Times New Roman" w:cs="Times New Roman"/>
                <w:lang w:val="lt-LT"/>
              </w:rPr>
              <w:t>investuoti į mokymo skaitmeninimą;</w:t>
            </w:r>
            <w:r w:rsidR="0010244F">
              <w:rPr>
                <w:rFonts w:hAnsi="Times New Roman" w:cs="Times New Roman"/>
                <w:lang w:val="lt-LT"/>
              </w:rPr>
              <w:t xml:space="preserve"> </w:t>
            </w:r>
            <w:r w:rsidR="0010244F" w:rsidRPr="00897706">
              <w:rPr>
                <w:rFonts w:hAnsi="Times New Roman" w:cs="Times New Roman"/>
                <w:lang w:val="lt-LT"/>
              </w:rPr>
              <w:t xml:space="preserve">užtikrinti </w:t>
            </w:r>
            <w:r w:rsidR="008779DC">
              <w:rPr>
                <w:rFonts w:hAnsi="Times New Roman" w:cs="Times New Roman"/>
                <w:lang w:val="lt-LT"/>
              </w:rPr>
              <w:t xml:space="preserve">mokymų pritaikymą pagal </w:t>
            </w:r>
            <w:r w:rsidR="0010244F" w:rsidRPr="00897706">
              <w:rPr>
                <w:rFonts w:hAnsi="Times New Roman" w:cs="Times New Roman"/>
                <w:lang w:val="lt-LT"/>
              </w:rPr>
              <w:t>ES teisės pokyčius, pvz., dėl Europos prokuratūros (EPPO) įsteigimo ir veiklos, Restruktūrizavimo ir nemokumo direktyvos ir kt.</w:t>
            </w:r>
            <w:r w:rsidR="0010244F">
              <w:rPr>
                <w:rFonts w:hAnsi="Times New Roman" w:cs="Times New Roman"/>
                <w:lang w:val="lt-LT"/>
              </w:rPr>
              <w:t xml:space="preserve"> </w:t>
            </w:r>
          </w:p>
          <w:p w14:paraId="49C8B2DF" w14:textId="3A2C53F2" w:rsidR="0010244F" w:rsidRDefault="0010244F" w:rsidP="00922C32">
            <w:pPr>
              <w:pStyle w:val="BodyA"/>
              <w:ind w:left="100"/>
              <w:jc w:val="both"/>
              <w:rPr>
                <w:rFonts w:hAnsi="Times New Roman" w:cs="Times New Roman"/>
                <w:lang w:val="lt-LT"/>
              </w:rPr>
            </w:pPr>
            <w:r w:rsidRPr="00897706">
              <w:rPr>
                <w:rFonts w:hAnsi="Times New Roman" w:cs="Times New Roman"/>
                <w:lang w:val="lt-LT"/>
              </w:rPr>
              <w:t>Europos Komisija kviečiama</w:t>
            </w:r>
            <w:r>
              <w:rPr>
                <w:rFonts w:hAnsi="Times New Roman" w:cs="Times New Roman"/>
                <w:lang w:val="lt-LT"/>
              </w:rPr>
              <w:t xml:space="preserve"> </w:t>
            </w:r>
            <w:r w:rsidRPr="00897706">
              <w:rPr>
                <w:rFonts w:hAnsi="Times New Roman" w:cs="Times New Roman"/>
                <w:lang w:val="lt-LT"/>
              </w:rPr>
              <w:t>skatinti mokymą, siekiant sustiprinti bendrą teisinę kultūrą, pagrįstą teisės viršenybės, abipusio pasitikėjimo ir pagrindinių teisių principais</w:t>
            </w:r>
            <w:r>
              <w:rPr>
                <w:rFonts w:hAnsi="Times New Roman" w:cs="Times New Roman"/>
                <w:lang w:val="lt-LT"/>
              </w:rPr>
              <w:t xml:space="preserve">, </w:t>
            </w:r>
            <w:r w:rsidRPr="00897706">
              <w:rPr>
                <w:rFonts w:hAnsi="Times New Roman" w:cs="Times New Roman"/>
                <w:lang w:val="lt-LT"/>
              </w:rPr>
              <w:t xml:space="preserve">remti aukštos kokybės mokymų projektus, skatinti skaitmeninio raštingumo </w:t>
            </w:r>
            <w:r w:rsidR="008779DC">
              <w:rPr>
                <w:rFonts w:hAnsi="Times New Roman" w:cs="Times New Roman"/>
                <w:lang w:val="lt-LT"/>
              </w:rPr>
              <w:t xml:space="preserve">mokymus </w:t>
            </w:r>
            <w:r w:rsidRPr="00897706">
              <w:rPr>
                <w:rFonts w:hAnsi="Times New Roman" w:cs="Times New Roman"/>
                <w:lang w:val="lt-LT"/>
              </w:rPr>
              <w:t>teisėjams, prokurorams, teismo darbuotojams ir k</w:t>
            </w:r>
            <w:r w:rsidR="00EE0406">
              <w:rPr>
                <w:rFonts w:hAnsi="Times New Roman" w:cs="Times New Roman"/>
                <w:lang w:val="lt-LT"/>
              </w:rPr>
              <w:t xml:space="preserve">t. </w:t>
            </w:r>
            <w:r>
              <w:rPr>
                <w:rFonts w:hAnsi="Times New Roman" w:cs="Times New Roman"/>
                <w:lang w:val="lt-LT"/>
              </w:rPr>
              <w:t xml:space="preserve">bei </w:t>
            </w:r>
            <w:r w:rsidRPr="00897706">
              <w:rPr>
                <w:rFonts w:hAnsi="Times New Roman" w:cs="Times New Roman"/>
                <w:lang w:val="lt-LT"/>
              </w:rPr>
              <w:t>investuoti į tolesnį mokymo metodologijos skaitmenizavimą</w:t>
            </w:r>
            <w:r>
              <w:rPr>
                <w:rFonts w:hAnsi="Times New Roman" w:cs="Times New Roman"/>
                <w:lang w:val="lt-LT"/>
              </w:rPr>
              <w:t xml:space="preserve">. Taip pat </w:t>
            </w:r>
            <w:r w:rsidRPr="00897706">
              <w:rPr>
                <w:rFonts w:hAnsi="Times New Roman" w:cs="Times New Roman"/>
                <w:lang w:val="lt-LT"/>
              </w:rPr>
              <w:t>investuoti į Europos e-teisingumo portalo Europos mokymo platformos plėtrą, skatinti visų teisingumo sistemos specialistų prieigą prie šios platformos</w:t>
            </w:r>
            <w:r>
              <w:rPr>
                <w:rFonts w:hAnsi="Times New Roman" w:cs="Times New Roman"/>
                <w:lang w:val="lt-LT"/>
              </w:rPr>
              <w:t xml:space="preserve"> bei </w:t>
            </w:r>
            <w:r w:rsidRPr="00897706">
              <w:rPr>
                <w:rFonts w:hAnsi="Times New Roman" w:cs="Times New Roman"/>
                <w:lang w:val="lt-LT"/>
              </w:rPr>
              <w:t>remti esamus Europos tinklus, siekiant skatinti ir stiprinti dialogą tarp teisėjų, pavyzdžiui, per forumą „</w:t>
            </w:r>
            <w:proofErr w:type="spellStart"/>
            <w:r w:rsidRPr="00897706">
              <w:rPr>
                <w:rFonts w:hAnsi="Times New Roman" w:cs="Times New Roman"/>
                <w:lang w:val="lt-LT"/>
              </w:rPr>
              <w:t>judges@europe</w:t>
            </w:r>
            <w:proofErr w:type="spellEnd"/>
            <w:r w:rsidRPr="00897706">
              <w:rPr>
                <w:rFonts w:hAnsi="Times New Roman" w:cs="Times New Roman"/>
                <w:lang w:val="lt-LT"/>
              </w:rPr>
              <w:t>“, palengvinti savanorišką keitimąsi ekspertiniais gebėjimais teisės viršenybės, teisėjų nepriklausomumo temomis jiems priimtinais ir patikimais būdais.</w:t>
            </w:r>
          </w:p>
          <w:p w14:paraId="519D340B" w14:textId="77777777" w:rsidR="008779DC" w:rsidRDefault="008779DC" w:rsidP="0010244F">
            <w:pPr>
              <w:pStyle w:val="BodyA"/>
              <w:jc w:val="both"/>
              <w:rPr>
                <w:rFonts w:hAnsi="Times New Roman" w:cs="Times New Roman"/>
                <w:lang w:val="lt-LT"/>
              </w:rPr>
            </w:pPr>
          </w:p>
          <w:p w14:paraId="0B6152F9" w14:textId="26E2B733" w:rsidR="00630401" w:rsidRPr="003F18DB" w:rsidRDefault="0010244F" w:rsidP="004223C2">
            <w:pPr>
              <w:pStyle w:val="BodyA"/>
              <w:ind w:left="198"/>
              <w:jc w:val="both"/>
              <w:rPr>
                <w:rFonts w:hAnsi="Times New Roman" w:cs="Times New Roman"/>
                <w:lang w:val="lt-LT"/>
              </w:rPr>
            </w:pPr>
            <w:r>
              <w:rPr>
                <w:rFonts w:hAnsi="Times New Roman" w:cs="Times New Roman"/>
                <w:b/>
                <w:bCs/>
                <w:lang w:val="lt-LT"/>
              </w:rPr>
              <w:t>Lietuvos pozicija:</w:t>
            </w:r>
            <w:r>
              <w:rPr>
                <w:rFonts w:hAnsi="Times New Roman" w:cs="Times New Roman"/>
                <w:lang w:val="lt-LT"/>
              </w:rPr>
              <w:t xml:space="preserve"> išklausyti informaciją.</w:t>
            </w:r>
            <w:r w:rsidR="004223C2">
              <w:rPr>
                <w:rFonts w:hAnsi="Times New Roman" w:cs="Times New Roman"/>
                <w:lang w:val="lt-LT"/>
              </w:rPr>
              <w:t xml:space="preserve"> Išvados patvirtintos rašytinės procedūros tvarka.</w:t>
            </w:r>
          </w:p>
        </w:tc>
      </w:tr>
    </w:tbl>
    <w:p w14:paraId="22B57CE2" w14:textId="1E6E17A4" w:rsidR="004B217F" w:rsidRPr="003F18DB" w:rsidRDefault="004B217F" w:rsidP="00161A90">
      <w:pPr>
        <w:pStyle w:val="BodyA"/>
        <w:keepNext/>
        <w:jc w:val="center"/>
        <w:outlineLvl w:val="3"/>
        <w:rPr>
          <w:rFonts w:hAnsi="Times New Roman" w:cs="Times New Roman"/>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630401" w:rsidRPr="00DF2089" w14:paraId="45C7C743" w14:textId="77777777" w:rsidTr="00630401">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E151D" w14:textId="77777777" w:rsidR="0010244F" w:rsidRPr="004B65A0" w:rsidRDefault="0010244F" w:rsidP="00F12B57">
            <w:pPr>
              <w:pStyle w:val="BodyA"/>
              <w:tabs>
                <w:tab w:val="left" w:pos="280"/>
              </w:tabs>
              <w:ind w:left="280"/>
              <w:jc w:val="both"/>
              <w:rPr>
                <w:rFonts w:hAnsi="Times New Roman" w:cs="Times New Roman"/>
                <w:b/>
                <w:bCs/>
                <w:lang w:val="lt-LT"/>
              </w:rPr>
            </w:pPr>
            <w:bookmarkStart w:id="3" w:name="_Hlk57100343"/>
            <w:r w:rsidRPr="004B65A0">
              <w:rPr>
                <w:rFonts w:hAnsi="Times New Roman" w:cs="Times New Roman"/>
                <w:b/>
                <w:bCs/>
                <w:lang w:val="lt-LT"/>
              </w:rPr>
              <w:t>Europos Prokuratūros steigimas (EPPO)</w:t>
            </w:r>
            <w:r>
              <w:rPr>
                <w:rFonts w:hAnsi="Times New Roman" w:cs="Times New Roman"/>
                <w:b/>
                <w:bCs/>
                <w:lang w:val="lt-LT"/>
              </w:rPr>
              <w:t xml:space="preserve"> </w:t>
            </w:r>
          </w:p>
          <w:p w14:paraId="280CBC73" w14:textId="77777777" w:rsidR="0010244F" w:rsidRPr="00D45540" w:rsidRDefault="0010244F" w:rsidP="0010244F">
            <w:pPr>
              <w:pStyle w:val="BodyA"/>
              <w:ind w:left="280"/>
              <w:jc w:val="both"/>
              <w:rPr>
                <w:rFonts w:hAnsi="Times New Roman" w:cs="Times New Roman"/>
                <w:lang w:val="lt-LT"/>
              </w:rPr>
            </w:pPr>
            <w:proofErr w:type="spellStart"/>
            <w:r w:rsidRPr="001E3D38">
              <w:rPr>
                <w:rFonts w:hAnsi="Times New Roman" w:cs="Times New Roman"/>
                <w:lang w:val="lt-LT"/>
              </w:rPr>
              <w:t>Setting</w:t>
            </w:r>
            <w:proofErr w:type="spellEnd"/>
            <w:r w:rsidRPr="001E3D38">
              <w:rPr>
                <w:rFonts w:hAnsi="Times New Roman" w:cs="Times New Roman"/>
                <w:lang w:val="lt-LT"/>
              </w:rPr>
              <w:t xml:space="preserve"> </w:t>
            </w:r>
            <w:proofErr w:type="spellStart"/>
            <w:r w:rsidRPr="001E3D38">
              <w:rPr>
                <w:rFonts w:hAnsi="Times New Roman" w:cs="Times New Roman"/>
                <w:lang w:val="lt-LT"/>
              </w:rPr>
              <w:t>up</w:t>
            </w:r>
            <w:proofErr w:type="spellEnd"/>
            <w:r w:rsidRPr="001E3D38">
              <w:rPr>
                <w:rFonts w:hAnsi="Times New Roman" w:cs="Times New Roman"/>
                <w:lang w:val="lt-LT"/>
              </w:rPr>
              <w:t xml:space="preserve"> </w:t>
            </w:r>
            <w:proofErr w:type="spellStart"/>
            <w:r w:rsidRPr="001E3D38">
              <w:rPr>
                <w:rFonts w:hAnsi="Times New Roman" w:cs="Times New Roman"/>
                <w:lang w:val="lt-LT"/>
              </w:rPr>
              <w:t>of</w:t>
            </w:r>
            <w:proofErr w:type="spellEnd"/>
            <w:r w:rsidRPr="001E3D38">
              <w:rPr>
                <w:rFonts w:hAnsi="Times New Roman" w:cs="Times New Roman"/>
                <w:lang w:val="lt-LT"/>
              </w:rPr>
              <w:t xml:space="preserve"> </w:t>
            </w:r>
            <w:proofErr w:type="spellStart"/>
            <w:r w:rsidRPr="001E3D38">
              <w:rPr>
                <w:rFonts w:hAnsi="Times New Roman" w:cs="Times New Roman"/>
                <w:lang w:val="lt-LT"/>
              </w:rPr>
              <w:t>the</w:t>
            </w:r>
            <w:proofErr w:type="spellEnd"/>
            <w:r w:rsidRPr="001E3D38">
              <w:rPr>
                <w:rFonts w:hAnsi="Times New Roman" w:cs="Times New Roman"/>
                <w:lang w:val="lt-LT"/>
              </w:rPr>
              <w:t xml:space="preserve"> </w:t>
            </w:r>
            <w:proofErr w:type="spellStart"/>
            <w:r w:rsidRPr="001E3D38">
              <w:rPr>
                <w:rFonts w:hAnsi="Times New Roman" w:cs="Times New Roman"/>
                <w:lang w:val="lt-LT"/>
              </w:rPr>
              <w:t>European</w:t>
            </w:r>
            <w:proofErr w:type="spellEnd"/>
            <w:r w:rsidRPr="001E3D38">
              <w:rPr>
                <w:rFonts w:hAnsi="Times New Roman" w:cs="Times New Roman"/>
                <w:lang w:val="lt-LT"/>
              </w:rPr>
              <w:t xml:space="preserve"> </w:t>
            </w:r>
            <w:proofErr w:type="spellStart"/>
            <w:r w:rsidRPr="001E3D38">
              <w:rPr>
                <w:rFonts w:hAnsi="Times New Roman" w:cs="Times New Roman"/>
                <w:lang w:val="lt-LT"/>
              </w:rPr>
              <w:t>Public</w:t>
            </w:r>
            <w:proofErr w:type="spellEnd"/>
            <w:r w:rsidRPr="001E3D38">
              <w:rPr>
                <w:rFonts w:hAnsi="Times New Roman" w:cs="Times New Roman"/>
                <w:lang w:val="lt-LT"/>
              </w:rPr>
              <w:t xml:space="preserve"> </w:t>
            </w:r>
            <w:proofErr w:type="spellStart"/>
            <w:r w:rsidRPr="001E3D38">
              <w:rPr>
                <w:rFonts w:hAnsi="Times New Roman" w:cs="Times New Roman"/>
                <w:lang w:val="lt-LT"/>
              </w:rPr>
              <w:t>Prosecutor's</w:t>
            </w:r>
            <w:proofErr w:type="spellEnd"/>
            <w:r w:rsidRPr="001E3D38">
              <w:rPr>
                <w:rFonts w:hAnsi="Times New Roman" w:cs="Times New Roman"/>
                <w:lang w:val="lt-LT"/>
              </w:rPr>
              <w:t xml:space="preserve"> Office (EPPO)</w:t>
            </w:r>
          </w:p>
          <w:p w14:paraId="0BA64320" w14:textId="46CC373A" w:rsidR="0010244F" w:rsidRDefault="0010244F" w:rsidP="0010244F">
            <w:pPr>
              <w:pStyle w:val="BodyA"/>
              <w:ind w:left="280"/>
              <w:jc w:val="both"/>
              <w:rPr>
                <w:rFonts w:hAnsi="Times New Roman" w:cs="Times New Roman"/>
                <w:lang w:val="lt-LT"/>
              </w:rPr>
            </w:pPr>
            <w:r>
              <w:rPr>
                <w:rFonts w:hAnsi="Times New Roman" w:cs="Times New Roman"/>
                <w:lang w:val="lt-LT"/>
              </w:rPr>
              <w:t>(</w:t>
            </w:r>
            <w:r w:rsidRPr="004B65A0">
              <w:rPr>
                <w:rFonts w:hAnsi="Times New Roman" w:cs="Times New Roman"/>
                <w:i/>
                <w:iCs/>
                <w:lang w:val="lt-LT"/>
              </w:rPr>
              <w:t>Esama situacija</w:t>
            </w:r>
            <w:r>
              <w:rPr>
                <w:rFonts w:hAnsi="Times New Roman" w:cs="Times New Roman"/>
                <w:lang w:val="lt-LT"/>
              </w:rPr>
              <w:t>)</w:t>
            </w:r>
            <w:r w:rsidRPr="003B38E4">
              <w:rPr>
                <w:rFonts w:hAnsi="Times New Roman" w:cs="Times New Roman"/>
                <w:lang w:val="lt-LT"/>
              </w:rPr>
              <w:t xml:space="preserve"> </w:t>
            </w:r>
          </w:p>
          <w:p w14:paraId="236F85FD" w14:textId="77777777" w:rsidR="002A2A98" w:rsidRPr="003B38E4" w:rsidRDefault="002A2A98" w:rsidP="0010244F">
            <w:pPr>
              <w:pStyle w:val="BodyA"/>
              <w:ind w:left="280"/>
              <w:jc w:val="both"/>
              <w:rPr>
                <w:rFonts w:hAnsi="Times New Roman" w:cs="Times New Roman"/>
                <w:lang w:val="lt-LT"/>
              </w:rPr>
            </w:pPr>
          </w:p>
          <w:p w14:paraId="4E23A1B9" w14:textId="5E5BB0F7" w:rsidR="0010244F" w:rsidRPr="00B73AC3" w:rsidRDefault="002A2A98" w:rsidP="001941F1">
            <w:pPr>
              <w:pStyle w:val="BodyA"/>
              <w:ind w:left="100"/>
              <w:jc w:val="both"/>
              <w:rPr>
                <w:rFonts w:hAnsi="Times New Roman" w:cs="Times New Roman"/>
                <w:lang w:val="lt-LT"/>
              </w:rPr>
            </w:pPr>
            <w:r w:rsidRPr="002A2A98">
              <w:rPr>
                <w:rFonts w:hAnsi="Times New Roman" w:cs="Times New Roman"/>
                <w:b/>
                <w:bCs/>
                <w:lang w:val="lt-LT"/>
              </w:rPr>
              <w:t>Klausimo esmė.</w:t>
            </w:r>
            <w:r>
              <w:rPr>
                <w:rFonts w:hAnsi="Times New Roman" w:cs="Times New Roman"/>
                <w:lang w:val="lt-LT"/>
              </w:rPr>
              <w:t xml:space="preserve"> </w:t>
            </w:r>
            <w:r w:rsidR="00EE0406">
              <w:rPr>
                <w:rFonts w:hAnsi="Times New Roman" w:cs="Times New Roman"/>
                <w:lang w:val="lt-LT"/>
              </w:rPr>
              <w:t>I</w:t>
            </w:r>
            <w:r w:rsidR="0010244F" w:rsidRPr="00B73AC3">
              <w:rPr>
                <w:rFonts w:hAnsi="Times New Roman" w:cs="Times New Roman"/>
                <w:lang w:val="lt-LT"/>
              </w:rPr>
              <w:t>nformacija apie parengiamuosius veiksmus</w:t>
            </w:r>
            <w:r w:rsidR="00B363B0">
              <w:rPr>
                <w:rFonts w:hAnsi="Times New Roman" w:cs="Times New Roman"/>
                <w:lang w:val="lt-LT"/>
              </w:rPr>
              <w:t xml:space="preserve"> </w:t>
            </w:r>
            <w:r w:rsidR="0010244F" w:rsidRPr="00B73AC3">
              <w:rPr>
                <w:rFonts w:hAnsi="Times New Roman" w:cs="Times New Roman"/>
                <w:lang w:val="lt-LT"/>
              </w:rPr>
              <w:t>nuo 2020 m. gruodžio mėn. iki 2021 m. vasario 26 d.</w:t>
            </w:r>
            <w:r w:rsidR="008D434C">
              <w:rPr>
                <w:rFonts w:hAnsi="Times New Roman" w:cs="Times New Roman"/>
                <w:lang w:val="lt-LT"/>
              </w:rPr>
              <w:t xml:space="preserve"> </w:t>
            </w:r>
            <w:r w:rsidR="00C51E95">
              <w:rPr>
                <w:rFonts w:hAnsi="Times New Roman" w:cs="Times New Roman"/>
                <w:lang w:val="lt-LT"/>
              </w:rPr>
              <w:t>Susitarta</w:t>
            </w:r>
            <w:r w:rsidR="0010244F" w:rsidRPr="00B73AC3">
              <w:rPr>
                <w:rFonts w:hAnsi="Times New Roman" w:cs="Times New Roman"/>
                <w:lang w:val="lt-LT"/>
              </w:rPr>
              <w:t xml:space="preserve"> dėl 2021 m. EPPO biudžeto, sudarančio 44,95 mln. EUR. Dauguma valstybių narių priėmė būtinus teisės aktus, kad nacionalinės teisingumo sistemos būtų pritaikytos prie Tarybos reglamento (ES) 2017/1939</w:t>
            </w:r>
            <w:r w:rsidR="00E76B27">
              <w:rPr>
                <w:rFonts w:hAnsi="Times New Roman" w:cs="Times New Roman"/>
                <w:lang w:val="lt-LT"/>
              </w:rPr>
              <w:t xml:space="preserve">. </w:t>
            </w:r>
            <w:r w:rsidR="0010244F" w:rsidRPr="00B73AC3">
              <w:rPr>
                <w:rFonts w:hAnsi="Times New Roman" w:cs="Times New Roman"/>
                <w:lang w:val="lt-LT"/>
              </w:rPr>
              <w:t>Tikimasi, kad kitose valstybėse narėse vykstančios teisėkūros procedūros bus baigtos iki 2021 m. antr</w:t>
            </w:r>
            <w:r w:rsidR="00B363B0">
              <w:rPr>
                <w:rFonts w:hAnsi="Times New Roman" w:cs="Times New Roman"/>
                <w:lang w:val="lt-LT"/>
              </w:rPr>
              <w:t xml:space="preserve">ojo </w:t>
            </w:r>
            <w:r w:rsidR="0010244F" w:rsidRPr="00B73AC3">
              <w:rPr>
                <w:rFonts w:hAnsi="Times New Roman" w:cs="Times New Roman"/>
                <w:lang w:val="lt-LT"/>
              </w:rPr>
              <w:t>ketvir</w:t>
            </w:r>
            <w:r w:rsidR="00B363B0">
              <w:rPr>
                <w:rFonts w:hAnsi="Times New Roman" w:cs="Times New Roman"/>
                <w:lang w:val="lt-LT"/>
              </w:rPr>
              <w:t>čio</w:t>
            </w:r>
            <w:r w:rsidR="0010244F" w:rsidRPr="00B73AC3">
              <w:rPr>
                <w:rFonts w:hAnsi="Times New Roman" w:cs="Times New Roman"/>
                <w:lang w:val="lt-LT"/>
              </w:rPr>
              <w:t xml:space="preserve">. </w:t>
            </w:r>
            <w:r w:rsidR="00C51E95">
              <w:rPr>
                <w:rFonts w:hAnsi="Times New Roman" w:cs="Times New Roman"/>
                <w:lang w:val="lt-LT"/>
              </w:rPr>
              <w:t>M</w:t>
            </w:r>
            <w:r w:rsidR="0010244F" w:rsidRPr="00B73AC3">
              <w:rPr>
                <w:rFonts w:hAnsi="Times New Roman" w:cs="Times New Roman"/>
                <w:lang w:val="lt-LT"/>
              </w:rPr>
              <w:t xml:space="preserve">aždaug pusė valstybių narių iki šiol pasiūlė visus </w:t>
            </w:r>
            <w:r w:rsidR="00510275">
              <w:rPr>
                <w:rFonts w:hAnsi="Times New Roman" w:cs="Times New Roman"/>
                <w:lang w:val="lt-LT"/>
              </w:rPr>
              <w:t>kandidatus į Europos deleguotus prokurorus (E</w:t>
            </w:r>
            <w:r w:rsidR="00C51E95">
              <w:rPr>
                <w:rFonts w:hAnsi="Times New Roman" w:cs="Times New Roman"/>
                <w:lang w:val="lt-LT"/>
              </w:rPr>
              <w:t>DP</w:t>
            </w:r>
            <w:r w:rsidR="00510275">
              <w:rPr>
                <w:rFonts w:hAnsi="Times New Roman" w:cs="Times New Roman"/>
                <w:lang w:val="lt-LT"/>
              </w:rPr>
              <w:t>)</w:t>
            </w:r>
            <w:r w:rsidR="00C51E95">
              <w:rPr>
                <w:rFonts w:hAnsi="Times New Roman" w:cs="Times New Roman"/>
                <w:lang w:val="lt-LT"/>
              </w:rPr>
              <w:t xml:space="preserve"> </w:t>
            </w:r>
            <w:r w:rsidR="00B363B0">
              <w:rPr>
                <w:rFonts w:hAnsi="Times New Roman" w:cs="Times New Roman"/>
                <w:lang w:val="lt-LT"/>
              </w:rPr>
              <w:t>arba</w:t>
            </w:r>
            <w:r w:rsidR="0010244F" w:rsidRPr="00B73AC3">
              <w:rPr>
                <w:rFonts w:hAnsi="Times New Roman" w:cs="Times New Roman"/>
                <w:lang w:val="lt-LT"/>
              </w:rPr>
              <w:t xml:space="preserve"> baigė atrankos procedūrą</w:t>
            </w:r>
            <w:r w:rsidR="00B363B0">
              <w:rPr>
                <w:rFonts w:hAnsi="Times New Roman" w:cs="Times New Roman"/>
                <w:lang w:val="lt-LT"/>
              </w:rPr>
              <w:t xml:space="preserve">. </w:t>
            </w:r>
            <w:r w:rsidR="0010244F" w:rsidRPr="00B73AC3">
              <w:rPr>
                <w:rFonts w:hAnsi="Times New Roman" w:cs="Times New Roman"/>
                <w:lang w:val="lt-LT"/>
              </w:rPr>
              <w:t xml:space="preserve">EPPO paskyrė 32 </w:t>
            </w:r>
            <w:r w:rsidR="00510275">
              <w:rPr>
                <w:rFonts w:hAnsi="Times New Roman" w:cs="Times New Roman"/>
                <w:lang w:val="lt-LT"/>
              </w:rPr>
              <w:t>E</w:t>
            </w:r>
            <w:r w:rsidR="0010244F" w:rsidRPr="00B73AC3">
              <w:rPr>
                <w:rFonts w:hAnsi="Times New Roman" w:cs="Times New Roman"/>
                <w:lang w:val="lt-LT"/>
              </w:rPr>
              <w:t xml:space="preserve">DP iš 7 valstybių narių, o 23 iš jų savo pareigas pradės vykdyti iki 2021 m. Kovo 1 d. 2021 m. sausio 20 d. Kolegija paskyrė naują EPPO administracijos direktorių (p. </w:t>
            </w:r>
            <w:proofErr w:type="spellStart"/>
            <w:r w:rsidR="0010244F" w:rsidRPr="00B73AC3">
              <w:rPr>
                <w:rFonts w:hAnsi="Times New Roman" w:cs="Times New Roman"/>
                <w:lang w:val="lt-LT"/>
              </w:rPr>
              <w:t>Olivier</w:t>
            </w:r>
            <w:proofErr w:type="spellEnd"/>
            <w:r w:rsidR="0010244F" w:rsidRPr="00B73AC3">
              <w:rPr>
                <w:rFonts w:hAnsi="Times New Roman" w:cs="Times New Roman"/>
                <w:lang w:val="lt-LT"/>
              </w:rPr>
              <w:t xml:space="preserve"> </w:t>
            </w:r>
            <w:proofErr w:type="spellStart"/>
            <w:r w:rsidR="0010244F" w:rsidRPr="00B73AC3">
              <w:rPr>
                <w:rFonts w:hAnsi="Times New Roman" w:cs="Times New Roman"/>
                <w:lang w:val="lt-LT"/>
              </w:rPr>
              <w:t>Ramsayer</w:t>
            </w:r>
            <w:proofErr w:type="spellEnd"/>
            <w:r w:rsidR="0010244F" w:rsidRPr="00B73AC3">
              <w:rPr>
                <w:rFonts w:hAnsi="Times New Roman" w:cs="Times New Roman"/>
                <w:lang w:val="lt-LT"/>
              </w:rPr>
              <w:t>).</w:t>
            </w:r>
            <w:r w:rsidR="008D434C">
              <w:rPr>
                <w:rFonts w:hAnsi="Times New Roman" w:cs="Times New Roman"/>
                <w:lang w:val="lt-LT"/>
              </w:rPr>
              <w:t xml:space="preserve"> </w:t>
            </w:r>
            <w:r w:rsidR="0010244F" w:rsidRPr="00B73AC3">
              <w:rPr>
                <w:rFonts w:hAnsi="Times New Roman" w:cs="Times New Roman"/>
                <w:lang w:val="lt-LT"/>
              </w:rPr>
              <w:t xml:space="preserve">Atvejų valdymo sistema (TVS): TVS programa yra paruošta. EPPO šiuo metu dirba tobulindama ir įtraukdama naujas iš vartotojų kylančias funkcijas. Buvo pasirašyti dvišaliai Europos prokuratūros darbo susitarimai su Europolu ir Eurojustu. Tikimasi, kad darbo sutartis su OLAF bus pasirašyta netrukus. </w:t>
            </w:r>
            <w:r w:rsidR="00E76B27">
              <w:rPr>
                <w:rFonts w:hAnsi="Times New Roman" w:cs="Times New Roman"/>
                <w:lang w:val="lt-LT"/>
              </w:rPr>
              <w:t xml:space="preserve">Susitarta </w:t>
            </w:r>
            <w:r w:rsidR="0010244F" w:rsidRPr="00B73AC3">
              <w:rPr>
                <w:rFonts w:hAnsi="Times New Roman" w:cs="Times New Roman"/>
                <w:lang w:val="lt-LT"/>
              </w:rPr>
              <w:t xml:space="preserve">dėl EPPO, kaip kompetentingos institucijos, pranešimo teksto pagal 1959 m. Europos konvenciją dėl savitarpio pagalbos baudžiamosiose bylose ir jos protokoluose. 2020 m. </w:t>
            </w:r>
            <w:proofErr w:type="spellStart"/>
            <w:r w:rsidR="00E76B27">
              <w:rPr>
                <w:rFonts w:hAnsi="Times New Roman" w:cs="Times New Roman"/>
                <w:lang w:val="lt-LT"/>
              </w:rPr>
              <w:t>pab</w:t>
            </w:r>
            <w:proofErr w:type="spellEnd"/>
            <w:r w:rsidR="00E76B27">
              <w:rPr>
                <w:rFonts w:hAnsi="Times New Roman" w:cs="Times New Roman"/>
                <w:lang w:val="lt-LT"/>
              </w:rPr>
              <w:t>.</w:t>
            </w:r>
            <w:r w:rsidR="0010244F" w:rsidRPr="00B73AC3">
              <w:rPr>
                <w:rFonts w:hAnsi="Times New Roman" w:cs="Times New Roman"/>
                <w:lang w:val="lt-LT"/>
              </w:rPr>
              <w:t xml:space="preserve"> Sąjunga pranešė Jungtinei Karalystei, kad Europos prokuratūra, vykdydama savo kompetenciją, laikoma kompetentinga institucija taikant abipusės pagalbos, ES turto arešto ir konfiskavimo antraštines dalis</w:t>
            </w:r>
            <w:r w:rsidR="001941F1">
              <w:rPr>
                <w:rFonts w:hAnsi="Times New Roman" w:cs="Times New Roman"/>
                <w:lang w:val="lt-LT"/>
              </w:rPr>
              <w:t xml:space="preserve">. </w:t>
            </w:r>
          </w:p>
          <w:p w14:paraId="069A005E" w14:textId="77777777" w:rsidR="00E76B27" w:rsidRDefault="00E76B27" w:rsidP="00E76B27">
            <w:pPr>
              <w:pStyle w:val="BodyA"/>
              <w:ind w:left="100"/>
              <w:jc w:val="both"/>
              <w:rPr>
                <w:rFonts w:hAnsi="Times New Roman" w:cs="Times New Roman"/>
                <w:lang w:val="lt-LT"/>
              </w:rPr>
            </w:pPr>
          </w:p>
          <w:p w14:paraId="51E127FC" w14:textId="1F30FBDE" w:rsidR="00630401" w:rsidRPr="003F18DB" w:rsidRDefault="0010244F" w:rsidP="004223C2">
            <w:pPr>
              <w:pStyle w:val="BodyA"/>
              <w:ind w:firstLine="56"/>
              <w:jc w:val="both"/>
              <w:rPr>
                <w:rFonts w:hAnsi="Times New Roman" w:cs="Times New Roman"/>
                <w:b/>
                <w:bCs/>
                <w:lang w:val="lt-LT"/>
              </w:rPr>
            </w:pPr>
            <w:r w:rsidRPr="003F4A7B">
              <w:rPr>
                <w:rFonts w:hAnsi="Times New Roman" w:cs="Times New Roman"/>
                <w:b/>
                <w:bCs/>
                <w:lang w:val="lt-LT"/>
              </w:rPr>
              <w:t>Lietuvos pozicija:</w:t>
            </w:r>
            <w:r w:rsidRPr="003F4A7B">
              <w:rPr>
                <w:rFonts w:hAnsi="Times New Roman" w:cs="Times New Roman"/>
                <w:lang w:val="lt-LT"/>
              </w:rPr>
              <w:t xml:space="preserve"> išklausyti informaciją.</w:t>
            </w:r>
          </w:p>
        </w:tc>
      </w:tr>
    </w:tbl>
    <w:bookmarkEnd w:id="3"/>
    <w:p w14:paraId="69792E4F" w14:textId="0FCEB316" w:rsidR="00161A90" w:rsidRDefault="0010244F" w:rsidP="00161A90">
      <w:pPr>
        <w:pStyle w:val="BodyA"/>
        <w:jc w:val="center"/>
        <w:rPr>
          <w:rFonts w:hAnsi="Times New Roman" w:cs="Times New Roman"/>
          <w:b/>
          <w:bCs/>
          <w:caps/>
          <w:lang w:val="lt-LT"/>
        </w:rPr>
      </w:pPr>
      <w:r w:rsidRPr="0010244F">
        <w:rPr>
          <w:rFonts w:hAnsi="Times New Roman" w:cs="Times New Roman"/>
          <w:b/>
          <w:bCs/>
          <w:caps/>
          <w:lang w:val="lt-LT"/>
        </w:rPr>
        <w:tab/>
      </w: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10244F" w:rsidRPr="00FA71B6" w14:paraId="4667094F" w14:textId="77777777" w:rsidTr="006320C4">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9BBC43" w14:textId="77777777" w:rsidR="00A779E6" w:rsidRPr="004B65A0" w:rsidRDefault="00A779E6" w:rsidP="00F12B57">
            <w:pPr>
              <w:pStyle w:val="BodyA"/>
              <w:ind w:left="360"/>
              <w:jc w:val="both"/>
              <w:rPr>
                <w:rFonts w:hAnsi="Times New Roman" w:cs="Times New Roman"/>
                <w:b/>
                <w:bCs/>
                <w:lang w:val="lt-LT"/>
              </w:rPr>
            </w:pPr>
            <w:r w:rsidRPr="004B65A0">
              <w:rPr>
                <w:rFonts w:hAnsi="Times New Roman" w:cs="Times New Roman"/>
                <w:b/>
                <w:bCs/>
                <w:lang w:val="lt-LT"/>
              </w:rPr>
              <w:lastRenderedPageBreak/>
              <w:t xml:space="preserve">AOB Kiti klausimai </w:t>
            </w:r>
          </w:p>
          <w:p w14:paraId="7292580A" w14:textId="77777777" w:rsidR="00A779E6" w:rsidRPr="004B65A0" w:rsidRDefault="00A779E6" w:rsidP="00A779E6">
            <w:pPr>
              <w:pStyle w:val="BodyA"/>
              <w:numPr>
                <w:ilvl w:val="0"/>
                <w:numId w:val="37"/>
              </w:numPr>
              <w:jc w:val="both"/>
              <w:rPr>
                <w:rFonts w:hAnsi="Times New Roman" w:cs="Times New Roman"/>
                <w:b/>
                <w:bCs/>
                <w:lang w:val="lt-LT"/>
              </w:rPr>
            </w:pPr>
            <w:r w:rsidRPr="004B65A0">
              <w:rPr>
                <w:rFonts w:hAnsi="Times New Roman" w:cs="Times New Roman"/>
                <w:b/>
                <w:bCs/>
                <w:lang w:val="lt-LT"/>
              </w:rPr>
              <w:t xml:space="preserve">ES iniciatyva – Šiaurės Afrika: glaudesnis politinis dialogas teisingumo ir vidaus reikalų srityse </w:t>
            </w:r>
          </w:p>
          <w:p w14:paraId="734861A7" w14:textId="77777777" w:rsidR="00A779E6" w:rsidRPr="00D45540" w:rsidRDefault="00A779E6" w:rsidP="00A779E6">
            <w:pPr>
              <w:pStyle w:val="BodyA"/>
              <w:ind w:left="360"/>
              <w:jc w:val="both"/>
              <w:rPr>
                <w:rFonts w:hAnsi="Times New Roman" w:cs="Times New Roman"/>
                <w:lang w:val="lt-LT"/>
              </w:rPr>
            </w:pPr>
            <w:proofErr w:type="spellStart"/>
            <w:r w:rsidRPr="00D45540">
              <w:rPr>
                <w:rFonts w:hAnsi="Times New Roman" w:cs="Times New Roman"/>
                <w:lang w:val="lt-LT"/>
              </w:rPr>
              <w:t>Initiative</w:t>
            </w:r>
            <w:proofErr w:type="spellEnd"/>
            <w:r w:rsidRPr="00D45540">
              <w:rPr>
                <w:rFonts w:hAnsi="Times New Roman" w:cs="Times New Roman"/>
                <w:lang w:val="lt-LT"/>
              </w:rPr>
              <w:t xml:space="preserve"> </w:t>
            </w:r>
            <w:proofErr w:type="spellStart"/>
            <w:r w:rsidRPr="00D45540">
              <w:rPr>
                <w:rFonts w:hAnsi="Times New Roman" w:cs="Times New Roman"/>
                <w:lang w:val="lt-LT"/>
              </w:rPr>
              <w:t>on</w:t>
            </w:r>
            <w:proofErr w:type="spellEnd"/>
            <w:r w:rsidRPr="00D45540">
              <w:rPr>
                <w:rFonts w:hAnsi="Times New Roman" w:cs="Times New Roman"/>
                <w:lang w:val="lt-LT"/>
              </w:rPr>
              <w:t xml:space="preserve"> EU–</w:t>
            </w:r>
            <w:proofErr w:type="spellStart"/>
            <w:r w:rsidRPr="00D45540">
              <w:rPr>
                <w:rFonts w:hAnsi="Times New Roman" w:cs="Times New Roman"/>
                <w:lang w:val="lt-LT"/>
              </w:rPr>
              <w:t>North</w:t>
            </w:r>
            <w:proofErr w:type="spellEnd"/>
            <w:r w:rsidRPr="00D45540">
              <w:rPr>
                <w:rFonts w:hAnsi="Times New Roman" w:cs="Times New Roman"/>
                <w:lang w:val="lt-LT"/>
              </w:rPr>
              <w:t xml:space="preserve"> </w:t>
            </w:r>
            <w:proofErr w:type="spellStart"/>
            <w:r w:rsidRPr="00D45540">
              <w:rPr>
                <w:rFonts w:hAnsi="Times New Roman" w:cs="Times New Roman"/>
                <w:lang w:val="lt-LT"/>
              </w:rPr>
              <w:t>Africa</w:t>
            </w:r>
            <w:proofErr w:type="spellEnd"/>
            <w:r w:rsidRPr="00D45540">
              <w:rPr>
                <w:rFonts w:hAnsi="Times New Roman" w:cs="Times New Roman"/>
                <w:lang w:val="lt-LT"/>
              </w:rPr>
              <w:t xml:space="preserve">: </w:t>
            </w:r>
            <w:proofErr w:type="spellStart"/>
            <w:r w:rsidRPr="00D45540">
              <w:rPr>
                <w:rFonts w:hAnsi="Times New Roman" w:cs="Times New Roman"/>
                <w:lang w:val="lt-LT"/>
              </w:rPr>
              <w:t>Enhanced</w:t>
            </w:r>
            <w:proofErr w:type="spellEnd"/>
            <w:r w:rsidRPr="00D45540">
              <w:rPr>
                <w:rFonts w:hAnsi="Times New Roman" w:cs="Times New Roman"/>
                <w:lang w:val="lt-LT"/>
              </w:rPr>
              <w:t xml:space="preserve"> </w:t>
            </w:r>
            <w:proofErr w:type="spellStart"/>
            <w:r w:rsidRPr="00D45540">
              <w:rPr>
                <w:rFonts w:hAnsi="Times New Roman" w:cs="Times New Roman"/>
                <w:lang w:val="lt-LT"/>
              </w:rPr>
              <w:t>Political</w:t>
            </w:r>
            <w:proofErr w:type="spellEnd"/>
            <w:r w:rsidRPr="00D45540">
              <w:rPr>
                <w:rFonts w:hAnsi="Times New Roman" w:cs="Times New Roman"/>
                <w:lang w:val="lt-LT"/>
              </w:rPr>
              <w:t xml:space="preserve"> </w:t>
            </w:r>
            <w:proofErr w:type="spellStart"/>
            <w:r w:rsidRPr="00D45540">
              <w:rPr>
                <w:rFonts w:hAnsi="Times New Roman" w:cs="Times New Roman"/>
                <w:lang w:val="lt-LT"/>
              </w:rPr>
              <w:t>Dialogue</w:t>
            </w:r>
            <w:proofErr w:type="spellEnd"/>
            <w:r w:rsidRPr="00D45540">
              <w:rPr>
                <w:rFonts w:hAnsi="Times New Roman" w:cs="Times New Roman"/>
                <w:lang w:val="lt-LT"/>
              </w:rPr>
              <w:t xml:space="preserve"> </w:t>
            </w:r>
            <w:proofErr w:type="spellStart"/>
            <w:r w:rsidRPr="00D45540">
              <w:rPr>
                <w:rFonts w:hAnsi="Times New Roman" w:cs="Times New Roman"/>
                <w:lang w:val="lt-LT"/>
              </w:rPr>
              <w:t>on</w:t>
            </w:r>
            <w:proofErr w:type="spellEnd"/>
            <w:r>
              <w:rPr>
                <w:rFonts w:hAnsi="Times New Roman" w:cs="Times New Roman"/>
                <w:lang w:val="lt-LT"/>
              </w:rPr>
              <w:t xml:space="preserve"> </w:t>
            </w:r>
            <w:proofErr w:type="spellStart"/>
            <w:r w:rsidRPr="00D45540">
              <w:rPr>
                <w:rFonts w:hAnsi="Times New Roman" w:cs="Times New Roman"/>
                <w:lang w:val="lt-LT"/>
              </w:rPr>
              <w:t>Justice</w:t>
            </w:r>
            <w:proofErr w:type="spellEnd"/>
            <w:r w:rsidRPr="00D45540">
              <w:rPr>
                <w:rFonts w:hAnsi="Times New Roman" w:cs="Times New Roman"/>
                <w:lang w:val="lt-LT"/>
              </w:rPr>
              <w:t xml:space="preserve"> </w:t>
            </w:r>
            <w:proofErr w:type="spellStart"/>
            <w:r w:rsidRPr="00D45540">
              <w:rPr>
                <w:rFonts w:hAnsi="Times New Roman" w:cs="Times New Roman"/>
                <w:lang w:val="lt-LT"/>
              </w:rPr>
              <w:t>and</w:t>
            </w:r>
            <w:proofErr w:type="spellEnd"/>
            <w:r w:rsidRPr="00D45540">
              <w:rPr>
                <w:rFonts w:hAnsi="Times New Roman" w:cs="Times New Roman"/>
                <w:lang w:val="lt-LT"/>
              </w:rPr>
              <w:t xml:space="preserve"> </w:t>
            </w:r>
            <w:proofErr w:type="spellStart"/>
            <w:r w:rsidRPr="00D45540">
              <w:rPr>
                <w:rFonts w:hAnsi="Times New Roman" w:cs="Times New Roman"/>
                <w:lang w:val="lt-LT"/>
              </w:rPr>
              <w:t>Home</w:t>
            </w:r>
            <w:proofErr w:type="spellEnd"/>
            <w:r w:rsidRPr="00D45540">
              <w:rPr>
                <w:rFonts w:hAnsi="Times New Roman" w:cs="Times New Roman"/>
                <w:lang w:val="lt-LT"/>
              </w:rPr>
              <w:t xml:space="preserve"> </w:t>
            </w:r>
            <w:proofErr w:type="spellStart"/>
            <w:r w:rsidRPr="00D45540">
              <w:rPr>
                <w:rFonts w:hAnsi="Times New Roman" w:cs="Times New Roman"/>
                <w:lang w:val="lt-LT"/>
              </w:rPr>
              <w:t>Affairs</w:t>
            </w:r>
            <w:proofErr w:type="spellEnd"/>
          </w:p>
          <w:p w14:paraId="3AD744C5" w14:textId="77777777" w:rsidR="00A779E6" w:rsidRDefault="00A779E6" w:rsidP="00A779E6">
            <w:pPr>
              <w:pStyle w:val="BodyA"/>
              <w:ind w:firstLine="370"/>
              <w:jc w:val="both"/>
              <w:rPr>
                <w:rFonts w:hAnsi="Times New Roman" w:cs="Times New Roman"/>
                <w:lang w:val="lt-LT"/>
              </w:rPr>
            </w:pPr>
            <w:r>
              <w:rPr>
                <w:rFonts w:hAnsi="Times New Roman" w:cs="Times New Roman"/>
                <w:i/>
                <w:iCs/>
                <w:lang w:val="lt-LT"/>
              </w:rPr>
              <w:t>(Pirmininkaujančios valstybės pristatymas</w:t>
            </w:r>
            <w:r>
              <w:rPr>
                <w:rFonts w:hAnsi="Times New Roman" w:cs="Times New Roman"/>
                <w:lang w:val="lt-LT"/>
              </w:rPr>
              <w:t>)</w:t>
            </w:r>
          </w:p>
          <w:p w14:paraId="72F5CC54" w14:textId="77777777" w:rsidR="00EE0406" w:rsidRDefault="00EE0406" w:rsidP="00A779E6">
            <w:pPr>
              <w:pStyle w:val="BodyA"/>
              <w:ind w:firstLine="370"/>
              <w:jc w:val="both"/>
              <w:rPr>
                <w:rFonts w:hAnsi="Times New Roman" w:cs="Times New Roman"/>
                <w:b/>
                <w:bCs/>
                <w:lang w:val="lt-LT"/>
              </w:rPr>
            </w:pPr>
          </w:p>
          <w:p w14:paraId="6F761234" w14:textId="78306092" w:rsidR="00A779E6" w:rsidRDefault="00A779E6" w:rsidP="00A779E6">
            <w:pPr>
              <w:pStyle w:val="BodyA"/>
              <w:ind w:firstLine="370"/>
              <w:jc w:val="both"/>
              <w:rPr>
                <w:rFonts w:hAnsi="Times New Roman" w:cs="Times New Roman"/>
                <w:lang w:val="lt-LT"/>
              </w:rPr>
            </w:pPr>
            <w:r w:rsidRPr="003F4A7B">
              <w:rPr>
                <w:rFonts w:hAnsi="Times New Roman" w:cs="Times New Roman"/>
                <w:b/>
                <w:bCs/>
                <w:lang w:val="lt-LT"/>
              </w:rPr>
              <w:t>Lietuvos pozicija:</w:t>
            </w:r>
            <w:r w:rsidRPr="003F4A7B">
              <w:rPr>
                <w:rFonts w:hAnsi="Times New Roman" w:cs="Times New Roman"/>
                <w:lang w:val="lt-LT"/>
              </w:rPr>
              <w:t xml:space="preserve"> išklausyti informaciją.</w:t>
            </w:r>
          </w:p>
          <w:p w14:paraId="24138917" w14:textId="77777777" w:rsidR="00A779E6" w:rsidRPr="00D45540" w:rsidRDefault="00A779E6" w:rsidP="00A779E6">
            <w:pPr>
              <w:pStyle w:val="BodyA"/>
              <w:jc w:val="both"/>
              <w:rPr>
                <w:rFonts w:hAnsi="Times New Roman" w:cs="Times New Roman"/>
                <w:lang w:val="lt-LT"/>
              </w:rPr>
            </w:pPr>
          </w:p>
          <w:p w14:paraId="1C7F0968" w14:textId="77777777" w:rsidR="00A779E6" w:rsidRPr="004B65A0" w:rsidRDefault="00A779E6" w:rsidP="00A779E6">
            <w:pPr>
              <w:pStyle w:val="BodyA"/>
              <w:numPr>
                <w:ilvl w:val="0"/>
                <w:numId w:val="37"/>
              </w:numPr>
              <w:jc w:val="both"/>
              <w:rPr>
                <w:rFonts w:hAnsi="Times New Roman" w:cs="Times New Roman"/>
                <w:b/>
                <w:bCs/>
                <w:lang w:val="lt-LT"/>
              </w:rPr>
            </w:pPr>
            <w:r w:rsidRPr="004B65A0">
              <w:rPr>
                <w:rFonts w:hAnsi="Times New Roman" w:cs="Times New Roman"/>
                <w:b/>
                <w:bCs/>
                <w:lang w:val="lt-LT"/>
              </w:rPr>
              <w:t xml:space="preserve">Kova su nelegaliu turiniu internete pasiūlymo dėl Skaitmeninių paslaugų akto kontekste </w:t>
            </w:r>
          </w:p>
          <w:p w14:paraId="50988A49" w14:textId="77777777" w:rsidR="00A779E6" w:rsidRPr="00D45540" w:rsidRDefault="00A779E6" w:rsidP="00A779E6">
            <w:pPr>
              <w:pStyle w:val="BodyA"/>
              <w:ind w:left="360"/>
              <w:jc w:val="both"/>
              <w:rPr>
                <w:rFonts w:hAnsi="Times New Roman" w:cs="Times New Roman"/>
                <w:lang w:val="lt-LT"/>
              </w:rPr>
            </w:pPr>
            <w:proofErr w:type="spellStart"/>
            <w:r w:rsidRPr="00D45540">
              <w:rPr>
                <w:rFonts w:hAnsi="Times New Roman" w:cs="Times New Roman"/>
                <w:lang w:val="lt-LT"/>
              </w:rPr>
              <w:t>Combating</w:t>
            </w:r>
            <w:proofErr w:type="spellEnd"/>
            <w:r w:rsidRPr="00D45540">
              <w:rPr>
                <w:rFonts w:hAnsi="Times New Roman" w:cs="Times New Roman"/>
                <w:lang w:val="lt-LT"/>
              </w:rPr>
              <w:t xml:space="preserve"> </w:t>
            </w:r>
            <w:proofErr w:type="spellStart"/>
            <w:r w:rsidRPr="00D45540">
              <w:rPr>
                <w:rFonts w:hAnsi="Times New Roman" w:cs="Times New Roman"/>
                <w:lang w:val="lt-LT"/>
              </w:rPr>
              <w:t>illegal</w:t>
            </w:r>
            <w:proofErr w:type="spellEnd"/>
            <w:r w:rsidRPr="00D45540">
              <w:rPr>
                <w:rFonts w:hAnsi="Times New Roman" w:cs="Times New Roman"/>
                <w:lang w:val="lt-LT"/>
              </w:rPr>
              <w:t xml:space="preserve"> </w:t>
            </w:r>
            <w:proofErr w:type="spellStart"/>
            <w:r w:rsidRPr="00D45540">
              <w:rPr>
                <w:rFonts w:hAnsi="Times New Roman" w:cs="Times New Roman"/>
                <w:lang w:val="lt-LT"/>
              </w:rPr>
              <w:t>content</w:t>
            </w:r>
            <w:proofErr w:type="spellEnd"/>
            <w:r w:rsidRPr="00D45540">
              <w:rPr>
                <w:rFonts w:hAnsi="Times New Roman" w:cs="Times New Roman"/>
                <w:lang w:val="lt-LT"/>
              </w:rPr>
              <w:t xml:space="preserve"> </w:t>
            </w:r>
            <w:proofErr w:type="spellStart"/>
            <w:r w:rsidRPr="00D45540">
              <w:rPr>
                <w:rFonts w:hAnsi="Times New Roman" w:cs="Times New Roman"/>
                <w:lang w:val="lt-LT"/>
              </w:rPr>
              <w:t>online</w:t>
            </w:r>
            <w:proofErr w:type="spellEnd"/>
            <w:r w:rsidRPr="00D45540">
              <w:rPr>
                <w:rFonts w:hAnsi="Times New Roman" w:cs="Times New Roman"/>
                <w:lang w:val="lt-LT"/>
              </w:rPr>
              <w:t xml:space="preserve"> </w:t>
            </w:r>
            <w:proofErr w:type="spellStart"/>
            <w:r w:rsidRPr="00D45540">
              <w:rPr>
                <w:rFonts w:hAnsi="Times New Roman" w:cs="Times New Roman"/>
                <w:lang w:val="lt-LT"/>
              </w:rPr>
              <w:t>in</w:t>
            </w:r>
            <w:proofErr w:type="spellEnd"/>
            <w:r w:rsidRPr="00D45540">
              <w:rPr>
                <w:rFonts w:hAnsi="Times New Roman" w:cs="Times New Roman"/>
                <w:lang w:val="lt-LT"/>
              </w:rPr>
              <w:t xml:space="preserve"> </w:t>
            </w:r>
            <w:proofErr w:type="spellStart"/>
            <w:r w:rsidRPr="00D45540">
              <w:rPr>
                <w:rFonts w:hAnsi="Times New Roman" w:cs="Times New Roman"/>
                <w:lang w:val="lt-LT"/>
              </w:rPr>
              <w:t>the</w:t>
            </w:r>
            <w:proofErr w:type="spellEnd"/>
            <w:r w:rsidRPr="00D45540">
              <w:rPr>
                <w:rFonts w:hAnsi="Times New Roman" w:cs="Times New Roman"/>
                <w:lang w:val="lt-LT"/>
              </w:rPr>
              <w:t xml:space="preserve"> </w:t>
            </w:r>
            <w:proofErr w:type="spellStart"/>
            <w:r w:rsidRPr="00D45540">
              <w:rPr>
                <w:rFonts w:hAnsi="Times New Roman" w:cs="Times New Roman"/>
                <w:lang w:val="lt-LT"/>
              </w:rPr>
              <w:t>context</w:t>
            </w:r>
            <w:proofErr w:type="spellEnd"/>
            <w:r w:rsidRPr="00D45540">
              <w:rPr>
                <w:rFonts w:hAnsi="Times New Roman" w:cs="Times New Roman"/>
                <w:lang w:val="lt-LT"/>
              </w:rPr>
              <w:t xml:space="preserve"> </w:t>
            </w:r>
            <w:proofErr w:type="spellStart"/>
            <w:r w:rsidRPr="00D45540">
              <w:rPr>
                <w:rFonts w:hAnsi="Times New Roman" w:cs="Times New Roman"/>
                <w:lang w:val="lt-LT"/>
              </w:rPr>
              <w:t>of</w:t>
            </w:r>
            <w:proofErr w:type="spellEnd"/>
            <w:r w:rsidRPr="00D45540">
              <w:rPr>
                <w:rFonts w:hAnsi="Times New Roman" w:cs="Times New Roman"/>
                <w:lang w:val="lt-LT"/>
              </w:rPr>
              <w:t xml:space="preserve"> </w:t>
            </w:r>
            <w:proofErr w:type="spellStart"/>
            <w:r w:rsidRPr="00D45540">
              <w:rPr>
                <w:rFonts w:hAnsi="Times New Roman" w:cs="Times New Roman"/>
                <w:lang w:val="lt-LT"/>
              </w:rPr>
              <w:t>the</w:t>
            </w:r>
            <w:proofErr w:type="spellEnd"/>
            <w:r w:rsidRPr="00D45540">
              <w:rPr>
                <w:rFonts w:hAnsi="Times New Roman" w:cs="Times New Roman"/>
                <w:lang w:val="lt-LT"/>
              </w:rPr>
              <w:t xml:space="preserve"> Digital</w:t>
            </w:r>
            <w:r>
              <w:rPr>
                <w:rFonts w:hAnsi="Times New Roman" w:cs="Times New Roman"/>
                <w:lang w:val="lt-LT"/>
              </w:rPr>
              <w:t xml:space="preserve"> </w:t>
            </w:r>
            <w:proofErr w:type="spellStart"/>
            <w:r w:rsidRPr="00D45540">
              <w:rPr>
                <w:rFonts w:hAnsi="Times New Roman" w:cs="Times New Roman"/>
                <w:lang w:val="lt-LT"/>
              </w:rPr>
              <w:t>Services</w:t>
            </w:r>
            <w:proofErr w:type="spellEnd"/>
            <w:r w:rsidRPr="00D45540">
              <w:rPr>
                <w:rFonts w:hAnsi="Times New Roman" w:cs="Times New Roman"/>
                <w:lang w:val="lt-LT"/>
              </w:rPr>
              <w:t xml:space="preserve"> </w:t>
            </w:r>
            <w:proofErr w:type="spellStart"/>
            <w:r w:rsidRPr="00D45540">
              <w:rPr>
                <w:rFonts w:hAnsi="Times New Roman" w:cs="Times New Roman"/>
                <w:lang w:val="lt-LT"/>
              </w:rPr>
              <w:t>Act</w:t>
            </w:r>
            <w:proofErr w:type="spellEnd"/>
            <w:r w:rsidRPr="00D45540">
              <w:rPr>
                <w:rFonts w:hAnsi="Times New Roman" w:cs="Times New Roman"/>
                <w:lang w:val="lt-LT"/>
              </w:rPr>
              <w:t xml:space="preserve"> </w:t>
            </w:r>
            <w:proofErr w:type="spellStart"/>
            <w:r w:rsidRPr="00D45540">
              <w:rPr>
                <w:rFonts w:hAnsi="Times New Roman" w:cs="Times New Roman"/>
                <w:lang w:val="lt-LT"/>
              </w:rPr>
              <w:t>proposal</w:t>
            </w:r>
            <w:proofErr w:type="spellEnd"/>
          </w:p>
          <w:p w14:paraId="06FDF282" w14:textId="77777777" w:rsidR="00A779E6" w:rsidRDefault="00A779E6" w:rsidP="00A779E6">
            <w:pPr>
              <w:pStyle w:val="BodyA"/>
              <w:ind w:left="370"/>
              <w:jc w:val="both"/>
              <w:rPr>
                <w:rFonts w:hAnsi="Times New Roman" w:cs="Times New Roman"/>
                <w:lang w:val="lt-LT"/>
              </w:rPr>
            </w:pPr>
            <w:r>
              <w:rPr>
                <w:rFonts w:hAnsi="Times New Roman" w:cs="Times New Roman"/>
                <w:i/>
                <w:iCs/>
                <w:lang w:val="lt-LT"/>
              </w:rPr>
              <w:t>(Pirmininkaujančios valstybės informacija</w:t>
            </w:r>
            <w:r>
              <w:rPr>
                <w:rFonts w:hAnsi="Times New Roman" w:cs="Times New Roman"/>
                <w:lang w:val="lt-LT"/>
              </w:rPr>
              <w:t>)</w:t>
            </w:r>
          </w:p>
          <w:p w14:paraId="2C6E2452" w14:textId="77777777" w:rsidR="00EE0406" w:rsidRDefault="00EE0406" w:rsidP="00A779E6">
            <w:pPr>
              <w:pStyle w:val="BodyA"/>
              <w:ind w:left="370"/>
              <w:rPr>
                <w:b/>
                <w:bCs/>
                <w:lang w:val="lt-LT"/>
              </w:rPr>
            </w:pPr>
          </w:p>
          <w:p w14:paraId="57E818AC" w14:textId="09E4E47E" w:rsidR="0010244F" w:rsidRDefault="00A779E6" w:rsidP="00922C32">
            <w:pPr>
              <w:pStyle w:val="BodyA"/>
              <w:ind w:left="370"/>
              <w:rPr>
                <w:lang w:val="lt-LT"/>
              </w:rPr>
            </w:pPr>
            <w:r w:rsidRPr="003F4A7B">
              <w:rPr>
                <w:b/>
                <w:bCs/>
                <w:lang w:val="lt-LT"/>
              </w:rPr>
              <w:t>Lietuvos pozicija</w:t>
            </w:r>
            <w:r w:rsidRPr="0096640A">
              <w:rPr>
                <w:rFonts w:hAnsi="Times New Roman" w:cs="Times New Roman"/>
                <w:lang w:val="lt-LT"/>
              </w:rPr>
              <w:t>: išklausyti informaciją</w:t>
            </w:r>
            <w:r w:rsidRPr="003F4A7B">
              <w:rPr>
                <w:lang w:val="lt-LT"/>
              </w:rPr>
              <w:t xml:space="preserve">. </w:t>
            </w:r>
          </w:p>
          <w:p w14:paraId="2D1E5ADD" w14:textId="756B6BC9" w:rsidR="00F12B57" w:rsidRPr="00F12B57" w:rsidRDefault="00F12B57" w:rsidP="00922C32">
            <w:pPr>
              <w:pStyle w:val="BodyA"/>
              <w:ind w:left="370"/>
              <w:rPr>
                <w:b/>
                <w:bCs/>
                <w:lang w:val="lt-LT"/>
              </w:rPr>
            </w:pPr>
          </w:p>
          <w:p w14:paraId="7E076E0D" w14:textId="478C154A" w:rsidR="00F12B57" w:rsidRDefault="00F12B57" w:rsidP="00F12B57">
            <w:pPr>
              <w:pStyle w:val="BodyA"/>
              <w:numPr>
                <w:ilvl w:val="0"/>
                <w:numId w:val="37"/>
              </w:numPr>
              <w:jc w:val="both"/>
              <w:rPr>
                <w:rFonts w:hAnsi="Times New Roman" w:cs="Times New Roman"/>
                <w:lang w:val="lt-LT"/>
              </w:rPr>
            </w:pPr>
            <w:r w:rsidRPr="00F12B57">
              <w:rPr>
                <w:rFonts w:hAnsi="Times New Roman" w:cs="Times New Roman"/>
                <w:b/>
                <w:bCs/>
                <w:lang w:val="lt-LT"/>
              </w:rPr>
              <w:t>Informacija</w:t>
            </w:r>
            <w:r w:rsidRPr="003F4A7B">
              <w:rPr>
                <w:rFonts w:hAnsi="Times New Roman" w:cs="Times New Roman"/>
                <w:b/>
                <w:bCs/>
                <w:lang w:val="lt-LT"/>
              </w:rPr>
              <w:t xml:space="preserve"> apie „</w:t>
            </w:r>
            <w:r w:rsidRPr="00A779E6">
              <w:rPr>
                <w:b/>
                <w:bCs/>
                <w:lang w:val="lt-LT"/>
              </w:rPr>
              <w:t>T</w:t>
            </w:r>
            <w:r w:rsidRPr="003F4A7B">
              <w:rPr>
                <w:rFonts w:hAnsi="Times New Roman" w:cs="Times New Roman"/>
                <w:b/>
                <w:bCs/>
                <w:lang w:val="lt-LT"/>
              </w:rPr>
              <w:t>eisinės valstybės principo taikymo ataskaitos“ paruošiamuosius darbus</w:t>
            </w:r>
            <w:r>
              <w:rPr>
                <w:rFonts w:hAnsi="Times New Roman" w:cs="Times New Roman"/>
                <w:lang w:val="lt-LT"/>
              </w:rPr>
              <w:t xml:space="preserve"> </w:t>
            </w:r>
            <w:r w:rsidRPr="0001201C">
              <w:rPr>
                <w:rFonts w:hAnsi="Times New Roman" w:cs="Times New Roman"/>
                <w:lang w:val="lt-LT"/>
              </w:rPr>
              <w:t xml:space="preserve"> </w:t>
            </w:r>
          </w:p>
          <w:p w14:paraId="7E15D451" w14:textId="77777777" w:rsidR="00F12B57" w:rsidRPr="0001201C" w:rsidRDefault="00F12B57" w:rsidP="00F12B57">
            <w:pPr>
              <w:pStyle w:val="BodyA"/>
              <w:ind w:left="640" w:hanging="280"/>
              <w:jc w:val="both"/>
              <w:rPr>
                <w:rFonts w:hAnsi="Times New Roman" w:cs="Times New Roman"/>
                <w:lang w:val="lt-LT"/>
              </w:rPr>
            </w:pPr>
            <w:proofErr w:type="spellStart"/>
            <w:r w:rsidRPr="0001201C">
              <w:rPr>
                <w:rFonts w:hAnsi="Times New Roman" w:cs="Times New Roman"/>
                <w:lang w:val="lt-LT"/>
              </w:rPr>
              <w:t>Update</w:t>
            </w:r>
            <w:proofErr w:type="spellEnd"/>
            <w:r w:rsidRPr="0001201C">
              <w:rPr>
                <w:rFonts w:hAnsi="Times New Roman" w:cs="Times New Roman"/>
                <w:lang w:val="lt-LT"/>
              </w:rPr>
              <w:t xml:space="preserve"> </w:t>
            </w:r>
            <w:proofErr w:type="spellStart"/>
            <w:r w:rsidRPr="0001201C">
              <w:rPr>
                <w:rFonts w:hAnsi="Times New Roman" w:cs="Times New Roman"/>
                <w:lang w:val="lt-LT"/>
              </w:rPr>
              <w:t>on</w:t>
            </w:r>
            <w:proofErr w:type="spellEnd"/>
            <w:r w:rsidRPr="0001201C">
              <w:rPr>
                <w:rFonts w:hAnsi="Times New Roman" w:cs="Times New Roman"/>
                <w:lang w:val="lt-LT"/>
              </w:rPr>
              <w:t xml:space="preserve"> </w:t>
            </w:r>
            <w:proofErr w:type="spellStart"/>
            <w:r w:rsidRPr="0001201C">
              <w:rPr>
                <w:rFonts w:hAnsi="Times New Roman" w:cs="Times New Roman"/>
                <w:lang w:val="lt-LT"/>
              </w:rPr>
              <w:t>ongoing</w:t>
            </w:r>
            <w:proofErr w:type="spellEnd"/>
            <w:r w:rsidRPr="0001201C">
              <w:rPr>
                <w:rFonts w:hAnsi="Times New Roman" w:cs="Times New Roman"/>
                <w:lang w:val="lt-LT"/>
              </w:rPr>
              <w:t xml:space="preserve"> </w:t>
            </w:r>
            <w:proofErr w:type="spellStart"/>
            <w:r w:rsidRPr="0001201C">
              <w:rPr>
                <w:rFonts w:hAnsi="Times New Roman" w:cs="Times New Roman"/>
                <w:lang w:val="lt-LT"/>
              </w:rPr>
              <w:t>preparatory</w:t>
            </w:r>
            <w:proofErr w:type="spellEnd"/>
            <w:r w:rsidRPr="0001201C">
              <w:rPr>
                <w:rFonts w:hAnsi="Times New Roman" w:cs="Times New Roman"/>
                <w:lang w:val="lt-LT"/>
              </w:rPr>
              <w:t xml:space="preserve"> </w:t>
            </w:r>
            <w:proofErr w:type="spellStart"/>
            <w:r w:rsidRPr="0001201C">
              <w:rPr>
                <w:rFonts w:hAnsi="Times New Roman" w:cs="Times New Roman"/>
                <w:lang w:val="lt-LT"/>
              </w:rPr>
              <w:t>work</w:t>
            </w:r>
            <w:proofErr w:type="spellEnd"/>
            <w:r w:rsidRPr="0001201C">
              <w:rPr>
                <w:rFonts w:hAnsi="Times New Roman" w:cs="Times New Roman"/>
                <w:lang w:val="lt-LT"/>
              </w:rPr>
              <w:t xml:space="preserve"> </w:t>
            </w:r>
            <w:proofErr w:type="spellStart"/>
            <w:r w:rsidRPr="0001201C">
              <w:rPr>
                <w:rFonts w:hAnsi="Times New Roman" w:cs="Times New Roman"/>
                <w:lang w:val="lt-LT"/>
              </w:rPr>
              <w:t>on</w:t>
            </w:r>
            <w:proofErr w:type="spellEnd"/>
            <w:r w:rsidRPr="0001201C">
              <w:rPr>
                <w:rFonts w:hAnsi="Times New Roman" w:cs="Times New Roman"/>
                <w:lang w:val="lt-LT"/>
              </w:rPr>
              <w:t xml:space="preserve"> </w:t>
            </w:r>
            <w:proofErr w:type="spellStart"/>
            <w:r w:rsidRPr="0001201C">
              <w:rPr>
                <w:rFonts w:hAnsi="Times New Roman" w:cs="Times New Roman"/>
                <w:lang w:val="lt-LT"/>
              </w:rPr>
              <w:t>the</w:t>
            </w:r>
            <w:proofErr w:type="spellEnd"/>
            <w:r w:rsidRPr="0001201C">
              <w:rPr>
                <w:rFonts w:hAnsi="Times New Roman" w:cs="Times New Roman"/>
                <w:lang w:val="lt-LT"/>
              </w:rPr>
              <w:t xml:space="preserve"> </w:t>
            </w:r>
            <w:proofErr w:type="spellStart"/>
            <w:r w:rsidRPr="0001201C">
              <w:rPr>
                <w:rFonts w:hAnsi="Times New Roman" w:cs="Times New Roman"/>
                <w:lang w:val="lt-LT"/>
              </w:rPr>
              <w:t>Rule</w:t>
            </w:r>
            <w:proofErr w:type="spellEnd"/>
            <w:r w:rsidRPr="0001201C">
              <w:rPr>
                <w:rFonts w:hAnsi="Times New Roman" w:cs="Times New Roman"/>
                <w:lang w:val="lt-LT"/>
              </w:rPr>
              <w:t xml:space="preserve"> </w:t>
            </w:r>
            <w:proofErr w:type="spellStart"/>
            <w:r w:rsidRPr="0001201C">
              <w:rPr>
                <w:rFonts w:hAnsi="Times New Roman" w:cs="Times New Roman"/>
                <w:lang w:val="lt-LT"/>
              </w:rPr>
              <w:t>of</w:t>
            </w:r>
            <w:proofErr w:type="spellEnd"/>
            <w:r w:rsidRPr="0001201C">
              <w:rPr>
                <w:rFonts w:hAnsi="Times New Roman" w:cs="Times New Roman"/>
                <w:lang w:val="lt-LT"/>
              </w:rPr>
              <w:t xml:space="preserve"> </w:t>
            </w:r>
            <w:proofErr w:type="spellStart"/>
            <w:r w:rsidRPr="0001201C">
              <w:rPr>
                <w:rFonts w:hAnsi="Times New Roman" w:cs="Times New Roman"/>
                <w:lang w:val="lt-LT"/>
              </w:rPr>
              <w:t>Law</w:t>
            </w:r>
            <w:proofErr w:type="spellEnd"/>
            <w:r w:rsidRPr="0001201C">
              <w:rPr>
                <w:rFonts w:hAnsi="Times New Roman" w:cs="Times New Roman"/>
                <w:lang w:val="lt-LT"/>
              </w:rPr>
              <w:t xml:space="preserve"> </w:t>
            </w:r>
            <w:proofErr w:type="spellStart"/>
            <w:r w:rsidRPr="0001201C">
              <w:rPr>
                <w:rFonts w:hAnsi="Times New Roman" w:cs="Times New Roman"/>
                <w:lang w:val="lt-LT"/>
              </w:rPr>
              <w:t>Report</w:t>
            </w:r>
            <w:proofErr w:type="spellEnd"/>
          </w:p>
          <w:p w14:paraId="267F2156" w14:textId="6B128968" w:rsidR="00F12B57" w:rsidRDefault="00F12B57" w:rsidP="00F12B57">
            <w:pPr>
              <w:pStyle w:val="BodyA"/>
              <w:ind w:left="370"/>
              <w:jc w:val="both"/>
              <w:rPr>
                <w:rFonts w:hAnsi="Times New Roman" w:cs="Times New Roman"/>
                <w:i/>
                <w:iCs/>
                <w:lang w:val="lt-LT"/>
              </w:rPr>
            </w:pPr>
            <w:r>
              <w:rPr>
                <w:rFonts w:hAnsi="Times New Roman" w:cs="Times New Roman"/>
                <w:i/>
                <w:iCs/>
                <w:lang w:val="lt-LT"/>
              </w:rPr>
              <w:t>(</w:t>
            </w:r>
            <w:r w:rsidRPr="00EB174B">
              <w:rPr>
                <w:rFonts w:hAnsi="Times New Roman" w:cs="Times New Roman"/>
                <w:i/>
                <w:iCs/>
                <w:lang w:val="lt-LT"/>
              </w:rPr>
              <w:t>Europos komisijos informacija</w:t>
            </w:r>
            <w:r>
              <w:rPr>
                <w:rFonts w:hAnsi="Times New Roman" w:cs="Times New Roman"/>
                <w:i/>
                <w:iCs/>
                <w:lang w:val="lt-LT"/>
              </w:rPr>
              <w:t>)</w:t>
            </w:r>
          </w:p>
          <w:p w14:paraId="4D8479AF" w14:textId="77777777" w:rsidR="00510275" w:rsidRDefault="00510275" w:rsidP="00F12B57">
            <w:pPr>
              <w:pStyle w:val="BodyA"/>
              <w:ind w:left="370"/>
              <w:jc w:val="both"/>
              <w:rPr>
                <w:rFonts w:hAnsi="Times New Roman" w:cs="Times New Roman"/>
                <w:b/>
                <w:bCs/>
                <w:lang w:val="lt-LT"/>
              </w:rPr>
            </w:pPr>
          </w:p>
          <w:p w14:paraId="412E3C6A" w14:textId="6E3D0C15" w:rsidR="00510275" w:rsidRDefault="00510275" w:rsidP="00F12B57">
            <w:pPr>
              <w:pStyle w:val="BodyA"/>
              <w:ind w:left="370"/>
              <w:jc w:val="both"/>
              <w:rPr>
                <w:rFonts w:hAnsi="Times New Roman" w:cs="Times New Roman"/>
                <w:lang w:val="lt-LT"/>
              </w:rPr>
            </w:pPr>
            <w:r w:rsidRPr="003F4A7B">
              <w:rPr>
                <w:rFonts w:hAnsi="Times New Roman" w:cs="Times New Roman"/>
                <w:b/>
                <w:bCs/>
                <w:lang w:val="lt-LT"/>
              </w:rPr>
              <w:t>Lietuvos pozicija:</w:t>
            </w:r>
            <w:r w:rsidRPr="003F4A7B">
              <w:rPr>
                <w:rFonts w:hAnsi="Times New Roman" w:cs="Times New Roman"/>
                <w:lang w:val="lt-LT"/>
              </w:rPr>
              <w:t xml:space="preserve"> išklausyti informaciją.</w:t>
            </w:r>
          </w:p>
          <w:p w14:paraId="370575D8" w14:textId="06A32964" w:rsidR="00510275" w:rsidRPr="00510275" w:rsidRDefault="00510275" w:rsidP="00F12B57">
            <w:pPr>
              <w:pStyle w:val="BodyA"/>
              <w:ind w:left="370"/>
              <w:jc w:val="both"/>
              <w:rPr>
                <w:rFonts w:hAnsi="Times New Roman" w:cs="Times New Roman"/>
                <w:lang w:val="lt-LT"/>
              </w:rPr>
            </w:pPr>
            <w:r>
              <w:rPr>
                <w:rFonts w:hAnsi="Times New Roman" w:cs="Times New Roman"/>
                <w:b/>
                <w:bCs/>
                <w:lang w:val="lt-LT"/>
              </w:rPr>
              <w:t>(Žiniai –</w:t>
            </w:r>
            <w:r>
              <w:rPr>
                <w:rFonts w:hAnsi="Times New Roman" w:cs="Times New Roman"/>
                <w:lang w:val="lt-LT"/>
              </w:rPr>
              <w:t xml:space="preserve"> Lietuva jau pateikė atnaujintą informaciją apie pasikeitimus nuo 2020 metų pradžios pagal Europos Komisijos klausimyną. </w:t>
            </w:r>
            <w:r w:rsidR="0096640A">
              <w:rPr>
                <w:rFonts w:hAnsi="Times New Roman" w:cs="Times New Roman"/>
                <w:lang w:val="lt-LT"/>
              </w:rPr>
              <w:t>P</w:t>
            </w:r>
            <w:r>
              <w:rPr>
                <w:rFonts w:hAnsi="Times New Roman" w:cs="Times New Roman"/>
                <w:lang w:val="lt-LT"/>
              </w:rPr>
              <w:t>reliminariai</w:t>
            </w:r>
            <w:r w:rsidR="0096640A">
              <w:rPr>
                <w:rFonts w:hAnsi="Times New Roman" w:cs="Times New Roman"/>
                <w:lang w:val="lt-LT"/>
              </w:rPr>
              <w:t xml:space="preserve"> </w:t>
            </w:r>
            <w:r w:rsidR="001F5A79">
              <w:rPr>
                <w:rFonts w:hAnsi="Times New Roman" w:cs="Times New Roman"/>
                <w:lang w:val="lt-LT"/>
              </w:rPr>
              <w:t>planuojama, kad virtualūs Lietuvos institucijų (TM, KM, STT ir kt.) atstovų susitikimai su Europos Komisijos atstovais vyks balandžio 29-30 d.)</w:t>
            </w:r>
          </w:p>
          <w:p w14:paraId="6A40D529" w14:textId="77777777" w:rsidR="00F12B57" w:rsidRPr="0001201C" w:rsidRDefault="00F12B57" w:rsidP="00F12B57">
            <w:pPr>
              <w:pStyle w:val="BodyA"/>
              <w:jc w:val="both"/>
              <w:rPr>
                <w:rFonts w:hAnsi="Times New Roman" w:cs="Times New Roman"/>
                <w:lang w:val="lt-LT"/>
              </w:rPr>
            </w:pPr>
          </w:p>
          <w:p w14:paraId="543E7802" w14:textId="39826809" w:rsidR="00F12B57" w:rsidRPr="004B65A0" w:rsidRDefault="00F12B57" w:rsidP="00F12B57">
            <w:pPr>
              <w:pStyle w:val="BodyA"/>
              <w:numPr>
                <w:ilvl w:val="0"/>
                <w:numId w:val="37"/>
              </w:numPr>
              <w:jc w:val="both"/>
              <w:rPr>
                <w:rFonts w:hAnsi="Times New Roman" w:cs="Times New Roman"/>
                <w:b/>
                <w:bCs/>
                <w:lang w:val="lt-LT"/>
              </w:rPr>
            </w:pPr>
            <w:r w:rsidRPr="004B65A0">
              <w:rPr>
                <w:rFonts w:hAnsi="Times New Roman" w:cs="Times New Roman"/>
                <w:b/>
                <w:bCs/>
                <w:lang w:val="lt-LT"/>
              </w:rPr>
              <w:t>Veiksmai prieš teisėjus ir prokurorus – naujausi pokyčiai</w:t>
            </w:r>
          </w:p>
          <w:p w14:paraId="4D387171" w14:textId="77777777" w:rsidR="000D0945" w:rsidRDefault="00F12B57" w:rsidP="009866D9">
            <w:pPr>
              <w:pStyle w:val="BodyA"/>
              <w:ind w:left="100"/>
              <w:jc w:val="both"/>
              <w:rPr>
                <w:rFonts w:hAnsi="Times New Roman" w:cs="Times New Roman"/>
                <w:lang w:val="lt-LT"/>
              </w:rPr>
            </w:pPr>
            <w:r>
              <w:rPr>
                <w:rFonts w:hAnsi="Times New Roman" w:cs="Times New Roman"/>
                <w:i/>
                <w:iCs/>
                <w:lang w:val="lt-LT"/>
              </w:rPr>
              <w:t>(</w:t>
            </w:r>
            <w:r w:rsidRPr="00EB174B">
              <w:rPr>
                <w:rFonts w:hAnsi="Times New Roman" w:cs="Times New Roman"/>
                <w:i/>
                <w:iCs/>
                <w:lang w:val="lt-LT"/>
              </w:rPr>
              <w:t>Lietuvos informacija</w:t>
            </w:r>
            <w:r>
              <w:rPr>
                <w:rFonts w:hAnsi="Times New Roman" w:cs="Times New Roman"/>
                <w:lang w:val="lt-LT"/>
              </w:rPr>
              <w:t xml:space="preserve"> )</w:t>
            </w:r>
          </w:p>
          <w:p w14:paraId="7B8ED710" w14:textId="44AF2492" w:rsidR="00F12B57" w:rsidRDefault="00CF25F5" w:rsidP="009866D9">
            <w:pPr>
              <w:pStyle w:val="BodyA"/>
              <w:ind w:left="100"/>
              <w:jc w:val="both"/>
              <w:rPr>
                <w:rFonts w:hAnsi="Times New Roman" w:cs="Times New Roman"/>
                <w:lang w:val="lt-LT"/>
              </w:rPr>
            </w:pPr>
            <w:r>
              <w:rPr>
                <w:rFonts w:hAnsi="Times New Roman" w:cs="Times New Roman"/>
                <w:lang w:val="lt-LT"/>
              </w:rPr>
              <w:t xml:space="preserve">Bus pristatyta situacija dėl Rusijos Federacijos institucijų </w:t>
            </w:r>
            <w:r w:rsidR="001F5A79">
              <w:rPr>
                <w:rFonts w:hAnsi="Times New Roman" w:cs="Times New Roman"/>
                <w:lang w:val="lt-LT"/>
              </w:rPr>
              <w:t xml:space="preserve">veiksmų </w:t>
            </w:r>
            <w:r>
              <w:rPr>
                <w:rFonts w:hAnsi="Times New Roman" w:cs="Times New Roman"/>
                <w:lang w:val="lt-LT"/>
              </w:rPr>
              <w:t>persekio</w:t>
            </w:r>
            <w:r w:rsidR="001F5A79">
              <w:rPr>
                <w:rFonts w:hAnsi="Times New Roman" w:cs="Times New Roman"/>
                <w:lang w:val="lt-LT"/>
              </w:rPr>
              <w:t>jant</w:t>
            </w:r>
            <w:r>
              <w:rPr>
                <w:rFonts w:hAnsi="Times New Roman" w:cs="Times New Roman"/>
                <w:lang w:val="lt-LT"/>
              </w:rPr>
              <w:t xml:space="preserve"> „Sausio 13 d. bylos“ teisėjus ir prokurorus. </w:t>
            </w:r>
            <w:r w:rsidR="001F5A79">
              <w:rPr>
                <w:rFonts w:hAnsi="Times New Roman" w:cs="Times New Roman"/>
                <w:lang w:val="lt-LT"/>
              </w:rPr>
              <w:t>A</w:t>
            </w:r>
            <w:r>
              <w:rPr>
                <w:rFonts w:hAnsi="Times New Roman" w:cs="Times New Roman"/>
                <w:lang w:val="lt-LT"/>
              </w:rPr>
              <w:t>tkreipt</w:t>
            </w:r>
            <w:r w:rsidR="001F5A79">
              <w:rPr>
                <w:rFonts w:hAnsi="Times New Roman" w:cs="Times New Roman"/>
                <w:lang w:val="lt-LT"/>
              </w:rPr>
              <w:t>as</w:t>
            </w:r>
            <w:r>
              <w:rPr>
                <w:rFonts w:hAnsi="Times New Roman" w:cs="Times New Roman"/>
                <w:lang w:val="lt-LT"/>
              </w:rPr>
              <w:t xml:space="preserve"> dėmes</w:t>
            </w:r>
            <w:r w:rsidR="001F5A79">
              <w:rPr>
                <w:rFonts w:hAnsi="Times New Roman" w:cs="Times New Roman"/>
                <w:lang w:val="lt-LT"/>
              </w:rPr>
              <w:t>ys</w:t>
            </w:r>
            <w:r>
              <w:rPr>
                <w:rFonts w:hAnsi="Times New Roman" w:cs="Times New Roman"/>
                <w:lang w:val="lt-LT"/>
              </w:rPr>
              <w:t xml:space="preserve">, kad turi būti sukurti mechanizmai siekiant apsaugoti ES piliečius nuo trečiųjų šalių neteisėtos įtakos. </w:t>
            </w:r>
            <w:r w:rsidR="000D0945">
              <w:rPr>
                <w:rFonts w:hAnsi="Times New Roman" w:cs="Times New Roman"/>
                <w:lang w:val="lt-LT"/>
              </w:rPr>
              <w:t xml:space="preserve">Siekiame atkreipti dėmesį į </w:t>
            </w:r>
            <w:proofErr w:type="spellStart"/>
            <w:r w:rsidR="000D0945" w:rsidRPr="000D0945">
              <w:rPr>
                <w:rFonts w:hAnsi="Times New Roman" w:cs="Times New Roman"/>
                <w:lang w:val="lt-LT"/>
              </w:rPr>
              <w:t>Interpol</w:t>
            </w:r>
            <w:proofErr w:type="spellEnd"/>
            <w:r w:rsidR="000D0945" w:rsidRPr="000D0945">
              <w:rPr>
                <w:rFonts w:hAnsi="Times New Roman" w:cs="Times New Roman"/>
                <w:lang w:val="lt-LT"/>
              </w:rPr>
              <w:t xml:space="preserve"> duomenų bazėje skelbiam</w:t>
            </w:r>
            <w:r w:rsidR="000D0945">
              <w:rPr>
                <w:rFonts w:hAnsi="Times New Roman" w:cs="Times New Roman"/>
                <w:lang w:val="lt-LT"/>
              </w:rPr>
              <w:t>us</w:t>
            </w:r>
            <w:r w:rsidR="000D0945" w:rsidRPr="000D0945">
              <w:rPr>
                <w:rFonts w:hAnsi="Times New Roman" w:cs="Times New Roman"/>
                <w:lang w:val="lt-LT"/>
              </w:rPr>
              <w:t xml:space="preserve"> pranešim</w:t>
            </w:r>
            <w:r w:rsidR="000D0945">
              <w:rPr>
                <w:rFonts w:hAnsi="Times New Roman" w:cs="Times New Roman"/>
                <w:lang w:val="lt-LT"/>
              </w:rPr>
              <w:t>us</w:t>
            </w:r>
            <w:r w:rsidR="000D0945" w:rsidRPr="000D0945">
              <w:rPr>
                <w:rFonts w:hAnsi="Times New Roman" w:cs="Times New Roman"/>
                <w:lang w:val="lt-LT"/>
              </w:rPr>
              <w:t xml:space="preserve"> (</w:t>
            </w:r>
            <w:proofErr w:type="spellStart"/>
            <w:r w:rsidR="000D0945" w:rsidRPr="000D0945">
              <w:rPr>
                <w:rFonts w:hAnsi="Times New Roman" w:cs="Times New Roman"/>
                <w:i/>
                <w:iCs/>
                <w:lang w:val="lt-LT"/>
              </w:rPr>
              <w:t>red</w:t>
            </w:r>
            <w:proofErr w:type="spellEnd"/>
            <w:r w:rsidR="000D0945" w:rsidRPr="000D0945">
              <w:rPr>
                <w:rFonts w:hAnsi="Times New Roman" w:cs="Times New Roman"/>
                <w:i/>
                <w:iCs/>
                <w:lang w:val="lt-LT"/>
              </w:rPr>
              <w:t xml:space="preserve"> </w:t>
            </w:r>
            <w:proofErr w:type="spellStart"/>
            <w:r w:rsidR="000D0945" w:rsidRPr="000D0945">
              <w:rPr>
                <w:rFonts w:hAnsi="Times New Roman" w:cs="Times New Roman"/>
                <w:i/>
                <w:iCs/>
                <w:lang w:val="lt-LT"/>
              </w:rPr>
              <w:t>notice</w:t>
            </w:r>
            <w:proofErr w:type="spellEnd"/>
            <w:r w:rsidR="000D0945" w:rsidRPr="000D0945">
              <w:rPr>
                <w:rFonts w:hAnsi="Times New Roman" w:cs="Times New Roman"/>
                <w:lang w:val="lt-LT"/>
              </w:rPr>
              <w:t>) apie paieškomus asmenis</w:t>
            </w:r>
            <w:r w:rsidR="000D0945">
              <w:rPr>
                <w:rFonts w:hAnsi="Times New Roman" w:cs="Times New Roman"/>
                <w:lang w:val="lt-LT"/>
              </w:rPr>
              <w:t>, kurie</w:t>
            </w:r>
            <w:r w:rsidR="000D0945" w:rsidRPr="000D0945">
              <w:rPr>
                <w:rFonts w:hAnsi="Times New Roman" w:cs="Times New Roman"/>
                <w:lang w:val="lt-LT"/>
              </w:rPr>
              <w:t xml:space="preserve"> gali būti išnaudojami neteisėtam ir politiškai motyvuotam persekiojimui. Šie prašymai gali būti pagrindas vėlesniems ekstradicijos prašymams.</w:t>
            </w:r>
            <w:r w:rsidR="000D0945">
              <w:rPr>
                <w:rFonts w:hAnsi="Times New Roman" w:cs="Times New Roman"/>
                <w:lang w:val="lt-LT"/>
              </w:rPr>
              <w:t xml:space="preserve"> </w:t>
            </w:r>
            <w:r w:rsidR="000D0945" w:rsidRPr="000D0945">
              <w:rPr>
                <w:rFonts w:hAnsi="Times New Roman" w:cs="Times New Roman"/>
                <w:lang w:val="lt-LT"/>
              </w:rPr>
              <w:t xml:space="preserve">Šiuo atžvilgiu </w:t>
            </w:r>
            <w:r w:rsidR="001F5A79">
              <w:rPr>
                <w:rFonts w:hAnsi="Times New Roman" w:cs="Times New Roman"/>
                <w:lang w:val="lt-LT"/>
              </w:rPr>
              <w:t xml:space="preserve">siūlysime </w:t>
            </w:r>
            <w:r w:rsidR="000D0945" w:rsidRPr="000D0945">
              <w:rPr>
                <w:rFonts w:hAnsi="Times New Roman" w:cs="Times New Roman"/>
                <w:lang w:val="lt-LT"/>
              </w:rPr>
              <w:t>Komisija</w:t>
            </w:r>
            <w:r w:rsidR="001F5A79">
              <w:rPr>
                <w:rFonts w:hAnsi="Times New Roman" w:cs="Times New Roman"/>
                <w:lang w:val="lt-LT"/>
              </w:rPr>
              <w:t>i</w:t>
            </w:r>
            <w:r w:rsidR="000D0945" w:rsidRPr="000D0945">
              <w:rPr>
                <w:rFonts w:hAnsi="Times New Roman" w:cs="Times New Roman"/>
                <w:lang w:val="lt-LT"/>
              </w:rPr>
              <w:t xml:space="preserve"> atlikti Interpolo pranešimų (</w:t>
            </w:r>
            <w:proofErr w:type="spellStart"/>
            <w:r w:rsidR="000D0945" w:rsidRPr="000D0945">
              <w:rPr>
                <w:rFonts w:hAnsi="Times New Roman" w:cs="Times New Roman"/>
                <w:i/>
                <w:iCs/>
                <w:lang w:val="lt-LT"/>
              </w:rPr>
              <w:t>red</w:t>
            </w:r>
            <w:proofErr w:type="spellEnd"/>
            <w:r w:rsidR="000D0945" w:rsidRPr="000D0945">
              <w:rPr>
                <w:rFonts w:hAnsi="Times New Roman" w:cs="Times New Roman"/>
                <w:i/>
                <w:iCs/>
                <w:lang w:val="lt-LT"/>
              </w:rPr>
              <w:t xml:space="preserve"> </w:t>
            </w:r>
            <w:proofErr w:type="spellStart"/>
            <w:r w:rsidR="000D0945" w:rsidRPr="000D0945">
              <w:rPr>
                <w:rFonts w:hAnsi="Times New Roman" w:cs="Times New Roman"/>
                <w:i/>
                <w:iCs/>
                <w:lang w:val="lt-LT"/>
              </w:rPr>
              <w:t>notice</w:t>
            </w:r>
            <w:proofErr w:type="spellEnd"/>
            <w:r w:rsidR="000D0945" w:rsidRPr="000D0945">
              <w:rPr>
                <w:rFonts w:hAnsi="Times New Roman" w:cs="Times New Roman"/>
                <w:lang w:val="lt-LT"/>
              </w:rPr>
              <w:t>) teisinės padėties ES valstybėse narėse analizę</w:t>
            </w:r>
            <w:r w:rsidR="001F5A79">
              <w:rPr>
                <w:rFonts w:hAnsi="Times New Roman" w:cs="Times New Roman"/>
                <w:lang w:val="lt-LT"/>
              </w:rPr>
              <w:t>, kurios pagrindu vėliau galėtume tęsti diskusiją dėl ES piliečių apsaugos mechanizmo</w:t>
            </w:r>
            <w:r w:rsidR="000D0945">
              <w:rPr>
                <w:rFonts w:hAnsi="Times New Roman" w:cs="Times New Roman"/>
                <w:lang w:val="lt-LT"/>
              </w:rPr>
              <w:t>.</w:t>
            </w:r>
          </w:p>
          <w:p w14:paraId="5D406162" w14:textId="518142FD" w:rsidR="00F12B57" w:rsidRDefault="00F12B57" w:rsidP="00F12B57">
            <w:pPr>
              <w:pStyle w:val="BodyA"/>
              <w:ind w:left="370"/>
              <w:jc w:val="both"/>
              <w:rPr>
                <w:rFonts w:hAnsi="Times New Roman" w:cs="Times New Roman"/>
                <w:lang w:val="lt-LT"/>
              </w:rPr>
            </w:pPr>
          </w:p>
          <w:p w14:paraId="3D22D1E6" w14:textId="1EFACFD1" w:rsidR="00F12B57" w:rsidRPr="003F4A7B" w:rsidRDefault="00F12B57" w:rsidP="00F12B57">
            <w:pPr>
              <w:pStyle w:val="BodyA"/>
              <w:numPr>
                <w:ilvl w:val="0"/>
                <w:numId w:val="41"/>
              </w:numPr>
              <w:tabs>
                <w:tab w:val="left" w:pos="370"/>
              </w:tabs>
              <w:ind w:left="280" w:hanging="280"/>
              <w:jc w:val="both"/>
              <w:rPr>
                <w:rFonts w:hAnsi="Times New Roman" w:cs="Times New Roman"/>
                <w:b/>
                <w:bCs/>
                <w:lang w:val="lt-LT"/>
              </w:rPr>
            </w:pPr>
            <w:r w:rsidRPr="003F4A7B">
              <w:rPr>
                <w:rFonts w:hAnsi="Times New Roman" w:cs="Times New Roman"/>
                <w:b/>
                <w:bCs/>
                <w:lang w:val="lt-LT"/>
              </w:rPr>
              <w:t>Teisingumo skaitmenizavimas Ekonomikos gaivinimo ir atsparumo didinimo pri</w:t>
            </w:r>
            <w:r>
              <w:rPr>
                <w:rFonts w:hAnsi="Times New Roman" w:cs="Times New Roman"/>
                <w:b/>
                <w:bCs/>
                <w:lang w:val="lt-LT"/>
              </w:rPr>
              <w:t>e</w:t>
            </w:r>
            <w:r w:rsidRPr="003F4A7B">
              <w:rPr>
                <w:rFonts w:hAnsi="Times New Roman" w:cs="Times New Roman"/>
                <w:b/>
                <w:bCs/>
                <w:lang w:val="lt-LT"/>
              </w:rPr>
              <w:t xml:space="preserve">monės (RRF) kontekste  </w:t>
            </w:r>
          </w:p>
          <w:p w14:paraId="7BDB3B51" w14:textId="77777777" w:rsidR="00F12B57" w:rsidRPr="0001201C" w:rsidRDefault="00F12B57" w:rsidP="00F12B57">
            <w:pPr>
              <w:pStyle w:val="BodyA"/>
              <w:ind w:left="370"/>
              <w:jc w:val="both"/>
              <w:rPr>
                <w:rFonts w:hAnsi="Times New Roman" w:cs="Times New Roman"/>
                <w:lang w:val="lt-LT"/>
              </w:rPr>
            </w:pPr>
            <w:proofErr w:type="spellStart"/>
            <w:r w:rsidRPr="0001201C">
              <w:rPr>
                <w:rFonts w:hAnsi="Times New Roman" w:cs="Times New Roman"/>
                <w:lang w:val="lt-LT"/>
              </w:rPr>
              <w:t>Digitalisation</w:t>
            </w:r>
            <w:proofErr w:type="spellEnd"/>
            <w:r w:rsidRPr="0001201C">
              <w:rPr>
                <w:rFonts w:hAnsi="Times New Roman" w:cs="Times New Roman"/>
                <w:lang w:val="lt-LT"/>
              </w:rPr>
              <w:t xml:space="preserve"> </w:t>
            </w:r>
            <w:proofErr w:type="spellStart"/>
            <w:r w:rsidRPr="0001201C">
              <w:rPr>
                <w:rFonts w:hAnsi="Times New Roman" w:cs="Times New Roman"/>
                <w:lang w:val="lt-LT"/>
              </w:rPr>
              <w:t>of</w:t>
            </w:r>
            <w:proofErr w:type="spellEnd"/>
            <w:r w:rsidRPr="0001201C">
              <w:rPr>
                <w:rFonts w:hAnsi="Times New Roman" w:cs="Times New Roman"/>
                <w:lang w:val="lt-LT"/>
              </w:rPr>
              <w:t xml:space="preserve"> </w:t>
            </w:r>
            <w:proofErr w:type="spellStart"/>
            <w:r w:rsidRPr="0001201C">
              <w:rPr>
                <w:rFonts w:hAnsi="Times New Roman" w:cs="Times New Roman"/>
                <w:lang w:val="lt-LT"/>
              </w:rPr>
              <w:t>justice</w:t>
            </w:r>
            <w:proofErr w:type="spellEnd"/>
            <w:r w:rsidRPr="0001201C">
              <w:rPr>
                <w:rFonts w:hAnsi="Times New Roman" w:cs="Times New Roman"/>
                <w:lang w:val="lt-LT"/>
              </w:rPr>
              <w:t xml:space="preserve"> </w:t>
            </w:r>
            <w:proofErr w:type="spellStart"/>
            <w:r w:rsidRPr="0001201C">
              <w:rPr>
                <w:rFonts w:hAnsi="Times New Roman" w:cs="Times New Roman"/>
                <w:lang w:val="lt-LT"/>
              </w:rPr>
              <w:t>in</w:t>
            </w:r>
            <w:proofErr w:type="spellEnd"/>
            <w:r w:rsidRPr="0001201C">
              <w:rPr>
                <w:rFonts w:hAnsi="Times New Roman" w:cs="Times New Roman"/>
                <w:lang w:val="lt-LT"/>
              </w:rPr>
              <w:t xml:space="preserve"> </w:t>
            </w:r>
            <w:proofErr w:type="spellStart"/>
            <w:r w:rsidRPr="0001201C">
              <w:rPr>
                <w:rFonts w:hAnsi="Times New Roman" w:cs="Times New Roman"/>
                <w:lang w:val="lt-LT"/>
              </w:rPr>
              <w:t>the</w:t>
            </w:r>
            <w:proofErr w:type="spellEnd"/>
            <w:r w:rsidRPr="0001201C">
              <w:rPr>
                <w:rFonts w:hAnsi="Times New Roman" w:cs="Times New Roman"/>
                <w:lang w:val="lt-LT"/>
              </w:rPr>
              <w:t xml:space="preserve"> </w:t>
            </w:r>
            <w:proofErr w:type="spellStart"/>
            <w:r w:rsidRPr="0001201C">
              <w:rPr>
                <w:rFonts w:hAnsi="Times New Roman" w:cs="Times New Roman"/>
                <w:lang w:val="lt-LT"/>
              </w:rPr>
              <w:t>context</w:t>
            </w:r>
            <w:proofErr w:type="spellEnd"/>
            <w:r w:rsidRPr="0001201C">
              <w:rPr>
                <w:rFonts w:hAnsi="Times New Roman" w:cs="Times New Roman"/>
                <w:lang w:val="lt-LT"/>
              </w:rPr>
              <w:t xml:space="preserve"> </w:t>
            </w:r>
            <w:proofErr w:type="spellStart"/>
            <w:r w:rsidRPr="0001201C">
              <w:rPr>
                <w:rFonts w:hAnsi="Times New Roman" w:cs="Times New Roman"/>
                <w:lang w:val="lt-LT"/>
              </w:rPr>
              <w:t>of</w:t>
            </w:r>
            <w:proofErr w:type="spellEnd"/>
            <w:r w:rsidRPr="0001201C">
              <w:rPr>
                <w:rFonts w:hAnsi="Times New Roman" w:cs="Times New Roman"/>
                <w:lang w:val="lt-LT"/>
              </w:rPr>
              <w:t xml:space="preserve"> </w:t>
            </w:r>
            <w:proofErr w:type="spellStart"/>
            <w:r w:rsidRPr="0001201C">
              <w:rPr>
                <w:rFonts w:hAnsi="Times New Roman" w:cs="Times New Roman"/>
                <w:lang w:val="lt-LT"/>
              </w:rPr>
              <w:t>the</w:t>
            </w:r>
            <w:proofErr w:type="spellEnd"/>
            <w:r w:rsidRPr="0001201C">
              <w:rPr>
                <w:rFonts w:hAnsi="Times New Roman" w:cs="Times New Roman"/>
                <w:lang w:val="lt-LT"/>
              </w:rPr>
              <w:t xml:space="preserve"> </w:t>
            </w:r>
            <w:proofErr w:type="spellStart"/>
            <w:r w:rsidRPr="0001201C">
              <w:rPr>
                <w:rFonts w:hAnsi="Times New Roman" w:cs="Times New Roman"/>
                <w:lang w:val="lt-LT"/>
              </w:rPr>
              <w:t>Recovery</w:t>
            </w:r>
            <w:proofErr w:type="spellEnd"/>
            <w:r w:rsidRPr="0001201C">
              <w:rPr>
                <w:rFonts w:hAnsi="Times New Roman" w:cs="Times New Roman"/>
                <w:lang w:val="lt-LT"/>
              </w:rPr>
              <w:t xml:space="preserve"> </w:t>
            </w:r>
            <w:proofErr w:type="spellStart"/>
            <w:r w:rsidRPr="0001201C">
              <w:rPr>
                <w:rFonts w:hAnsi="Times New Roman" w:cs="Times New Roman"/>
                <w:lang w:val="lt-LT"/>
              </w:rPr>
              <w:t>and</w:t>
            </w:r>
            <w:proofErr w:type="spellEnd"/>
            <w:r>
              <w:rPr>
                <w:rFonts w:hAnsi="Times New Roman" w:cs="Times New Roman"/>
                <w:lang w:val="lt-LT"/>
              </w:rPr>
              <w:t xml:space="preserve"> </w:t>
            </w:r>
            <w:proofErr w:type="spellStart"/>
            <w:r w:rsidRPr="0001201C">
              <w:rPr>
                <w:rFonts w:hAnsi="Times New Roman" w:cs="Times New Roman"/>
                <w:lang w:val="lt-LT"/>
              </w:rPr>
              <w:t>Resilience</w:t>
            </w:r>
            <w:proofErr w:type="spellEnd"/>
            <w:r w:rsidRPr="0001201C">
              <w:rPr>
                <w:rFonts w:hAnsi="Times New Roman" w:cs="Times New Roman"/>
                <w:lang w:val="lt-LT"/>
              </w:rPr>
              <w:t xml:space="preserve"> </w:t>
            </w:r>
            <w:proofErr w:type="spellStart"/>
            <w:r w:rsidRPr="0001201C">
              <w:rPr>
                <w:rFonts w:hAnsi="Times New Roman" w:cs="Times New Roman"/>
                <w:lang w:val="lt-LT"/>
              </w:rPr>
              <w:t>Facility</w:t>
            </w:r>
            <w:proofErr w:type="spellEnd"/>
            <w:r w:rsidRPr="0001201C">
              <w:rPr>
                <w:rFonts w:hAnsi="Times New Roman" w:cs="Times New Roman"/>
                <w:lang w:val="lt-LT"/>
              </w:rPr>
              <w:t xml:space="preserve"> (RRF)</w:t>
            </w:r>
          </w:p>
          <w:p w14:paraId="247F9FAB" w14:textId="77777777" w:rsidR="00F12B57" w:rsidRDefault="00F12B57" w:rsidP="00F12B57">
            <w:pPr>
              <w:pStyle w:val="BodyA"/>
              <w:ind w:left="280"/>
              <w:jc w:val="both"/>
              <w:rPr>
                <w:rFonts w:hAnsi="Times New Roman" w:cs="Times New Roman"/>
                <w:i/>
                <w:iCs/>
                <w:lang w:val="lt-LT"/>
              </w:rPr>
            </w:pPr>
            <w:r>
              <w:rPr>
                <w:rFonts w:hAnsi="Times New Roman" w:cs="Times New Roman"/>
                <w:i/>
                <w:iCs/>
                <w:lang w:val="lt-LT"/>
              </w:rPr>
              <w:t>(</w:t>
            </w:r>
            <w:r w:rsidRPr="00EB174B">
              <w:rPr>
                <w:rFonts w:hAnsi="Times New Roman" w:cs="Times New Roman"/>
                <w:i/>
                <w:iCs/>
                <w:lang w:val="lt-LT"/>
              </w:rPr>
              <w:t>Europos Komisijos informacija</w:t>
            </w:r>
            <w:r>
              <w:rPr>
                <w:rFonts w:hAnsi="Times New Roman" w:cs="Times New Roman"/>
                <w:i/>
                <w:iCs/>
                <w:lang w:val="lt-LT"/>
              </w:rPr>
              <w:t>)</w:t>
            </w:r>
          </w:p>
          <w:p w14:paraId="4F1D25BB" w14:textId="77777777" w:rsidR="00F12B57" w:rsidRPr="00472156" w:rsidRDefault="00F12B57" w:rsidP="00F12B57">
            <w:pPr>
              <w:pStyle w:val="BodyA"/>
              <w:ind w:left="280"/>
              <w:jc w:val="both"/>
              <w:rPr>
                <w:rFonts w:hAnsi="Times New Roman" w:cs="Times New Roman"/>
                <w:i/>
                <w:iCs/>
                <w:lang w:val="fr-FR"/>
              </w:rPr>
            </w:pPr>
          </w:p>
          <w:p w14:paraId="2C3D6322" w14:textId="77777777" w:rsidR="00F12B57" w:rsidRDefault="00F12B57" w:rsidP="00F12B57">
            <w:pPr>
              <w:pStyle w:val="BodyA"/>
              <w:ind w:left="393"/>
              <w:jc w:val="both"/>
              <w:rPr>
                <w:rFonts w:hAnsi="Times New Roman" w:cs="Times New Roman"/>
                <w:lang w:val="lt-LT"/>
              </w:rPr>
            </w:pPr>
            <w:r>
              <w:rPr>
                <w:rFonts w:hAnsi="Times New Roman" w:cs="Times New Roman"/>
                <w:b/>
                <w:bCs/>
                <w:lang w:val="lt-LT"/>
              </w:rPr>
              <w:t>Lietuvos pozicija</w:t>
            </w:r>
            <w:r>
              <w:rPr>
                <w:rFonts w:hAnsi="Times New Roman" w:cs="Times New Roman"/>
                <w:lang w:val="lt-LT"/>
              </w:rPr>
              <w:t xml:space="preserve">: išklausyti informaciją. </w:t>
            </w:r>
          </w:p>
          <w:p w14:paraId="4A10CDEB" w14:textId="77777777" w:rsidR="00F12B57" w:rsidRPr="0001201C" w:rsidRDefault="00F12B57" w:rsidP="00F12B57">
            <w:pPr>
              <w:pStyle w:val="BodyA"/>
              <w:jc w:val="both"/>
              <w:rPr>
                <w:rFonts w:hAnsi="Times New Roman" w:cs="Times New Roman"/>
                <w:lang w:val="lt-LT"/>
              </w:rPr>
            </w:pPr>
          </w:p>
          <w:p w14:paraId="01B87D8D" w14:textId="23750B0F" w:rsidR="00F12B57" w:rsidRPr="003F4A7B" w:rsidRDefault="00F12B57" w:rsidP="00F12B57">
            <w:pPr>
              <w:pStyle w:val="BodyA"/>
              <w:numPr>
                <w:ilvl w:val="0"/>
                <w:numId w:val="41"/>
              </w:numPr>
              <w:ind w:left="370"/>
              <w:jc w:val="both"/>
              <w:rPr>
                <w:rFonts w:hAnsi="Times New Roman" w:cs="Times New Roman"/>
                <w:b/>
                <w:bCs/>
                <w:lang w:val="lt-LT"/>
              </w:rPr>
            </w:pPr>
            <w:r w:rsidRPr="003F4A7B">
              <w:rPr>
                <w:rFonts w:hAnsi="Times New Roman" w:cs="Times New Roman"/>
                <w:b/>
                <w:bCs/>
                <w:lang w:val="lt-LT"/>
              </w:rPr>
              <w:t xml:space="preserve">Sprendimai dėl tinkamumo dėl asmens duomenų perdavimo JK </w:t>
            </w:r>
          </w:p>
          <w:p w14:paraId="1DB54126" w14:textId="77777777" w:rsidR="00F12B57" w:rsidRPr="0001201C" w:rsidRDefault="00F12B57" w:rsidP="00F12B57">
            <w:pPr>
              <w:pStyle w:val="BodyA"/>
              <w:ind w:left="360"/>
              <w:jc w:val="both"/>
              <w:rPr>
                <w:rFonts w:hAnsi="Times New Roman" w:cs="Times New Roman"/>
                <w:lang w:val="lt-LT"/>
              </w:rPr>
            </w:pPr>
            <w:proofErr w:type="spellStart"/>
            <w:r w:rsidRPr="0001201C">
              <w:rPr>
                <w:rFonts w:hAnsi="Times New Roman" w:cs="Times New Roman"/>
                <w:lang w:val="lt-LT"/>
              </w:rPr>
              <w:t>Adequacy</w:t>
            </w:r>
            <w:proofErr w:type="spellEnd"/>
            <w:r w:rsidRPr="0001201C">
              <w:rPr>
                <w:rFonts w:hAnsi="Times New Roman" w:cs="Times New Roman"/>
                <w:lang w:val="lt-LT"/>
              </w:rPr>
              <w:t xml:space="preserve"> </w:t>
            </w:r>
            <w:proofErr w:type="spellStart"/>
            <w:r w:rsidRPr="0001201C">
              <w:rPr>
                <w:rFonts w:hAnsi="Times New Roman" w:cs="Times New Roman"/>
                <w:lang w:val="lt-LT"/>
              </w:rPr>
              <w:t>Decisions</w:t>
            </w:r>
            <w:proofErr w:type="spellEnd"/>
            <w:r w:rsidRPr="0001201C">
              <w:rPr>
                <w:rFonts w:hAnsi="Times New Roman" w:cs="Times New Roman"/>
                <w:lang w:val="lt-LT"/>
              </w:rPr>
              <w:t xml:space="preserve"> </w:t>
            </w:r>
            <w:proofErr w:type="spellStart"/>
            <w:r w:rsidRPr="0001201C">
              <w:rPr>
                <w:rFonts w:hAnsi="Times New Roman" w:cs="Times New Roman"/>
                <w:lang w:val="lt-LT"/>
              </w:rPr>
              <w:t>for</w:t>
            </w:r>
            <w:proofErr w:type="spellEnd"/>
            <w:r w:rsidRPr="0001201C">
              <w:rPr>
                <w:rFonts w:hAnsi="Times New Roman" w:cs="Times New Roman"/>
                <w:lang w:val="lt-LT"/>
              </w:rPr>
              <w:t xml:space="preserve"> </w:t>
            </w:r>
            <w:proofErr w:type="spellStart"/>
            <w:r w:rsidRPr="0001201C">
              <w:rPr>
                <w:rFonts w:hAnsi="Times New Roman" w:cs="Times New Roman"/>
                <w:lang w:val="lt-LT"/>
              </w:rPr>
              <w:t>transfers</w:t>
            </w:r>
            <w:proofErr w:type="spellEnd"/>
            <w:r w:rsidRPr="0001201C">
              <w:rPr>
                <w:rFonts w:hAnsi="Times New Roman" w:cs="Times New Roman"/>
                <w:lang w:val="lt-LT"/>
              </w:rPr>
              <w:t xml:space="preserve"> </w:t>
            </w:r>
            <w:proofErr w:type="spellStart"/>
            <w:r w:rsidRPr="0001201C">
              <w:rPr>
                <w:rFonts w:hAnsi="Times New Roman" w:cs="Times New Roman"/>
                <w:lang w:val="lt-LT"/>
              </w:rPr>
              <w:t>of</w:t>
            </w:r>
            <w:proofErr w:type="spellEnd"/>
            <w:r w:rsidRPr="0001201C">
              <w:rPr>
                <w:rFonts w:hAnsi="Times New Roman" w:cs="Times New Roman"/>
                <w:lang w:val="lt-LT"/>
              </w:rPr>
              <w:t xml:space="preserve"> </w:t>
            </w:r>
            <w:proofErr w:type="spellStart"/>
            <w:r w:rsidRPr="0001201C">
              <w:rPr>
                <w:rFonts w:hAnsi="Times New Roman" w:cs="Times New Roman"/>
                <w:lang w:val="lt-LT"/>
              </w:rPr>
              <w:t>personal</w:t>
            </w:r>
            <w:proofErr w:type="spellEnd"/>
            <w:r w:rsidRPr="0001201C">
              <w:rPr>
                <w:rFonts w:hAnsi="Times New Roman" w:cs="Times New Roman"/>
                <w:lang w:val="lt-LT"/>
              </w:rPr>
              <w:t xml:space="preserve"> data to </w:t>
            </w:r>
            <w:proofErr w:type="spellStart"/>
            <w:r w:rsidRPr="0001201C">
              <w:rPr>
                <w:rFonts w:hAnsi="Times New Roman" w:cs="Times New Roman"/>
                <w:lang w:val="lt-LT"/>
              </w:rPr>
              <w:t>the</w:t>
            </w:r>
            <w:proofErr w:type="spellEnd"/>
            <w:r w:rsidRPr="0001201C">
              <w:rPr>
                <w:rFonts w:hAnsi="Times New Roman" w:cs="Times New Roman"/>
                <w:lang w:val="lt-LT"/>
              </w:rPr>
              <w:t xml:space="preserve"> United</w:t>
            </w:r>
            <w:r>
              <w:rPr>
                <w:rFonts w:hAnsi="Times New Roman" w:cs="Times New Roman"/>
                <w:lang w:val="lt-LT"/>
              </w:rPr>
              <w:t xml:space="preserve"> </w:t>
            </w:r>
            <w:proofErr w:type="spellStart"/>
            <w:r w:rsidRPr="0001201C">
              <w:rPr>
                <w:rFonts w:hAnsi="Times New Roman" w:cs="Times New Roman"/>
                <w:lang w:val="lt-LT"/>
              </w:rPr>
              <w:t>Kingdom</w:t>
            </w:r>
            <w:proofErr w:type="spellEnd"/>
          </w:p>
          <w:p w14:paraId="4D9107C1" w14:textId="77777777" w:rsidR="00F12B57" w:rsidRDefault="00F12B57" w:rsidP="00F12B57">
            <w:pPr>
              <w:pStyle w:val="BodyA"/>
              <w:ind w:left="370"/>
              <w:jc w:val="both"/>
              <w:rPr>
                <w:rFonts w:hAnsi="Times New Roman" w:cs="Times New Roman"/>
                <w:lang w:val="lt-LT"/>
              </w:rPr>
            </w:pPr>
            <w:r>
              <w:rPr>
                <w:rFonts w:hAnsi="Times New Roman" w:cs="Times New Roman"/>
                <w:lang w:val="lt-LT"/>
              </w:rPr>
              <w:t>(</w:t>
            </w:r>
            <w:r w:rsidRPr="00EB174B">
              <w:rPr>
                <w:rFonts w:hAnsi="Times New Roman" w:cs="Times New Roman"/>
                <w:i/>
                <w:iCs/>
                <w:lang w:val="lt-LT"/>
              </w:rPr>
              <w:t>Europos Komisijos informacija</w:t>
            </w:r>
            <w:r>
              <w:rPr>
                <w:rFonts w:hAnsi="Times New Roman" w:cs="Times New Roman"/>
                <w:lang w:val="lt-LT"/>
              </w:rPr>
              <w:t>)</w:t>
            </w:r>
          </w:p>
          <w:p w14:paraId="4FE34364" w14:textId="77777777" w:rsidR="00F12B57" w:rsidRDefault="00F12B57" w:rsidP="00F12B57">
            <w:pPr>
              <w:pStyle w:val="BodyA"/>
              <w:jc w:val="both"/>
              <w:rPr>
                <w:rFonts w:hAnsi="Times New Roman" w:cs="Times New Roman"/>
                <w:lang w:val="lt-LT"/>
              </w:rPr>
            </w:pPr>
          </w:p>
          <w:p w14:paraId="63B2334D" w14:textId="5C9D29B8" w:rsidR="00F12B57" w:rsidRPr="003F18DB" w:rsidRDefault="00F12B57" w:rsidP="00F12B57">
            <w:pPr>
              <w:pStyle w:val="BodyA"/>
              <w:ind w:left="370"/>
              <w:rPr>
                <w:rFonts w:hAnsi="Times New Roman" w:cs="Times New Roman"/>
                <w:b/>
                <w:bCs/>
                <w:lang w:val="lt-LT"/>
              </w:rPr>
            </w:pPr>
            <w:r>
              <w:rPr>
                <w:rFonts w:hAnsi="Times New Roman" w:cs="Times New Roman"/>
                <w:b/>
                <w:bCs/>
                <w:lang w:val="lt-LT"/>
              </w:rPr>
              <w:t>Lietuvos pozicija</w:t>
            </w:r>
            <w:r>
              <w:rPr>
                <w:rFonts w:hAnsi="Times New Roman" w:cs="Times New Roman"/>
                <w:lang w:val="lt-LT"/>
              </w:rPr>
              <w:t>: išklausyti informaciją.</w:t>
            </w:r>
          </w:p>
        </w:tc>
      </w:tr>
    </w:tbl>
    <w:p w14:paraId="2372A682" w14:textId="72F55719" w:rsidR="0010244F" w:rsidRDefault="0010244F" w:rsidP="00F12B57">
      <w:pPr>
        <w:pStyle w:val="BodyA"/>
        <w:rPr>
          <w:rFonts w:hAnsi="Times New Roman" w:cs="Times New Roman"/>
          <w:b/>
          <w:bCs/>
          <w:caps/>
          <w:lang w:val="lt-LT"/>
        </w:rPr>
      </w:pPr>
    </w:p>
    <w:sectPr w:rsidR="0010244F" w:rsidSect="00630401">
      <w:headerReference w:type="default" r:id="rId8"/>
      <w:headerReference w:type="first" r:id="rId9"/>
      <w:pgSz w:w="11900" w:h="16840"/>
      <w:pgMar w:top="1560" w:right="1134" w:bottom="709"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D62C0" w14:textId="77777777" w:rsidR="003B6AC6" w:rsidRDefault="003B6AC6">
      <w:r>
        <w:separator/>
      </w:r>
    </w:p>
  </w:endnote>
  <w:endnote w:type="continuationSeparator" w:id="0">
    <w:p w14:paraId="1C5CA1E5" w14:textId="77777777" w:rsidR="003B6AC6" w:rsidRDefault="003B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31808" w14:textId="77777777" w:rsidR="003B6AC6" w:rsidRDefault="003B6AC6">
      <w:r>
        <w:separator/>
      </w:r>
    </w:p>
  </w:footnote>
  <w:footnote w:type="continuationSeparator" w:id="0">
    <w:p w14:paraId="0A980ADE" w14:textId="77777777" w:rsidR="003B6AC6" w:rsidRDefault="003B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B16E" w14:textId="31B2320C" w:rsidR="004B217F" w:rsidRDefault="00EE1216" w:rsidP="00630401">
    <w:pPr>
      <w:pStyle w:val="BodyA"/>
      <w:tabs>
        <w:tab w:val="center" w:pos="4153"/>
        <w:tab w:val="right" w:pos="8306"/>
      </w:tabs>
      <w:jc w:val="right"/>
    </w:pPr>
    <w:r w:rsidRPr="0071270C">
      <w:rPr>
        <w:rFonts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5AB3" w14:textId="77777777" w:rsidR="006F1F92" w:rsidRPr="0071270C" w:rsidRDefault="006F1F92" w:rsidP="006F1F92">
    <w:pPr>
      <w:pStyle w:val="BodyA"/>
      <w:tabs>
        <w:tab w:val="center" w:pos="4153"/>
        <w:tab w:val="right" w:pos="8306"/>
      </w:tabs>
      <w:jc w:val="right"/>
      <w:rPr>
        <w:rFonts w:hAnsi="Times New Roman" w:cs="Times New Roman"/>
        <w:i/>
        <w:iCs/>
      </w:rPr>
    </w:pPr>
    <w:proofErr w:type="spellStart"/>
    <w:r w:rsidRPr="0071270C">
      <w:rPr>
        <w:rFonts w:hAnsi="Times New Roman" w:cs="Times New Roman"/>
        <w:i/>
        <w:iCs/>
      </w:rPr>
      <w:t>Parengė</w:t>
    </w:r>
    <w:proofErr w:type="spellEnd"/>
    <w:r w:rsidRPr="0071270C">
      <w:rPr>
        <w:rFonts w:hAnsi="Times New Roman" w:cs="Times New Roman"/>
        <w:i/>
        <w:iCs/>
      </w:rPr>
      <w:t xml:space="preserve">: </w:t>
    </w:r>
    <w:proofErr w:type="spellStart"/>
    <w:r w:rsidRPr="0071270C">
      <w:rPr>
        <w:rFonts w:hAnsi="Times New Roman" w:cs="Times New Roman"/>
        <w:i/>
        <w:iCs/>
      </w:rPr>
      <w:t>Teisingumo</w:t>
    </w:r>
    <w:proofErr w:type="spellEnd"/>
    <w:r w:rsidRPr="0071270C">
      <w:rPr>
        <w:rFonts w:hAnsi="Times New Roman" w:cs="Times New Roman"/>
        <w:i/>
        <w:iCs/>
      </w:rPr>
      <w:t xml:space="preserve"> </w:t>
    </w:r>
    <w:proofErr w:type="spellStart"/>
    <w:r w:rsidRPr="0071270C">
      <w:rPr>
        <w:rFonts w:hAnsi="Times New Roman" w:cs="Times New Roman"/>
        <w:i/>
        <w:iCs/>
      </w:rPr>
      <w:t>ministerijos</w:t>
    </w:r>
    <w:proofErr w:type="spellEnd"/>
    <w:r w:rsidRPr="0071270C">
      <w:rPr>
        <w:rFonts w:hAnsi="Times New Roman" w:cs="Times New Roman"/>
        <w:i/>
        <w:iCs/>
      </w:rPr>
      <w:t xml:space="preserve"> </w:t>
    </w:r>
    <w:proofErr w:type="spellStart"/>
    <w:r w:rsidRPr="0071270C">
      <w:rPr>
        <w:rFonts w:hAnsi="Times New Roman" w:cs="Times New Roman"/>
        <w:i/>
        <w:iCs/>
      </w:rPr>
      <w:t>tarptautinės</w:t>
    </w:r>
    <w:proofErr w:type="spellEnd"/>
    <w:r w:rsidRPr="0071270C">
      <w:rPr>
        <w:rFonts w:hAnsi="Times New Roman" w:cs="Times New Roman"/>
        <w:i/>
        <w:iCs/>
      </w:rPr>
      <w:t xml:space="preserve"> </w:t>
    </w:r>
    <w:proofErr w:type="spellStart"/>
    <w:r w:rsidRPr="0071270C">
      <w:rPr>
        <w:rFonts w:hAnsi="Times New Roman" w:cs="Times New Roman"/>
        <w:i/>
        <w:iCs/>
      </w:rPr>
      <w:t>teisės</w:t>
    </w:r>
    <w:proofErr w:type="spellEnd"/>
    <w:r w:rsidRPr="0071270C">
      <w:rPr>
        <w:rFonts w:hAnsi="Times New Roman" w:cs="Times New Roman"/>
        <w:i/>
        <w:iCs/>
      </w:rPr>
      <w:t xml:space="preserve"> </w:t>
    </w:r>
    <w:proofErr w:type="spellStart"/>
    <w:r w:rsidRPr="0071270C">
      <w:rPr>
        <w:rFonts w:hAnsi="Times New Roman" w:cs="Times New Roman"/>
        <w:i/>
        <w:iCs/>
      </w:rPr>
      <w:t>grupė</w:t>
    </w:r>
    <w:proofErr w:type="spellEnd"/>
  </w:p>
  <w:p w14:paraId="5F19C163" w14:textId="5E6D571C" w:rsidR="00EF0DF3" w:rsidRDefault="006F1F92" w:rsidP="006F1F92">
    <w:pPr>
      <w:pStyle w:val="Header"/>
      <w:jc w:val="right"/>
    </w:pPr>
    <w:r>
      <w:rPr>
        <w:i/>
        <w:iCs/>
      </w:rPr>
      <w:t xml:space="preserve">                                  Data: 202</w:t>
    </w:r>
    <w:r w:rsidR="00D45540">
      <w:rPr>
        <w:i/>
        <w:iCs/>
      </w:rPr>
      <w:t>1</w:t>
    </w:r>
    <w:r>
      <w:rPr>
        <w:i/>
        <w:iCs/>
      </w:rPr>
      <w:t xml:space="preserve"> </w:t>
    </w:r>
    <w:r w:rsidR="00D45540">
      <w:rPr>
        <w:i/>
        <w:iCs/>
      </w:rPr>
      <w:t>03</w:t>
    </w:r>
    <w:r>
      <w:rPr>
        <w:i/>
        <w:iCs/>
      </w:rPr>
      <w:t xml:space="preserve"> </w:t>
    </w:r>
    <w:r w:rsidR="00D45540">
      <w:rPr>
        <w:i/>
        <w:iCs/>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43AB"/>
    <w:multiLevelType w:val="multilevel"/>
    <w:tmpl w:val="6D2A71E2"/>
    <w:styleLink w:val="List6"/>
    <w:lvl w:ilvl="0">
      <w:numFmt w:val="bullet"/>
      <w:lvlText w:val="•"/>
      <w:lvlJc w:val="left"/>
      <w:pPr>
        <w:tabs>
          <w:tab w:val="num" w:pos="0"/>
        </w:tabs>
        <w:ind w:left="0" w:hanging="360"/>
      </w:pPr>
      <w:rPr>
        <w:position w:val="0"/>
        <w:sz w:val="24"/>
        <w:szCs w:val="24"/>
        <w:rtl w:val="0"/>
      </w:rPr>
    </w:lvl>
    <w:lvl w:ilvl="1">
      <w:start w:val="1"/>
      <w:numFmt w:val="bullet"/>
      <w:lvlText w:val="o"/>
      <w:lvlJc w:val="left"/>
      <w:pPr>
        <w:tabs>
          <w:tab w:val="num" w:pos="-246"/>
        </w:tabs>
      </w:pPr>
      <w:rPr>
        <w:position w:val="0"/>
        <w:sz w:val="24"/>
        <w:szCs w:val="24"/>
        <w:rtl w:val="0"/>
      </w:rPr>
    </w:lvl>
    <w:lvl w:ilvl="2">
      <w:start w:val="1"/>
      <w:numFmt w:val="bullet"/>
      <w:lvlText w:val="▪"/>
      <w:lvlJc w:val="left"/>
      <w:pPr>
        <w:tabs>
          <w:tab w:val="num" w:pos="-246"/>
        </w:tabs>
      </w:pPr>
      <w:rPr>
        <w:position w:val="0"/>
        <w:sz w:val="24"/>
        <w:szCs w:val="24"/>
        <w:rtl w:val="0"/>
      </w:rPr>
    </w:lvl>
    <w:lvl w:ilvl="3">
      <w:start w:val="1"/>
      <w:numFmt w:val="bullet"/>
      <w:lvlText w:val="•"/>
      <w:lvlJc w:val="left"/>
      <w:pPr>
        <w:tabs>
          <w:tab w:val="num" w:pos="-246"/>
        </w:tabs>
      </w:pPr>
      <w:rPr>
        <w:position w:val="0"/>
        <w:sz w:val="24"/>
        <w:szCs w:val="24"/>
        <w:rtl w:val="0"/>
      </w:rPr>
    </w:lvl>
    <w:lvl w:ilvl="4">
      <w:start w:val="1"/>
      <w:numFmt w:val="bullet"/>
      <w:lvlText w:val="o"/>
      <w:lvlJc w:val="left"/>
      <w:pPr>
        <w:tabs>
          <w:tab w:val="num" w:pos="-246"/>
        </w:tabs>
      </w:pPr>
      <w:rPr>
        <w:position w:val="0"/>
        <w:sz w:val="24"/>
        <w:szCs w:val="24"/>
        <w:rtl w:val="0"/>
      </w:rPr>
    </w:lvl>
    <w:lvl w:ilvl="5">
      <w:start w:val="1"/>
      <w:numFmt w:val="bullet"/>
      <w:lvlText w:val="▪"/>
      <w:lvlJc w:val="left"/>
      <w:pPr>
        <w:tabs>
          <w:tab w:val="num" w:pos="-246"/>
        </w:tabs>
      </w:pPr>
      <w:rPr>
        <w:position w:val="0"/>
        <w:sz w:val="24"/>
        <w:szCs w:val="24"/>
        <w:rtl w:val="0"/>
      </w:rPr>
    </w:lvl>
    <w:lvl w:ilvl="6">
      <w:start w:val="1"/>
      <w:numFmt w:val="bullet"/>
      <w:lvlText w:val="•"/>
      <w:lvlJc w:val="left"/>
      <w:pPr>
        <w:tabs>
          <w:tab w:val="num" w:pos="-246"/>
        </w:tabs>
      </w:pPr>
      <w:rPr>
        <w:position w:val="0"/>
        <w:sz w:val="24"/>
        <w:szCs w:val="24"/>
        <w:rtl w:val="0"/>
      </w:rPr>
    </w:lvl>
    <w:lvl w:ilvl="7">
      <w:start w:val="1"/>
      <w:numFmt w:val="bullet"/>
      <w:lvlText w:val="o"/>
      <w:lvlJc w:val="left"/>
      <w:pPr>
        <w:tabs>
          <w:tab w:val="num" w:pos="-246"/>
        </w:tabs>
      </w:pPr>
      <w:rPr>
        <w:position w:val="0"/>
        <w:sz w:val="24"/>
        <w:szCs w:val="24"/>
        <w:rtl w:val="0"/>
      </w:rPr>
    </w:lvl>
    <w:lvl w:ilvl="8">
      <w:start w:val="1"/>
      <w:numFmt w:val="bullet"/>
      <w:lvlText w:val="▪"/>
      <w:lvlJc w:val="left"/>
      <w:pPr>
        <w:tabs>
          <w:tab w:val="num" w:pos="-246"/>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15:restartNumberingAfterBreak="0">
    <w:nsid w:val="23E4097B"/>
    <w:multiLevelType w:val="hybridMultilevel"/>
    <w:tmpl w:val="58901C9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2"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617A61"/>
    <w:multiLevelType w:val="hybridMultilevel"/>
    <w:tmpl w:val="A9B6200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9"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4"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9"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2"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3"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4" w15:restartNumberingAfterBreak="0">
    <w:nsid w:val="58FE56DA"/>
    <w:multiLevelType w:val="multilevel"/>
    <w:tmpl w:val="246A7C18"/>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35"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15:restartNumberingAfterBreak="0">
    <w:nsid w:val="5EB063AB"/>
    <w:multiLevelType w:val="hybridMultilevel"/>
    <w:tmpl w:val="B97C47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64C474A2"/>
    <w:multiLevelType w:val="hybridMultilevel"/>
    <w:tmpl w:val="293A154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0" w15:restartNumberingAfterBreak="0">
    <w:nsid w:val="6F8F0C4A"/>
    <w:multiLevelType w:val="hybridMultilevel"/>
    <w:tmpl w:val="FD8CA4E4"/>
    <w:lvl w:ilvl="0" w:tplc="640EEF0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8"/>
  </w:num>
  <w:num w:numId="3">
    <w:abstractNumId w:val="6"/>
  </w:num>
  <w:num w:numId="4">
    <w:abstractNumId w:val="24"/>
  </w:num>
  <w:num w:numId="5">
    <w:abstractNumId w:val="15"/>
  </w:num>
  <w:num w:numId="6">
    <w:abstractNumId w:val="9"/>
  </w:num>
  <w:num w:numId="7">
    <w:abstractNumId w:val="12"/>
  </w:num>
  <w:num w:numId="8">
    <w:abstractNumId w:val="19"/>
  </w:num>
  <w:num w:numId="9">
    <w:abstractNumId w:val="31"/>
  </w:num>
  <w:num w:numId="10">
    <w:abstractNumId w:val="13"/>
  </w:num>
  <w:num w:numId="11">
    <w:abstractNumId w:val="21"/>
  </w:num>
  <w:num w:numId="12">
    <w:abstractNumId w:val="2"/>
  </w:num>
  <w:num w:numId="13">
    <w:abstractNumId w:val="25"/>
  </w:num>
  <w:num w:numId="14">
    <w:abstractNumId w:val="26"/>
  </w:num>
  <w:num w:numId="15">
    <w:abstractNumId w:val="3"/>
  </w:num>
  <w:num w:numId="16">
    <w:abstractNumId w:val="27"/>
  </w:num>
  <w:num w:numId="17">
    <w:abstractNumId w:val="29"/>
  </w:num>
  <w:num w:numId="18">
    <w:abstractNumId w:val="33"/>
  </w:num>
  <w:num w:numId="19">
    <w:abstractNumId w:val="5"/>
  </w:num>
  <w:num w:numId="20">
    <w:abstractNumId w:val="4"/>
  </w:num>
  <w:num w:numId="21">
    <w:abstractNumId w:val="17"/>
  </w:num>
  <w:num w:numId="22">
    <w:abstractNumId w:val="37"/>
  </w:num>
  <w:num w:numId="23">
    <w:abstractNumId w:val="0"/>
  </w:num>
  <w:num w:numId="24">
    <w:abstractNumId w:val="28"/>
  </w:num>
  <w:num w:numId="25">
    <w:abstractNumId w:val="35"/>
  </w:num>
  <w:num w:numId="26">
    <w:abstractNumId w:val="1"/>
  </w:num>
  <w:num w:numId="27">
    <w:abstractNumId w:val="23"/>
  </w:num>
  <w:num w:numId="28">
    <w:abstractNumId w:val="16"/>
  </w:num>
  <w:num w:numId="29">
    <w:abstractNumId w:val="20"/>
  </w:num>
  <w:num w:numId="30">
    <w:abstractNumId w:val="18"/>
  </w:num>
  <w:num w:numId="31">
    <w:abstractNumId w:val="30"/>
  </w:num>
  <w:num w:numId="32">
    <w:abstractNumId w:val="11"/>
  </w:num>
  <w:num w:numId="33">
    <w:abstractNumId w:val="32"/>
  </w:num>
  <w:num w:numId="34">
    <w:abstractNumId w:val="7"/>
  </w:num>
  <w:num w:numId="35">
    <w:abstractNumId w:val="39"/>
  </w:num>
  <w:num w:numId="36">
    <w:abstractNumId w:val="38"/>
  </w:num>
  <w:num w:numId="37">
    <w:abstractNumId w:val="40"/>
  </w:num>
  <w:num w:numId="38">
    <w:abstractNumId w:val="36"/>
  </w:num>
  <w:num w:numId="39">
    <w:abstractNumId w:val="14"/>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7F"/>
    <w:rsid w:val="0001201C"/>
    <w:rsid w:val="000851A1"/>
    <w:rsid w:val="000C55B6"/>
    <w:rsid w:val="000C72FF"/>
    <w:rsid w:val="000D0945"/>
    <w:rsid w:val="000D5784"/>
    <w:rsid w:val="0010244F"/>
    <w:rsid w:val="00161A90"/>
    <w:rsid w:val="00167C5A"/>
    <w:rsid w:val="001809C6"/>
    <w:rsid w:val="001941F1"/>
    <w:rsid w:val="001D76ED"/>
    <w:rsid w:val="001E3D38"/>
    <w:rsid w:val="001F5A79"/>
    <w:rsid w:val="0022675A"/>
    <w:rsid w:val="0028069B"/>
    <w:rsid w:val="002A2A98"/>
    <w:rsid w:val="002C7D3B"/>
    <w:rsid w:val="002E7660"/>
    <w:rsid w:val="003424AE"/>
    <w:rsid w:val="00346A85"/>
    <w:rsid w:val="00354985"/>
    <w:rsid w:val="003B38E4"/>
    <w:rsid w:val="003B6AC6"/>
    <w:rsid w:val="003C0E93"/>
    <w:rsid w:val="003C5055"/>
    <w:rsid w:val="003C6810"/>
    <w:rsid w:val="003E2F37"/>
    <w:rsid w:val="003F18DB"/>
    <w:rsid w:val="003F4A7B"/>
    <w:rsid w:val="003F58E0"/>
    <w:rsid w:val="004223C2"/>
    <w:rsid w:val="00444587"/>
    <w:rsid w:val="00450AA0"/>
    <w:rsid w:val="00454B38"/>
    <w:rsid w:val="004663CC"/>
    <w:rsid w:val="00472156"/>
    <w:rsid w:val="004B217F"/>
    <w:rsid w:val="004B65A0"/>
    <w:rsid w:val="00510275"/>
    <w:rsid w:val="005202E1"/>
    <w:rsid w:val="00541BCE"/>
    <w:rsid w:val="00557D5B"/>
    <w:rsid w:val="005A79EF"/>
    <w:rsid w:val="005B3222"/>
    <w:rsid w:val="00612623"/>
    <w:rsid w:val="006208B9"/>
    <w:rsid w:val="00630401"/>
    <w:rsid w:val="00650113"/>
    <w:rsid w:val="006A16D4"/>
    <w:rsid w:val="006F1F92"/>
    <w:rsid w:val="0071270C"/>
    <w:rsid w:val="00752AD9"/>
    <w:rsid w:val="007A27FD"/>
    <w:rsid w:val="007B0AD2"/>
    <w:rsid w:val="00835156"/>
    <w:rsid w:val="008546F3"/>
    <w:rsid w:val="0086150A"/>
    <w:rsid w:val="00863F13"/>
    <w:rsid w:val="008779DC"/>
    <w:rsid w:val="0089373C"/>
    <w:rsid w:val="00897706"/>
    <w:rsid w:val="008D434C"/>
    <w:rsid w:val="00915B0C"/>
    <w:rsid w:val="00922C32"/>
    <w:rsid w:val="009469ED"/>
    <w:rsid w:val="0096640A"/>
    <w:rsid w:val="009866D9"/>
    <w:rsid w:val="00A146A7"/>
    <w:rsid w:val="00A3015C"/>
    <w:rsid w:val="00A33567"/>
    <w:rsid w:val="00A33870"/>
    <w:rsid w:val="00A77367"/>
    <w:rsid w:val="00A779E6"/>
    <w:rsid w:val="00A940A6"/>
    <w:rsid w:val="00AA600C"/>
    <w:rsid w:val="00AB38E3"/>
    <w:rsid w:val="00AC526E"/>
    <w:rsid w:val="00AD1EEE"/>
    <w:rsid w:val="00AD44B0"/>
    <w:rsid w:val="00AD7E3A"/>
    <w:rsid w:val="00B03FB8"/>
    <w:rsid w:val="00B20330"/>
    <w:rsid w:val="00B33B39"/>
    <w:rsid w:val="00B363B0"/>
    <w:rsid w:val="00B675A5"/>
    <w:rsid w:val="00B67F14"/>
    <w:rsid w:val="00B70894"/>
    <w:rsid w:val="00B72952"/>
    <w:rsid w:val="00B73AC3"/>
    <w:rsid w:val="00B87979"/>
    <w:rsid w:val="00BA186A"/>
    <w:rsid w:val="00BA318C"/>
    <w:rsid w:val="00BB3A8F"/>
    <w:rsid w:val="00C1445F"/>
    <w:rsid w:val="00C4320A"/>
    <w:rsid w:val="00C51E95"/>
    <w:rsid w:val="00C842BA"/>
    <w:rsid w:val="00C9706E"/>
    <w:rsid w:val="00CD7E72"/>
    <w:rsid w:val="00CF25F5"/>
    <w:rsid w:val="00D00905"/>
    <w:rsid w:val="00D17400"/>
    <w:rsid w:val="00D34348"/>
    <w:rsid w:val="00D45540"/>
    <w:rsid w:val="00D974E0"/>
    <w:rsid w:val="00DF2089"/>
    <w:rsid w:val="00E041E6"/>
    <w:rsid w:val="00E45519"/>
    <w:rsid w:val="00E76B27"/>
    <w:rsid w:val="00EB174B"/>
    <w:rsid w:val="00ED0941"/>
    <w:rsid w:val="00EE0406"/>
    <w:rsid w:val="00EE1216"/>
    <w:rsid w:val="00EF0DF3"/>
    <w:rsid w:val="00EF7D2E"/>
    <w:rsid w:val="00F104B5"/>
    <w:rsid w:val="00F12B57"/>
    <w:rsid w:val="00F937EF"/>
    <w:rsid w:val="00FA5323"/>
    <w:rsid w:val="00FA71B6"/>
    <w:rsid w:val="00FF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8B51"/>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paragraph" w:customStyle="1" w:styleId="Default">
    <w:name w:val="Default"/>
    <w:rsid w:val="00BA31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BalloonText">
    <w:name w:val="Balloon Text"/>
    <w:basedOn w:val="Normal"/>
    <w:link w:val="BalloonTextChar"/>
    <w:uiPriority w:val="99"/>
    <w:semiHidden/>
    <w:unhideWhenUsed/>
    <w:rsid w:val="003F1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DB"/>
    <w:rPr>
      <w:rFonts w:ascii="Segoe UI" w:hAnsi="Segoe UI" w:cs="Segoe UI"/>
      <w:sz w:val="18"/>
      <w:szCs w:val="18"/>
    </w:rPr>
  </w:style>
  <w:style w:type="numbering" w:customStyle="1" w:styleId="Numbered1">
    <w:name w:val="Numbered1"/>
    <w:rsid w:val="00A7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7229">
      <w:bodyDiv w:val="1"/>
      <w:marLeft w:val="0"/>
      <w:marRight w:val="0"/>
      <w:marTop w:val="0"/>
      <w:marBottom w:val="0"/>
      <w:divBdr>
        <w:top w:val="none" w:sz="0" w:space="0" w:color="auto"/>
        <w:left w:val="none" w:sz="0" w:space="0" w:color="auto"/>
        <w:bottom w:val="none" w:sz="0" w:space="0" w:color="auto"/>
        <w:right w:val="none" w:sz="0" w:space="0" w:color="auto"/>
      </w:divBdr>
    </w:div>
    <w:div w:id="369231967">
      <w:bodyDiv w:val="1"/>
      <w:marLeft w:val="0"/>
      <w:marRight w:val="0"/>
      <w:marTop w:val="0"/>
      <w:marBottom w:val="0"/>
      <w:divBdr>
        <w:top w:val="none" w:sz="0" w:space="0" w:color="auto"/>
        <w:left w:val="none" w:sz="0" w:space="0" w:color="auto"/>
        <w:bottom w:val="none" w:sz="0" w:space="0" w:color="auto"/>
        <w:right w:val="none" w:sz="0" w:space="0" w:color="auto"/>
      </w:divBdr>
    </w:div>
    <w:div w:id="455371981">
      <w:bodyDiv w:val="1"/>
      <w:marLeft w:val="0"/>
      <w:marRight w:val="0"/>
      <w:marTop w:val="0"/>
      <w:marBottom w:val="0"/>
      <w:divBdr>
        <w:top w:val="none" w:sz="0" w:space="0" w:color="auto"/>
        <w:left w:val="none" w:sz="0" w:space="0" w:color="auto"/>
        <w:bottom w:val="none" w:sz="0" w:space="0" w:color="auto"/>
        <w:right w:val="none" w:sz="0" w:space="0" w:color="auto"/>
      </w:divBdr>
    </w:div>
    <w:div w:id="465050501">
      <w:bodyDiv w:val="1"/>
      <w:marLeft w:val="0"/>
      <w:marRight w:val="0"/>
      <w:marTop w:val="0"/>
      <w:marBottom w:val="0"/>
      <w:divBdr>
        <w:top w:val="none" w:sz="0" w:space="0" w:color="auto"/>
        <w:left w:val="none" w:sz="0" w:space="0" w:color="auto"/>
        <w:bottom w:val="none" w:sz="0" w:space="0" w:color="auto"/>
        <w:right w:val="none" w:sz="0" w:space="0" w:color="auto"/>
      </w:divBdr>
    </w:div>
    <w:div w:id="578712716">
      <w:bodyDiv w:val="1"/>
      <w:marLeft w:val="0"/>
      <w:marRight w:val="0"/>
      <w:marTop w:val="0"/>
      <w:marBottom w:val="0"/>
      <w:divBdr>
        <w:top w:val="none" w:sz="0" w:space="0" w:color="auto"/>
        <w:left w:val="none" w:sz="0" w:space="0" w:color="auto"/>
        <w:bottom w:val="none" w:sz="0" w:space="0" w:color="auto"/>
        <w:right w:val="none" w:sz="0" w:space="0" w:color="auto"/>
      </w:divBdr>
    </w:div>
    <w:div w:id="927078562">
      <w:bodyDiv w:val="1"/>
      <w:marLeft w:val="0"/>
      <w:marRight w:val="0"/>
      <w:marTop w:val="0"/>
      <w:marBottom w:val="0"/>
      <w:divBdr>
        <w:top w:val="none" w:sz="0" w:space="0" w:color="auto"/>
        <w:left w:val="none" w:sz="0" w:space="0" w:color="auto"/>
        <w:bottom w:val="none" w:sz="0" w:space="0" w:color="auto"/>
        <w:right w:val="none" w:sz="0" w:space="0" w:color="auto"/>
      </w:divBdr>
    </w:div>
    <w:div w:id="969674674">
      <w:bodyDiv w:val="1"/>
      <w:marLeft w:val="0"/>
      <w:marRight w:val="0"/>
      <w:marTop w:val="0"/>
      <w:marBottom w:val="0"/>
      <w:divBdr>
        <w:top w:val="none" w:sz="0" w:space="0" w:color="auto"/>
        <w:left w:val="none" w:sz="0" w:space="0" w:color="auto"/>
        <w:bottom w:val="none" w:sz="0" w:space="0" w:color="auto"/>
        <w:right w:val="none" w:sz="0" w:space="0" w:color="auto"/>
      </w:divBdr>
    </w:div>
    <w:div w:id="1559048067">
      <w:bodyDiv w:val="1"/>
      <w:marLeft w:val="0"/>
      <w:marRight w:val="0"/>
      <w:marTop w:val="0"/>
      <w:marBottom w:val="0"/>
      <w:divBdr>
        <w:top w:val="none" w:sz="0" w:space="0" w:color="auto"/>
        <w:left w:val="none" w:sz="0" w:space="0" w:color="auto"/>
        <w:bottom w:val="none" w:sz="0" w:space="0" w:color="auto"/>
        <w:right w:val="none" w:sz="0" w:space="0" w:color="auto"/>
      </w:divBdr>
    </w:div>
    <w:div w:id="1786339615">
      <w:bodyDiv w:val="1"/>
      <w:marLeft w:val="0"/>
      <w:marRight w:val="0"/>
      <w:marTop w:val="0"/>
      <w:marBottom w:val="0"/>
      <w:divBdr>
        <w:top w:val="none" w:sz="0" w:space="0" w:color="auto"/>
        <w:left w:val="none" w:sz="0" w:space="0" w:color="auto"/>
        <w:bottom w:val="none" w:sz="0" w:space="0" w:color="auto"/>
        <w:right w:val="none" w:sz="0" w:space="0" w:color="auto"/>
      </w:divBdr>
    </w:div>
    <w:div w:id="1888947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F1F36-9EDB-4C61-B72D-9300817E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10545</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2021-03-08T14:50:00Z</dcterms:created>
  <dc:creator>Margarita Antanaitė</dc:creator>
  <cp:lastModifiedBy>Lina Urnikiene</cp:lastModifiedBy>
  <dcterms:modified xsi:type="dcterms:W3CDTF">2021-03-08T14:50:00Z</dcterms:modified>
  <cp:revision>2</cp:revision>
</cp:coreProperties>
</file>