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E73" w:rsidRPr="00F10E73" w:rsidRDefault="00F10E73" w:rsidP="00F10E73">
      <w:pPr>
        <w:jc w:val="center"/>
        <w:rPr>
          <w:b/>
          <w:szCs w:val="24"/>
          <w:lang w:eastAsia="lt-LT"/>
        </w:rPr>
      </w:pPr>
      <w:r w:rsidRPr="00F10E73">
        <w:rPr>
          <w:b/>
          <w:lang w:val="en-US"/>
        </w:rPr>
        <w:t xml:space="preserve">GAUTŲ PASTABŲ DĖL </w:t>
      </w:r>
      <w:r w:rsidRPr="00F10E73">
        <w:rPr>
          <w:b/>
          <w:szCs w:val="24"/>
          <w:lang w:eastAsia="lt-LT"/>
        </w:rPr>
        <w:t>2021–2030 METŲ PLĖTROS PROGRAMOS VALDYTOJOS LIETUVOS RESPUBLIKOS UŽSIENIO REIKALŲ MINISTERIJOS UŽSIENYJE MATOMOS IR ĮTAKINGOS LIETUVOS PLĖTROS PROGRAMOS</w:t>
      </w:r>
    </w:p>
    <w:p w:rsidR="00852F44" w:rsidRDefault="00F10E73" w:rsidP="00F10E73">
      <w:pPr>
        <w:jc w:val="center"/>
        <w:rPr>
          <w:b/>
        </w:rPr>
      </w:pPr>
      <w:r w:rsidRPr="00F10E73">
        <w:rPr>
          <w:b/>
          <w:lang w:val="en-US"/>
        </w:rPr>
        <w:t xml:space="preserve"> DERINIMO PA</w:t>
      </w:r>
      <w:r w:rsidRPr="00F10E73">
        <w:rPr>
          <w:b/>
        </w:rPr>
        <w:t>ŽYMA</w:t>
      </w:r>
    </w:p>
    <w:p w:rsidR="00F10E73" w:rsidRDefault="00F10E73" w:rsidP="00F10E73">
      <w:pPr>
        <w:jc w:val="center"/>
        <w:rPr>
          <w:b/>
        </w:rPr>
      </w:pPr>
    </w:p>
    <w:p w:rsidR="00F10E73" w:rsidRDefault="00F10E73" w:rsidP="00F10E73">
      <w:pPr>
        <w:jc w:val="center"/>
        <w:rPr>
          <w:b/>
        </w:rPr>
      </w:pPr>
    </w:p>
    <w:tbl>
      <w:tblPr>
        <w:tblStyle w:val="TableGrid"/>
        <w:tblW w:w="14454" w:type="dxa"/>
        <w:tblLayout w:type="fixed"/>
        <w:tblLook w:val="04A0" w:firstRow="1" w:lastRow="0" w:firstColumn="1" w:lastColumn="0" w:noHBand="0" w:noVBand="1"/>
      </w:tblPr>
      <w:tblGrid>
        <w:gridCol w:w="601"/>
        <w:gridCol w:w="1563"/>
        <w:gridCol w:w="6053"/>
        <w:gridCol w:w="6237"/>
      </w:tblGrid>
      <w:tr w:rsidR="00F10E73" w:rsidTr="006C5729">
        <w:tc>
          <w:tcPr>
            <w:tcW w:w="601" w:type="dxa"/>
          </w:tcPr>
          <w:p w:rsidR="00F10E73" w:rsidRDefault="00F10E73" w:rsidP="0048310D">
            <w:pPr>
              <w:jc w:val="center"/>
              <w:rPr>
                <w:szCs w:val="24"/>
              </w:rPr>
            </w:pPr>
            <w:r>
              <w:rPr>
                <w:szCs w:val="24"/>
              </w:rPr>
              <w:t>Nr.</w:t>
            </w:r>
          </w:p>
        </w:tc>
        <w:tc>
          <w:tcPr>
            <w:tcW w:w="1563" w:type="dxa"/>
          </w:tcPr>
          <w:p w:rsidR="00F10E73" w:rsidRDefault="00F10E73" w:rsidP="0048310D">
            <w:pPr>
              <w:jc w:val="center"/>
              <w:rPr>
                <w:szCs w:val="24"/>
              </w:rPr>
            </w:pPr>
            <w:r>
              <w:rPr>
                <w:szCs w:val="24"/>
              </w:rPr>
              <w:t>Institucija</w:t>
            </w:r>
          </w:p>
        </w:tc>
        <w:tc>
          <w:tcPr>
            <w:tcW w:w="6053" w:type="dxa"/>
          </w:tcPr>
          <w:p w:rsidR="00F10E73" w:rsidRDefault="00F10E73" w:rsidP="0048310D">
            <w:pPr>
              <w:jc w:val="center"/>
              <w:rPr>
                <w:szCs w:val="24"/>
              </w:rPr>
            </w:pPr>
            <w:r>
              <w:rPr>
                <w:szCs w:val="24"/>
              </w:rPr>
              <w:t>Pastaba</w:t>
            </w:r>
          </w:p>
        </w:tc>
        <w:tc>
          <w:tcPr>
            <w:tcW w:w="6237" w:type="dxa"/>
          </w:tcPr>
          <w:p w:rsidR="00F10E73" w:rsidRDefault="00F10E73" w:rsidP="0048310D">
            <w:pPr>
              <w:jc w:val="center"/>
              <w:rPr>
                <w:szCs w:val="24"/>
              </w:rPr>
            </w:pPr>
            <w:r>
              <w:rPr>
                <w:szCs w:val="24"/>
              </w:rPr>
              <w:t>Atsakymas</w:t>
            </w:r>
          </w:p>
        </w:tc>
      </w:tr>
      <w:tr w:rsidR="00D33265" w:rsidTr="006C5729">
        <w:tc>
          <w:tcPr>
            <w:tcW w:w="601" w:type="dxa"/>
          </w:tcPr>
          <w:p w:rsidR="00D33265" w:rsidRDefault="006E7274" w:rsidP="0048310D">
            <w:pPr>
              <w:jc w:val="center"/>
              <w:rPr>
                <w:szCs w:val="24"/>
              </w:rPr>
            </w:pPr>
            <w:r>
              <w:rPr>
                <w:szCs w:val="24"/>
              </w:rPr>
              <w:t>1.</w:t>
            </w:r>
          </w:p>
        </w:tc>
        <w:tc>
          <w:tcPr>
            <w:tcW w:w="1563" w:type="dxa"/>
          </w:tcPr>
          <w:p w:rsidR="00D33265" w:rsidRDefault="00D33265" w:rsidP="0048310D">
            <w:pPr>
              <w:jc w:val="center"/>
              <w:rPr>
                <w:szCs w:val="24"/>
              </w:rPr>
            </w:pPr>
            <w:r>
              <w:rPr>
                <w:szCs w:val="24"/>
              </w:rPr>
              <w:t>Ekonomikos ir inovacijų ministerija</w:t>
            </w:r>
          </w:p>
        </w:tc>
        <w:tc>
          <w:tcPr>
            <w:tcW w:w="6053" w:type="dxa"/>
          </w:tcPr>
          <w:p w:rsidR="00D33265" w:rsidRDefault="00D33265" w:rsidP="0048310D">
            <w:pPr>
              <w:rPr>
                <w:szCs w:val="24"/>
              </w:rPr>
            </w:pPr>
            <w:r>
              <w:rPr>
                <w:color w:val="000000"/>
                <w:szCs w:val="24"/>
                <w:bdr w:val="none" w:sz="0" w:space="0" w:color="auto" w:frame="1"/>
                <w:lang w:eastAsia="lt-LT"/>
              </w:rPr>
              <w:t>P</w:t>
            </w:r>
            <w:r w:rsidRPr="00207234">
              <w:rPr>
                <w:color w:val="000000"/>
                <w:szCs w:val="24"/>
                <w:bdr w:val="none" w:sz="0" w:space="0" w:color="auto" w:frame="1"/>
                <w:lang w:eastAsia="lt-LT"/>
              </w:rPr>
              <w:t xml:space="preserve">agal kompetenciją siūlome grindžiant plėtros programą, </w:t>
            </w:r>
            <w:r w:rsidRPr="00207234">
              <w:rPr>
                <w:szCs w:val="24"/>
                <w:lang w:eastAsia="lt-LT"/>
              </w:rPr>
              <w:t>problemos „Nepakankamas Lietuvos vardo ir jos istorijos žinomumas pasaulyje</w:t>
            </w:r>
            <w:r>
              <w:rPr>
                <w:szCs w:val="24"/>
                <w:lang w:eastAsia="lt-LT"/>
              </w:rPr>
              <w:t>“</w:t>
            </w:r>
            <w:r w:rsidRPr="00207234">
              <w:rPr>
                <w:szCs w:val="24"/>
                <w:lang w:eastAsia="lt-LT"/>
              </w:rPr>
              <w:t xml:space="preserve"> priežastimi, be kita ko, nurodyti ir nepakankamą turizmo išteklių išnaudojimą Lietuvos žinomumui didinti. Atitinkamai siūlome, kaip atskiro dėmesio reikalaujantį klausimą įtraukti ir turizmo potencialo pristatymą užsienio </w:t>
            </w:r>
            <w:r w:rsidRPr="00207234">
              <w:rPr>
                <w:szCs w:val="24"/>
              </w:rPr>
              <w:t xml:space="preserve">šalių ir tarptautinių organizacijų elitui, susijusiam su nuomonės formavimu ir sprendimų priėmimu Lietuvai svarbiais įvairių sričių klausimais bei, atsižvelgiant į Lietuvos Respublikos bendrąjį planą, skatinti pasienio savivaldybių partnerystes su kaimyninėmis šalimis, </w:t>
            </w:r>
            <w:r w:rsidRPr="00207234">
              <w:rPr>
                <w:szCs w:val="24"/>
                <w:lang w:eastAsia="lt-LT"/>
              </w:rPr>
              <w:t>stiprinti tarpvalstybinį ir tarpinstitucinį bendradarbiavimą, siekiant ilgalaikės partnerystės, kuri, be kita ko, ypač svarbi, ir siekiant skatinti atvykstamąjį turizmą.</w:t>
            </w:r>
          </w:p>
        </w:tc>
        <w:tc>
          <w:tcPr>
            <w:tcW w:w="6237" w:type="dxa"/>
          </w:tcPr>
          <w:p w:rsidR="00D33265" w:rsidRDefault="00D33265" w:rsidP="0048310D">
            <w:pPr>
              <w:rPr>
                <w:szCs w:val="24"/>
              </w:rPr>
            </w:pPr>
            <w:r w:rsidRPr="00D33265">
              <w:rPr>
                <w:b/>
                <w:szCs w:val="24"/>
              </w:rPr>
              <w:t>Atsižvelgta.</w:t>
            </w:r>
            <w:r>
              <w:rPr>
                <w:szCs w:val="24"/>
              </w:rPr>
              <w:t xml:space="preserve"> Plėtros programos pagrindimo formoje problemos priežasties formuluotė ir aprašomoji dalis patikslinta siūloma informacija. </w:t>
            </w:r>
          </w:p>
        </w:tc>
      </w:tr>
      <w:tr w:rsidR="00C100B7" w:rsidTr="006C5729">
        <w:tc>
          <w:tcPr>
            <w:tcW w:w="601" w:type="dxa"/>
          </w:tcPr>
          <w:p w:rsidR="00C100B7" w:rsidRDefault="006E7274" w:rsidP="0048310D">
            <w:pPr>
              <w:jc w:val="center"/>
              <w:rPr>
                <w:szCs w:val="24"/>
              </w:rPr>
            </w:pPr>
            <w:r>
              <w:rPr>
                <w:szCs w:val="24"/>
              </w:rPr>
              <w:t>2</w:t>
            </w:r>
            <w:r w:rsidR="00E655AC">
              <w:rPr>
                <w:szCs w:val="24"/>
              </w:rPr>
              <w:t>.</w:t>
            </w:r>
          </w:p>
        </w:tc>
        <w:tc>
          <w:tcPr>
            <w:tcW w:w="1563" w:type="dxa"/>
            <w:vMerge w:val="restart"/>
          </w:tcPr>
          <w:p w:rsidR="00C100B7" w:rsidRDefault="00C100B7" w:rsidP="0048310D">
            <w:pPr>
              <w:jc w:val="center"/>
              <w:rPr>
                <w:szCs w:val="24"/>
              </w:rPr>
            </w:pPr>
            <w:r>
              <w:rPr>
                <w:szCs w:val="24"/>
              </w:rPr>
              <w:t>Socialinės apsaugos ir darbo ministerija</w:t>
            </w:r>
          </w:p>
        </w:tc>
        <w:tc>
          <w:tcPr>
            <w:tcW w:w="6053" w:type="dxa"/>
          </w:tcPr>
          <w:p w:rsidR="00C100B7" w:rsidRDefault="00C100B7" w:rsidP="0048310D">
            <w:pPr>
              <w:rPr>
                <w:szCs w:val="24"/>
              </w:rPr>
            </w:pPr>
            <w:r w:rsidRPr="0068428D">
              <w:t xml:space="preserve">Plėtros programoje nurodoma, kad, kartu su kitomis priežastimis, priežastį „1.2.1 neužtikrintas patirties perdavimo tęstinumas rengiantis pirmininkauti ES Tarybai 2027 m.“ šalins priemonė „14-001-09-01-02 Didinti Lietuvos žinomumą ir įtaką tarptautinėje bendruomenėje (sprendžia 1.2.1 , 1.3.2 ir 1.3.4 priežastis).“ Pastebėtina, kad </w:t>
            </w:r>
            <w:r w:rsidRPr="007B6DCF">
              <w:t xml:space="preserve">trūksta </w:t>
            </w:r>
            <w:r>
              <w:t xml:space="preserve">išsamesnio </w:t>
            </w:r>
            <w:r w:rsidRPr="007B6DCF">
              <w:t>pagrindimo</w:t>
            </w:r>
            <w:r w:rsidRPr="0068428D">
              <w:t xml:space="preserve"> kaip tiesiogiai žinomumo ir įtakos didinimas ES ir tarptautiniu mastu užtikrins būtent patirties perdavimo tęstinumą rengiantis pirmininkauti ES Tarybai.</w:t>
            </w:r>
          </w:p>
        </w:tc>
        <w:tc>
          <w:tcPr>
            <w:tcW w:w="6237" w:type="dxa"/>
          </w:tcPr>
          <w:p w:rsidR="00C100B7" w:rsidRDefault="00C100B7" w:rsidP="00920715">
            <w:pPr>
              <w:rPr>
                <w:szCs w:val="24"/>
              </w:rPr>
            </w:pPr>
            <w:r w:rsidRPr="00AD64D6">
              <w:rPr>
                <w:b/>
                <w:szCs w:val="24"/>
              </w:rPr>
              <w:t>Neatsižvelgta</w:t>
            </w:r>
            <w:r>
              <w:rPr>
                <w:szCs w:val="24"/>
              </w:rPr>
              <w:t xml:space="preserve">. Pats pirmininkavimas ES Tarybai yra renginys, didinantis Lietuvos žinomumą. Atsižvelgiant į tai, kad toks renginys vyksta labai retai, nėra </w:t>
            </w:r>
            <w:r w:rsidR="00920715">
              <w:rPr>
                <w:szCs w:val="24"/>
              </w:rPr>
              <w:t>visiškai</w:t>
            </w:r>
            <w:r>
              <w:rPr>
                <w:szCs w:val="24"/>
              </w:rPr>
              <w:t xml:space="preserve"> užtikrintas patirties  perdavimo tęstinumas po 2013 m. įvykusio pirmininkavimo. Todėl </w:t>
            </w:r>
            <w:r>
              <w:t>priemonėje</w:t>
            </w:r>
            <w:r w:rsidRPr="0068428D">
              <w:t xml:space="preserve"> </w:t>
            </w:r>
            <w:r>
              <w:t>„</w:t>
            </w:r>
            <w:r w:rsidRPr="0068428D">
              <w:t>Didinti Lietuvos žinomumą ir įtaką tarptautinėje bendruomenėje</w:t>
            </w:r>
            <w:r>
              <w:t xml:space="preserve">“ bus planuojamos veiklos, susijusios su geresniu pasirengimu pirmininkavimui, taip pat su jo organizavimu. </w:t>
            </w:r>
          </w:p>
        </w:tc>
      </w:tr>
      <w:tr w:rsidR="00C100B7" w:rsidTr="006C5729">
        <w:tc>
          <w:tcPr>
            <w:tcW w:w="601" w:type="dxa"/>
          </w:tcPr>
          <w:p w:rsidR="00C100B7" w:rsidRDefault="006E7274" w:rsidP="0048310D">
            <w:pPr>
              <w:jc w:val="center"/>
              <w:rPr>
                <w:szCs w:val="24"/>
              </w:rPr>
            </w:pPr>
            <w:r>
              <w:rPr>
                <w:szCs w:val="24"/>
              </w:rPr>
              <w:t>3</w:t>
            </w:r>
            <w:r w:rsidR="00E655AC">
              <w:rPr>
                <w:szCs w:val="24"/>
              </w:rPr>
              <w:t>.</w:t>
            </w:r>
          </w:p>
        </w:tc>
        <w:tc>
          <w:tcPr>
            <w:tcW w:w="1563" w:type="dxa"/>
            <w:vMerge/>
          </w:tcPr>
          <w:p w:rsidR="00C100B7" w:rsidRDefault="00C100B7" w:rsidP="0048310D">
            <w:pPr>
              <w:jc w:val="center"/>
              <w:rPr>
                <w:szCs w:val="24"/>
              </w:rPr>
            </w:pPr>
          </w:p>
        </w:tc>
        <w:tc>
          <w:tcPr>
            <w:tcW w:w="6053" w:type="dxa"/>
          </w:tcPr>
          <w:p w:rsidR="00C100B7" w:rsidRPr="0071035B" w:rsidRDefault="00C100B7" w:rsidP="0048310D">
            <w:pPr>
              <w:rPr>
                <w:szCs w:val="24"/>
              </w:rPr>
            </w:pPr>
            <w:bookmarkStart w:id="0" w:name="_Hlk86232897"/>
            <w:r w:rsidRPr="0071035B">
              <w:rPr>
                <w:szCs w:val="24"/>
              </w:rPr>
              <w:t xml:space="preserve">Atsižvelgiant į tai, kad </w:t>
            </w:r>
            <w:r w:rsidRPr="0071035B">
              <w:t xml:space="preserve">Plėtros programos priežasties </w:t>
            </w:r>
            <w:r>
              <w:t>„</w:t>
            </w:r>
            <w:r w:rsidRPr="0071035B">
              <w:rPr>
                <w:bCs/>
                <w:szCs w:val="24"/>
              </w:rPr>
              <w:t>2.5. nepatraukli valstybės tarnyba</w:t>
            </w:r>
            <w:r>
              <w:rPr>
                <w:b/>
                <w:szCs w:val="24"/>
              </w:rPr>
              <w:t>“</w:t>
            </w:r>
            <w:r w:rsidRPr="0071035B">
              <w:t xml:space="preserve"> pagrindime </w:t>
            </w:r>
            <w:r w:rsidRPr="0071035B">
              <w:rPr>
                <w:szCs w:val="24"/>
              </w:rPr>
              <w:t xml:space="preserve">aprašoma lyčių lygybės ir lygių galimybių situacija bei daroma išvada, kad moterys turi mažiau galimybių daryti karjerą institucijoje, o </w:t>
            </w:r>
            <w:r w:rsidRPr="0071035B">
              <w:rPr>
                <w:szCs w:val="24"/>
              </w:rPr>
              <w:lastRenderedPageBreak/>
              <w:t>P</w:t>
            </w:r>
            <w:r w:rsidRPr="0071035B">
              <w:rPr>
                <w:szCs w:val="24"/>
                <w:lang w:eastAsia="lt-LT"/>
              </w:rPr>
              <w:t>lėtros</w:t>
            </w:r>
            <w:r w:rsidRPr="0071035B">
              <w:rPr>
                <w:bCs/>
                <w:szCs w:val="24"/>
                <w:lang w:eastAsia="ru-RU"/>
              </w:rPr>
              <w:t xml:space="preserve"> programos</w:t>
            </w:r>
            <w:r w:rsidRPr="0071035B">
              <w:rPr>
                <w:szCs w:val="24"/>
              </w:rPr>
              <w:t xml:space="preserve"> problemų priežasčių medyje nurodoma, kad </w:t>
            </w:r>
            <w:r w:rsidRPr="0071035B">
              <w:t xml:space="preserve">neišlaikomi lyčių lygybės pricipai siekiant karjeros, siūlytina numatyti priemones kaip bus užtikrinamas lyčių lygybės principas siekiant karjeros valstybės tarnyboje, </w:t>
            </w:r>
            <w:r w:rsidRPr="0071035B">
              <w:rPr>
                <w:szCs w:val="24"/>
              </w:rPr>
              <w:t>diplomatinių atstovybių ir konsulinių įstaigų vadovaujančiose pozicijose bei</w:t>
            </w:r>
            <w:r w:rsidRPr="0071035B">
              <w:t xml:space="preserve"> s</w:t>
            </w:r>
            <w:r w:rsidRPr="0071035B">
              <w:rPr>
                <w:szCs w:val="22"/>
                <w:lang w:eastAsia="lt-LT"/>
              </w:rPr>
              <w:t>tiprinant atstovavimą Lietuvos interesams tarptautinėje erdvėje</w:t>
            </w:r>
            <w:r w:rsidRPr="0071035B">
              <w:t>.</w:t>
            </w:r>
            <w:bookmarkEnd w:id="0"/>
          </w:p>
          <w:p w:rsidR="00C100B7" w:rsidRDefault="00C100B7" w:rsidP="0048310D">
            <w:pPr>
              <w:rPr>
                <w:szCs w:val="24"/>
              </w:rPr>
            </w:pPr>
          </w:p>
        </w:tc>
        <w:tc>
          <w:tcPr>
            <w:tcW w:w="6237" w:type="dxa"/>
          </w:tcPr>
          <w:p w:rsidR="00C100B7" w:rsidRDefault="00C100B7" w:rsidP="00B1074E">
            <w:pPr>
              <w:rPr>
                <w:szCs w:val="24"/>
              </w:rPr>
            </w:pPr>
            <w:r w:rsidRPr="00C100B7">
              <w:rPr>
                <w:b/>
                <w:szCs w:val="24"/>
              </w:rPr>
              <w:lastRenderedPageBreak/>
              <w:t xml:space="preserve">Neatsižvelgta. </w:t>
            </w:r>
            <w:r w:rsidR="00920715" w:rsidRPr="00920715">
              <w:rPr>
                <w:szCs w:val="24"/>
              </w:rPr>
              <w:t>P</w:t>
            </w:r>
            <w:r w:rsidRPr="00920715">
              <w:rPr>
                <w:szCs w:val="24"/>
              </w:rPr>
              <w:t>l</w:t>
            </w:r>
            <w:r>
              <w:rPr>
                <w:szCs w:val="24"/>
              </w:rPr>
              <w:t>ėtros programos problemos nepatrauklios valstybės tarnybos priežastį bus siekiama spręsti</w:t>
            </w:r>
            <w:r w:rsidR="00920715">
              <w:rPr>
                <w:szCs w:val="24"/>
              </w:rPr>
              <w:t xml:space="preserve"> daugiausia</w:t>
            </w:r>
            <w:r>
              <w:rPr>
                <w:szCs w:val="24"/>
              </w:rPr>
              <w:t xml:space="preserve"> per </w:t>
            </w:r>
            <w:r w:rsidRPr="0033146E">
              <w:rPr>
                <w:bCs/>
                <w:iCs/>
                <w:szCs w:val="24"/>
              </w:rPr>
              <w:t>2021–2030 m. plėtros programos valdytojo</w:t>
            </w:r>
            <w:r>
              <w:rPr>
                <w:bCs/>
                <w:iCs/>
                <w:szCs w:val="24"/>
              </w:rPr>
              <w:t>s</w:t>
            </w:r>
            <w:r w:rsidRPr="0033146E">
              <w:rPr>
                <w:bCs/>
                <w:iCs/>
                <w:szCs w:val="24"/>
              </w:rPr>
              <w:t xml:space="preserve"> Lietuvos Respublikos vidaus reikalų ministerijos viešojo valdymo </w:t>
            </w:r>
            <w:r w:rsidRPr="0033146E">
              <w:rPr>
                <w:bCs/>
                <w:iCs/>
                <w:szCs w:val="24"/>
              </w:rPr>
              <w:lastRenderedPageBreak/>
              <w:t xml:space="preserve">plėtros </w:t>
            </w:r>
            <w:r>
              <w:rPr>
                <w:bCs/>
                <w:iCs/>
                <w:szCs w:val="24"/>
              </w:rPr>
              <w:t>programą</w:t>
            </w:r>
            <w:r w:rsidR="00920715">
              <w:rPr>
                <w:szCs w:val="24"/>
              </w:rPr>
              <w:t>,</w:t>
            </w:r>
            <w:r>
              <w:rPr>
                <w:szCs w:val="24"/>
              </w:rPr>
              <w:t xml:space="preserve"> taip pat lyčių lygybės principus ministerijoje bus siekiama įgyvendinti </w:t>
            </w:r>
            <w:r w:rsidR="00B1074E">
              <w:rPr>
                <w:szCs w:val="24"/>
              </w:rPr>
              <w:t>p</w:t>
            </w:r>
            <w:bookmarkStart w:id="1" w:name="_GoBack"/>
            <w:bookmarkEnd w:id="1"/>
            <w:r w:rsidR="00B1074E">
              <w:rPr>
                <w:szCs w:val="24"/>
              </w:rPr>
              <w:t>er</w:t>
            </w:r>
            <w:r w:rsidR="00B1074E">
              <w:rPr>
                <w:szCs w:val="24"/>
              </w:rPr>
              <w:t xml:space="preserve"> </w:t>
            </w:r>
            <w:r>
              <w:rPr>
                <w:szCs w:val="24"/>
              </w:rPr>
              <w:t>ministerijos tęstinės veiklos priemones.</w:t>
            </w:r>
          </w:p>
        </w:tc>
      </w:tr>
      <w:tr w:rsidR="00F10E73" w:rsidTr="006C5729">
        <w:tc>
          <w:tcPr>
            <w:tcW w:w="601" w:type="dxa"/>
          </w:tcPr>
          <w:p w:rsidR="00F10E73" w:rsidRPr="0071035B" w:rsidRDefault="006E7274" w:rsidP="0048310D">
            <w:pPr>
              <w:jc w:val="center"/>
              <w:rPr>
                <w:szCs w:val="24"/>
                <w:lang w:val="en-US"/>
              </w:rPr>
            </w:pPr>
            <w:r>
              <w:rPr>
                <w:szCs w:val="24"/>
                <w:lang w:val="en-US"/>
              </w:rPr>
              <w:lastRenderedPageBreak/>
              <w:t>4</w:t>
            </w:r>
            <w:r w:rsidR="00E655AC">
              <w:rPr>
                <w:szCs w:val="24"/>
                <w:lang w:val="en-US"/>
              </w:rPr>
              <w:t>.</w:t>
            </w:r>
          </w:p>
        </w:tc>
        <w:tc>
          <w:tcPr>
            <w:tcW w:w="1563" w:type="dxa"/>
          </w:tcPr>
          <w:p w:rsidR="00F10E73" w:rsidRPr="00AA7508" w:rsidRDefault="0071035B" w:rsidP="0048310D">
            <w:pPr>
              <w:jc w:val="center"/>
              <w:rPr>
                <w:szCs w:val="24"/>
                <w:lang w:val="en-US"/>
              </w:rPr>
            </w:pPr>
            <w:r>
              <w:rPr>
                <w:szCs w:val="24"/>
              </w:rPr>
              <w:t>Švietimo</w:t>
            </w:r>
            <w:r w:rsidR="00E4252C">
              <w:rPr>
                <w:szCs w:val="24"/>
                <w:lang w:val="en-US"/>
              </w:rPr>
              <w:t xml:space="preserve">, </w:t>
            </w:r>
            <w:proofErr w:type="spellStart"/>
            <w:r w:rsidR="00E4252C">
              <w:rPr>
                <w:szCs w:val="24"/>
                <w:lang w:val="en-US"/>
              </w:rPr>
              <w:t>mokslo</w:t>
            </w:r>
            <w:proofErr w:type="spellEnd"/>
            <w:r w:rsidR="00E4252C">
              <w:rPr>
                <w:szCs w:val="24"/>
                <w:lang w:val="en-US"/>
              </w:rPr>
              <w:t xml:space="preserve"> </w:t>
            </w:r>
            <w:proofErr w:type="spellStart"/>
            <w:r w:rsidR="00E4252C">
              <w:rPr>
                <w:szCs w:val="24"/>
                <w:lang w:val="en-US"/>
              </w:rPr>
              <w:t>ir</w:t>
            </w:r>
            <w:proofErr w:type="spellEnd"/>
            <w:r w:rsidR="00E4252C">
              <w:rPr>
                <w:szCs w:val="24"/>
                <w:lang w:val="en-US"/>
              </w:rPr>
              <w:t xml:space="preserve"> </w:t>
            </w:r>
            <w:proofErr w:type="spellStart"/>
            <w:r w:rsidR="00E4252C">
              <w:rPr>
                <w:szCs w:val="24"/>
                <w:lang w:val="en-US"/>
              </w:rPr>
              <w:t>sporto</w:t>
            </w:r>
            <w:proofErr w:type="spellEnd"/>
            <w:r w:rsidR="00E4252C">
              <w:rPr>
                <w:szCs w:val="24"/>
                <w:lang w:val="en-US"/>
              </w:rPr>
              <w:t xml:space="preserve"> </w:t>
            </w:r>
            <w:proofErr w:type="spellStart"/>
            <w:r w:rsidR="00E4252C">
              <w:rPr>
                <w:szCs w:val="24"/>
                <w:lang w:val="en-US"/>
              </w:rPr>
              <w:t>ministerija</w:t>
            </w:r>
            <w:proofErr w:type="spellEnd"/>
          </w:p>
        </w:tc>
        <w:tc>
          <w:tcPr>
            <w:tcW w:w="6053" w:type="dxa"/>
          </w:tcPr>
          <w:p w:rsidR="0071035B" w:rsidRDefault="0071035B" w:rsidP="0048310D">
            <w:pPr>
              <w:spacing w:after="20"/>
              <w:rPr>
                <w:color w:val="000000" w:themeColor="text1"/>
                <w:szCs w:val="24"/>
              </w:rPr>
            </w:pPr>
            <w:r>
              <w:rPr>
                <w:color w:val="000000" w:themeColor="text1"/>
                <w:szCs w:val="24"/>
                <w:shd w:val="clear" w:color="auto" w:fill="FFFFFF"/>
              </w:rPr>
              <w:t>Atkreipiame dėmesį, kad PP pagrindime 1.4. priežasties (Trūksta kompetencijų veikti tarptautinėje erdvėje) aprašyme nurodoma: </w:t>
            </w:r>
            <w:r>
              <w:rPr>
                <w:color w:val="000000" w:themeColor="text1"/>
                <w:szCs w:val="24"/>
                <w:bdr w:val="none" w:sz="0" w:space="0" w:color="auto" w:frame="1"/>
                <w:shd w:val="clear" w:color="auto" w:fill="FFFFFF"/>
              </w:rPr>
              <w:t>,,Institucijos, siųsdamos savo atstovus dirbti į diplomatines atstovybes, neorganizuoja specializuotų kursų, mokymų, skirtų konkrečiam regionui, stinga atitinkamo pasirengimo dirbti su konkretaus pasaulio regiono partneriais, regiono specifikos išmanymo, kalbinių įgūdžių. Taip pat neauginamos naujos kompetencijos, nerengiami nauji darbuotojai, nėra specializuotų studijų programų, bendradarbiavimo su aukštosiomis mokyklomis mechanizmo, neidentifikuoti kiti įrankiai, kurie paskatintų ir prisidėtų prie kryptingo specialistų rengimo, ypač aktualaus diplomatiniam darbui Azijos regione“, </w:t>
            </w:r>
            <w:r>
              <w:rPr>
                <w:color w:val="000000" w:themeColor="text1"/>
                <w:szCs w:val="24"/>
                <w:shd w:val="clear" w:color="auto" w:fill="FFFFFF"/>
              </w:rPr>
              <w:t xml:space="preserve">tačiau nėra nurodoma, kokiais šaltiniais ar atliktais tyrimais pagrįstos šios išvados ir kokių konkrečiai specialistų ar studijų programų trūksta. </w:t>
            </w:r>
          </w:p>
          <w:p w:rsidR="00F10E73" w:rsidRDefault="00F10E73" w:rsidP="0048310D">
            <w:pPr>
              <w:rPr>
                <w:szCs w:val="24"/>
              </w:rPr>
            </w:pPr>
          </w:p>
        </w:tc>
        <w:tc>
          <w:tcPr>
            <w:tcW w:w="6237" w:type="dxa"/>
          </w:tcPr>
          <w:p w:rsidR="00602666" w:rsidRPr="009C4EC4" w:rsidRDefault="00602666" w:rsidP="0048310D">
            <w:pPr>
              <w:rPr>
                <w:szCs w:val="22"/>
              </w:rPr>
            </w:pPr>
            <w:r w:rsidRPr="00C63DB5">
              <w:rPr>
                <w:b/>
                <w:szCs w:val="24"/>
              </w:rPr>
              <w:t>Atsižvelgta.</w:t>
            </w:r>
            <w:r>
              <w:rPr>
                <w:szCs w:val="24"/>
              </w:rPr>
              <w:t xml:space="preserve"> Problemos priežastis nagrinėjo ir ekspertiniu būdu identifikavo specialiai sukurta darbo grupė, kuri nustatė, kad </w:t>
            </w:r>
            <w:r w:rsidR="00C63DB5">
              <w:rPr>
                <w:szCs w:val="24"/>
              </w:rPr>
              <w:t>neretai</w:t>
            </w:r>
            <w:r>
              <w:rPr>
                <w:szCs w:val="24"/>
              </w:rPr>
              <w:t xml:space="preserve"> diplomatams trūksta specialiųjų kompetencijų darbui konkrečiame regione (pvz.</w:t>
            </w:r>
            <w:r w:rsidR="00920715">
              <w:rPr>
                <w:szCs w:val="24"/>
              </w:rPr>
              <w:t>,</w:t>
            </w:r>
            <w:r>
              <w:rPr>
                <w:szCs w:val="24"/>
              </w:rPr>
              <w:t xml:space="preserve"> žinių apie vietos visuomenės socialinės, kultūrinės, politinės aplinkos ir pan. ypatumus). Problemos priežastis bus šalinama </w:t>
            </w:r>
            <w:r w:rsidR="00920715">
              <w:rPr>
                <w:szCs w:val="24"/>
              </w:rPr>
              <w:t>taikant</w:t>
            </w:r>
            <w:r>
              <w:rPr>
                <w:szCs w:val="24"/>
              </w:rPr>
              <w:t xml:space="preserve"> pažangos priemonę „</w:t>
            </w:r>
            <w:r w:rsidRPr="009C4EC4">
              <w:rPr>
                <w:szCs w:val="22"/>
              </w:rPr>
              <w:t>Didinti diplomatini</w:t>
            </w:r>
            <w:r>
              <w:rPr>
                <w:szCs w:val="22"/>
              </w:rPr>
              <w:t xml:space="preserve">o atstovavimo tinklo efektyvumą“, kurioje planuojamos </w:t>
            </w:r>
            <w:r w:rsidR="00920715">
              <w:rPr>
                <w:szCs w:val="22"/>
              </w:rPr>
              <w:t>atitinkamos</w:t>
            </w:r>
            <w:r>
              <w:rPr>
                <w:szCs w:val="22"/>
              </w:rPr>
              <w:t xml:space="preserve"> veiklos, kaip </w:t>
            </w:r>
            <w:r w:rsidR="00920715">
              <w:rPr>
                <w:szCs w:val="22"/>
              </w:rPr>
              <w:t xml:space="preserve">antai </w:t>
            </w:r>
            <w:r>
              <w:rPr>
                <w:szCs w:val="22"/>
              </w:rPr>
              <w:t>specializuotų mokymų organizavimas</w:t>
            </w:r>
            <w:r w:rsidR="00C63DB5">
              <w:rPr>
                <w:szCs w:val="22"/>
              </w:rPr>
              <w:t xml:space="preserve"> išvykstantiems</w:t>
            </w:r>
            <w:r>
              <w:rPr>
                <w:szCs w:val="22"/>
              </w:rPr>
              <w:t xml:space="preserve"> diplomatams. </w:t>
            </w:r>
            <w:r w:rsidR="00C63DB5">
              <w:rPr>
                <w:szCs w:val="22"/>
              </w:rPr>
              <w:t xml:space="preserve">Dėl </w:t>
            </w:r>
            <w:r w:rsidR="00920715">
              <w:rPr>
                <w:szCs w:val="22"/>
              </w:rPr>
              <w:t xml:space="preserve">kol kas </w:t>
            </w:r>
            <w:r w:rsidR="00C63DB5">
              <w:rPr>
                <w:szCs w:val="22"/>
              </w:rPr>
              <w:t>nedidelio specialistų poreikio nėra tikslinga kurti atskir</w:t>
            </w:r>
            <w:r w:rsidR="00920715">
              <w:rPr>
                <w:szCs w:val="22"/>
              </w:rPr>
              <w:t>ų</w:t>
            </w:r>
            <w:r w:rsidR="00C63DB5">
              <w:rPr>
                <w:szCs w:val="22"/>
              </w:rPr>
              <w:t xml:space="preserve"> specializuot</w:t>
            </w:r>
            <w:r w:rsidR="00920715">
              <w:rPr>
                <w:szCs w:val="22"/>
              </w:rPr>
              <w:t>ų</w:t>
            </w:r>
            <w:r w:rsidR="00C63DB5">
              <w:rPr>
                <w:szCs w:val="22"/>
              </w:rPr>
              <w:t xml:space="preserve"> studijų program</w:t>
            </w:r>
            <w:r w:rsidR="00920715">
              <w:rPr>
                <w:szCs w:val="22"/>
              </w:rPr>
              <w:t>ų</w:t>
            </w:r>
            <w:r w:rsidR="00C63DB5">
              <w:rPr>
                <w:szCs w:val="22"/>
              </w:rPr>
              <w:t>, todėl atitinkamai buvo patikslintas plėtros programos problemos priežasties aprašymas.</w:t>
            </w:r>
          </w:p>
          <w:p w:rsidR="00F10E73" w:rsidRDefault="00F10E73" w:rsidP="0048310D">
            <w:pPr>
              <w:rPr>
                <w:szCs w:val="24"/>
              </w:rPr>
            </w:pPr>
          </w:p>
        </w:tc>
      </w:tr>
      <w:tr w:rsidR="00E655AC" w:rsidTr="006C5729">
        <w:tc>
          <w:tcPr>
            <w:tcW w:w="601" w:type="dxa"/>
          </w:tcPr>
          <w:p w:rsidR="00E655AC" w:rsidRPr="0071035B" w:rsidRDefault="006E7274" w:rsidP="0048310D">
            <w:pPr>
              <w:jc w:val="center"/>
              <w:rPr>
                <w:szCs w:val="24"/>
                <w:lang w:val="en-US"/>
              </w:rPr>
            </w:pPr>
            <w:r>
              <w:rPr>
                <w:szCs w:val="24"/>
                <w:lang w:val="en-US"/>
              </w:rPr>
              <w:t>5</w:t>
            </w:r>
            <w:r w:rsidR="00E655AC">
              <w:rPr>
                <w:szCs w:val="24"/>
                <w:lang w:val="en-US"/>
              </w:rPr>
              <w:t>.</w:t>
            </w:r>
          </w:p>
        </w:tc>
        <w:tc>
          <w:tcPr>
            <w:tcW w:w="1563" w:type="dxa"/>
            <w:vMerge w:val="restart"/>
          </w:tcPr>
          <w:p w:rsidR="00E655AC" w:rsidRDefault="00E655AC" w:rsidP="0048310D">
            <w:pPr>
              <w:jc w:val="center"/>
              <w:rPr>
                <w:szCs w:val="24"/>
              </w:rPr>
            </w:pPr>
            <w:r>
              <w:rPr>
                <w:szCs w:val="24"/>
              </w:rPr>
              <w:t>Vidaus reikalų ministerija</w:t>
            </w:r>
          </w:p>
        </w:tc>
        <w:tc>
          <w:tcPr>
            <w:tcW w:w="6053" w:type="dxa"/>
          </w:tcPr>
          <w:p w:rsidR="00E655AC" w:rsidRDefault="00E655AC" w:rsidP="0048310D">
            <w:pPr>
              <w:rPr>
                <w:iCs/>
                <w:szCs w:val="24"/>
              </w:rPr>
            </w:pPr>
            <w:r w:rsidRPr="00171B83">
              <w:rPr>
                <w:szCs w:val="24"/>
              </w:rPr>
              <w:t>Nutarimo projektu siūlomame patvirtinti 2021–2030 metų plėtros programos valdytojos Lietuvos Respublikos užsienio reikalų ministerijos užsienyje matomos ir įtakingos Lietuvos plėtros programos (toliau – plėtros programa) projekte nurodyta</w:t>
            </w:r>
            <w:r>
              <w:rPr>
                <w:szCs w:val="24"/>
              </w:rPr>
              <w:t>,</w:t>
            </w:r>
            <w:r w:rsidRPr="00171B83">
              <w:rPr>
                <w:szCs w:val="24"/>
              </w:rPr>
              <w:t xml:space="preserve"> kad </w:t>
            </w:r>
            <w:r w:rsidRPr="005200BB">
              <w:rPr>
                <w:szCs w:val="24"/>
              </w:rPr>
              <w:t>1 problemos</w:t>
            </w:r>
            <w:r w:rsidRPr="00171B83">
              <w:rPr>
                <w:szCs w:val="24"/>
              </w:rPr>
              <w:t xml:space="preserve"> </w:t>
            </w:r>
            <w:r w:rsidRPr="00171B83">
              <w:rPr>
                <w:iCs/>
                <w:szCs w:val="24"/>
              </w:rPr>
              <w:t xml:space="preserve">1.1.3. priežastis </w:t>
            </w:r>
            <w:r>
              <w:t>„</w:t>
            </w:r>
            <w:r w:rsidRPr="00171B83">
              <w:rPr>
                <w:iCs/>
                <w:szCs w:val="24"/>
              </w:rPr>
              <w:t>konsulinės paslaugos lengviau pasiekiamos tik arti Lietuvos Respublikos diplomatinių atstovybių ir konsulatų gyvenantiems/esantiems Lietuvos piliečiams ir diasporos atstovams</w:t>
            </w:r>
            <w:r>
              <w:rPr>
                <w:iCs/>
                <w:szCs w:val="24"/>
              </w:rPr>
              <w:t>“</w:t>
            </w:r>
            <w:r w:rsidRPr="00171B83">
              <w:rPr>
                <w:iCs/>
                <w:szCs w:val="24"/>
              </w:rPr>
              <w:t xml:space="preserve"> bus sprendžiama įgyvendinant NPP </w:t>
            </w:r>
            <w:r w:rsidRPr="00171B83">
              <w:rPr>
                <w:bCs/>
                <w:szCs w:val="24"/>
              </w:rPr>
              <w:t>1.6 uždavinį</w:t>
            </w:r>
            <w:r w:rsidRPr="00171B83">
              <w:rPr>
                <w:b/>
                <w:bCs/>
                <w:szCs w:val="24"/>
              </w:rPr>
              <w:t xml:space="preserve"> </w:t>
            </w:r>
            <w:r w:rsidRPr="00171B83">
              <w:rPr>
                <w:iCs/>
                <w:szCs w:val="24"/>
              </w:rPr>
              <w:lastRenderedPageBreak/>
              <w:t>„</w:t>
            </w:r>
            <w:r w:rsidRPr="00171B83">
              <w:rPr>
                <w:szCs w:val="24"/>
              </w:rPr>
              <w:t>Skatinti valstybės skaitmeninimą</w:t>
            </w:r>
            <w:r w:rsidRPr="00171B83">
              <w:rPr>
                <w:iCs/>
                <w:szCs w:val="24"/>
              </w:rPr>
              <w:t>“ (atsakinga – Lietuvos Respublikos ekonomikos ir inovacijų ministerija) ir NPP 8.7 uždavinį „</w:t>
            </w:r>
            <w:r w:rsidRPr="00171B83">
              <w:rPr>
                <w:szCs w:val="24"/>
              </w:rPr>
              <w:t>Gerinti viešojo valdymo institucijų teikiamų paslaugų kokybę, didinti jų prieinamumą ir patrauklumą</w:t>
            </w:r>
            <w:r w:rsidRPr="00171B83">
              <w:rPr>
                <w:iCs/>
                <w:szCs w:val="24"/>
              </w:rPr>
              <w:t>“ (atsakinga – Lietuvos Respublikos vidaus reikalų ministerija (toliau – VRM)“.</w:t>
            </w:r>
            <w:r>
              <w:rPr>
                <w:iCs/>
                <w:szCs w:val="24"/>
              </w:rPr>
              <w:t xml:space="preserve"> </w:t>
            </w:r>
          </w:p>
          <w:p w:rsidR="00E655AC" w:rsidRPr="00400AFA" w:rsidRDefault="00E655AC" w:rsidP="0048310D">
            <w:pPr>
              <w:rPr>
                <w:iCs/>
                <w:szCs w:val="24"/>
              </w:rPr>
            </w:pPr>
            <w:r w:rsidRPr="00400AFA">
              <w:rPr>
                <w:iCs/>
                <w:szCs w:val="24"/>
              </w:rPr>
              <w:t xml:space="preserve">Abejojame, ar </w:t>
            </w:r>
            <w:r>
              <w:rPr>
                <w:iCs/>
                <w:szCs w:val="24"/>
              </w:rPr>
              <w:t xml:space="preserve">ši </w:t>
            </w:r>
            <w:r w:rsidRPr="00400AFA">
              <w:rPr>
                <w:iCs/>
                <w:szCs w:val="24"/>
              </w:rPr>
              <w:t xml:space="preserve">priežastis galės būti šalinama įgyvendinant NPP 8.7 uždavinį. </w:t>
            </w:r>
            <w:r>
              <w:rPr>
                <w:iCs/>
                <w:szCs w:val="24"/>
              </w:rPr>
              <w:t>Plėtros programos pagrindime pabrėžiamas k</w:t>
            </w:r>
            <w:r w:rsidRPr="005C7A48">
              <w:rPr>
                <w:iCs/>
                <w:szCs w:val="24"/>
              </w:rPr>
              <w:t>onsulinių paslaugų skaitmenizavimas</w:t>
            </w:r>
            <w:r>
              <w:rPr>
                <w:iCs/>
                <w:szCs w:val="24"/>
              </w:rPr>
              <w:t xml:space="preserve">, </w:t>
            </w:r>
            <w:r w:rsidRPr="005C7A48">
              <w:rPr>
                <w:iCs/>
                <w:szCs w:val="24"/>
              </w:rPr>
              <w:t>konsulines funkcijas maksimaliai perkel</w:t>
            </w:r>
            <w:r>
              <w:rPr>
                <w:iCs/>
                <w:szCs w:val="24"/>
              </w:rPr>
              <w:t>iant</w:t>
            </w:r>
            <w:r w:rsidRPr="005C7A48">
              <w:rPr>
                <w:iCs/>
                <w:szCs w:val="24"/>
              </w:rPr>
              <w:t xml:space="preserve"> į elektroninę erdvę i</w:t>
            </w:r>
            <w:r>
              <w:rPr>
                <w:iCs/>
                <w:szCs w:val="24"/>
              </w:rPr>
              <w:t>r</w:t>
            </w:r>
            <w:r w:rsidRPr="005C7A48">
              <w:rPr>
                <w:iCs/>
                <w:szCs w:val="24"/>
              </w:rPr>
              <w:t xml:space="preserve"> suku</w:t>
            </w:r>
            <w:r>
              <w:rPr>
                <w:iCs/>
                <w:szCs w:val="24"/>
              </w:rPr>
              <w:t>riant</w:t>
            </w:r>
            <w:r w:rsidRPr="005C7A48">
              <w:rPr>
                <w:iCs/>
                <w:szCs w:val="24"/>
              </w:rPr>
              <w:t xml:space="preserve"> užsienyje gyvenančių Lietuvos Respublikos piliečių asmens tapatybės nustatymo nuotoliniu būdu įrankį. Taip būtų didinamas konsulinių paslaugų prieinamumas.</w:t>
            </w:r>
            <w:r>
              <w:rPr>
                <w:iCs/>
                <w:szCs w:val="24"/>
              </w:rPr>
              <w:t xml:space="preserve"> Pažymėtina, kad, v</w:t>
            </w:r>
            <w:r w:rsidRPr="00400AFA">
              <w:rPr>
                <w:iCs/>
                <w:szCs w:val="24"/>
              </w:rPr>
              <w:t>ykdant 2021–2030 m. plėtros programos valdytojo Lietuvos Respublikos vidaus reikalų ministerijos viešojo valdymo plėtros programos projekte šiam uždaviniui įgyvendinti suplanuotą priemonę „tobulinti viešojo sektoriaus įstaigų teikiamas administracines ir viešąsias paslaugas: didinti paslaugų prieinamumą, jas skaitmenizuojant“</w:t>
            </w:r>
            <w:r>
              <w:rPr>
                <w:iCs/>
                <w:szCs w:val="24"/>
              </w:rPr>
              <w:t>,</w:t>
            </w:r>
            <w:r w:rsidRPr="00400AFA">
              <w:rPr>
                <w:iCs/>
                <w:szCs w:val="24"/>
              </w:rPr>
              <w:t xml:space="preserve"> bus vykdomos veiklos, skirtos paslaugų teikimo </w:t>
            </w:r>
            <w:proofErr w:type="spellStart"/>
            <w:r w:rsidRPr="00400AFA">
              <w:rPr>
                <w:iCs/>
                <w:szCs w:val="24"/>
              </w:rPr>
              <w:t>inovatyviais</w:t>
            </w:r>
            <w:proofErr w:type="spellEnd"/>
            <w:r w:rsidRPr="00400AFA">
              <w:rPr>
                <w:iCs/>
                <w:szCs w:val="24"/>
              </w:rPr>
              <w:t xml:space="preserve"> technologiniais būdais mechanizm</w:t>
            </w:r>
            <w:r>
              <w:rPr>
                <w:iCs/>
                <w:szCs w:val="24"/>
              </w:rPr>
              <w:t>ui</w:t>
            </w:r>
            <w:r w:rsidRPr="00400AFA">
              <w:rPr>
                <w:iCs/>
                <w:szCs w:val="24"/>
              </w:rPr>
              <w:t>, užtikrinan</w:t>
            </w:r>
            <w:r>
              <w:rPr>
                <w:iCs/>
                <w:szCs w:val="24"/>
              </w:rPr>
              <w:t>čiam</w:t>
            </w:r>
            <w:r w:rsidRPr="00400AFA">
              <w:rPr>
                <w:iCs/>
                <w:szCs w:val="24"/>
              </w:rPr>
              <w:t xml:space="preserve"> centralizuotą šių paslaugų perkėlimo į elektroninę erdvę valdymą</w:t>
            </w:r>
            <w:r>
              <w:rPr>
                <w:iCs/>
                <w:szCs w:val="24"/>
              </w:rPr>
              <w:t>,</w:t>
            </w:r>
            <w:r w:rsidRPr="00702BA8">
              <w:rPr>
                <w:iCs/>
                <w:szCs w:val="24"/>
              </w:rPr>
              <w:t xml:space="preserve"> </w:t>
            </w:r>
            <w:r w:rsidRPr="00400AFA">
              <w:rPr>
                <w:iCs/>
                <w:szCs w:val="24"/>
              </w:rPr>
              <w:t xml:space="preserve">sukurti ir įdiegti, o su atskirų paslaugų (įskaitant ir konsulines paslaugas) perkėlimu į elektroninę erdvę susijusios problemos (technologinės ir pan.) nebus sprendžiamos. Atsižvelgdami į tai, siūlytume įvertinti NPP 8.7 uždavinio nurodymo </w:t>
            </w:r>
            <w:r>
              <w:rPr>
                <w:iCs/>
                <w:szCs w:val="24"/>
              </w:rPr>
              <w:t xml:space="preserve">sprendžiant </w:t>
            </w:r>
            <w:r w:rsidRPr="00F44821">
              <w:rPr>
                <w:iCs/>
                <w:szCs w:val="24"/>
              </w:rPr>
              <w:t>1 problemos 1.1.3. priežast</w:t>
            </w:r>
            <w:r>
              <w:rPr>
                <w:iCs/>
                <w:szCs w:val="24"/>
              </w:rPr>
              <w:t>į</w:t>
            </w:r>
            <w:r w:rsidRPr="00F44821">
              <w:rPr>
                <w:iCs/>
                <w:szCs w:val="24"/>
              </w:rPr>
              <w:t xml:space="preserve"> </w:t>
            </w:r>
            <w:r w:rsidRPr="00400AFA">
              <w:rPr>
                <w:iCs/>
                <w:szCs w:val="24"/>
              </w:rPr>
              <w:t>tikslingumą.</w:t>
            </w:r>
          </w:p>
          <w:p w:rsidR="00E655AC" w:rsidRDefault="00E655AC" w:rsidP="0048310D">
            <w:pPr>
              <w:spacing w:after="20"/>
              <w:ind w:firstLine="852"/>
              <w:rPr>
                <w:color w:val="000000" w:themeColor="text1"/>
                <w:szCs w:val="24"/>
                <w:shd w:val="clear" w:color="auto" w:fill="FFFFFF"/>
              </w:rPr>
            </w:pPr>
          </w:p>
        </w:tc>
        <w:tc>
          <w:tcPr>
            <w:tcW w:w="6237" w:type="dxa"/>
          </w:tcPr>
          <w:p w:rsidR="00297BB2" w:rsidRDefault="005A2AAD" w:rsidP="00297BB2">
            <w:pPr>
              <w:rPr>
                <w:sz w:val="22"/>
              </w:rPr>
            </w:pPr>
            <w:r w:rsidRPr="005A2AAD">
              <w:rPr>
                <w:b/>
                <w:szCs w:val="24"/>
              </w:rPr>
              <w:lastRenderedPageBreak/>
              <w:t>Neatsižvelgta.</w:t>
            </w:r>
            <w:r>
              <w:rPr>
                <w:b/>
                <w:szCs w:val="24"/>
              </w:rPr>
              <w:t xml:space="preserve"> </w:t>
            </w:r>
            <w:r w:rsidR="00297BB2" w:rsidRPr="00297BB2">
              <w:t>Konsulinės funkcijos, apibrėžtos Lietuvos Respublikos konsuliniame statute ir atliekamos užsienio valstybėse, iš dalies yra tos pačios administracinės paslaugos, kurios Lietuvos Respublikoje teikiamos Lietuvoje gyvenantiems piliečiams.</w:t>
            </w:r>
            <w:r w:rsidR="00297BB2">
              <w:t xml:space="preserve"> Be to, didžioji dalis konsulinių paslaugų yra priskirtinos vidaus reikalų ministro valdymo sritims. Todėl įgyvendin</w:t>
            </w:r>
            <w:r w:rsidR="00920715">
              <w:t>ant</w:t>
            </w:r>
            <w:r w:rsidR="00297BB2">
              <w:t xml:space="preserve"> NPP 8.7 uždavinį „Gerinti viešojo valdymo institucijų teikiamų paslaugų kokybę, didinti jų prieinamumą ir patrauklumą“ turėtų būti siekiama kuo </w:t>
            </w:r>
            <w:r w:rsidR="00297BB2">
              <w:lastRenderedPageBreak/>
              <w:t xml:space="preserve">daugiau administracinių paslaugų suskaitmeninti, </w:t>
            </w:r>
            <w:r w:rsidR="00920715">
              <w:t>kad</w:t>
            </w:r>
            <w:r w:rsidR="00297BB2">
              <w:t xml:space="preserve"> jos būtų lengviau prieinamos </w:t>
            </w:r>
            <w:r w:rsidR="00920715">
              <w:t xml:space="preserve">ir </w:t>
            </w:r>
            <w:r w:rsidR="00297BB2">
              <w:t xml:space="preserve">Lietuvoje, </w:t>
            </w:r>
            <w:r w:rsidR="00920715">
              <w:t xml:space="preserve">ir </w:t>
            </w:r>
            <w:r w:rsidR="00297BB2">
              <w:t xml:space="preserve">užsienyje esantiems piliečiams. </w:t>
            </w:r>
          </w:p>
          <w:p w:rsidR="00E655AC" w:rsidRPr="00582594" w:rsidRDefault="00E655AC" w:rsidP="00297BB2">
            <w:pPr>
              <w:rPr>
                <w:b/>
                <w:szCs w:val="24"/>
                <w:lang w:val="en-US"/>
              </w:rPr>
            </w:pPr>
          </w:p>
        </w:tc>
      </w:tr>
      <w:tr w:rsidR="00E655AC" w:rsidTr="006C5729">
        <w:tc>
          <w:tcPr>
            <w:tcW w:w="601" w:type="dxa"/>
          </w:tcPr>
          <w:p w:rsidR="00E655AC" w:rsidRPr="0071035B" w:rsidRDefault="006E7274" w:rsidP="0048310D">
            <w:pPr>
              <w:jc w:val="center"/>
              <w:rPr>
                <w:szCs w:val="24"/>
                <w:lang w:val="en-US"/>
              </w:rPr>
            </w:pPr>
            <w:r>
              <w:rPr>
                <w:szCs w:val="24"/>
                <w:lang w:val="en-US"/>
              </w:rPr>
              <w:lastRenderedPageBreak/>
              <w:t>6</w:t>
            </w:r>
            <w:r w:rsidR="00E655AC">
              <w:rPr>
                <w:szCs w:val="24"/>
                <w:lang w:val="en-US"/>
              </w:rPr>
              <w:t>.</w:t>
            </w:r>
          </w:p>
        </w:tc>
        <w:tc>
          <w:tcPr>
            <w:tcW w:w="1563" w:type="dxa"/>
            <w:vMerge/>
          </w:tcPr>
          <w:p w:rsidR="00E655AC" w:rsidRDefault="00E655AC" w:rsidP="0048310D">
            <w:pPr>
              <w:jc w:val="center"/>
              <w:rPr>
                <w:szCs w:val="24"/>
              </w:rPr>
            </w:pPr>
          </w:p>
        </w:tc>
        <w:tc>
          <w:tcPr>
            <w:tcW w:w="6053" w:type="dxa"/>
          </w:tcPr>
          <w:p w:rsidR="00E655AC" w:rsidRPr="00F44821" w:rsidRDefault="00E655AC" w:rsidP="0048310D">
            <w:pPr>
              <w:rPr>
                <w:iCs/>
                <w:szCs w:val="24"/>
              </w:rPr>
            </w:pPr>
            <w:r w:rsidRPr="00A956A3">
              <w:rPr>
                <w:iCs/>
                <w:szCs w:val="24"/>
              </w:rPr>
              <w:t xml:space="preserve">Plėtros programos pagrindime analizuojant 1 problemos 1.1.3. priežastį nurodoma, kad „Analizuojant diplomatinėse atstovybėse ir konsulinėse įstaigose atliekamų konsulinių paslaugų prieinamumą, pažymėtina, kad šiuo metu taikomi </w:t>
            </w:r>
            <w:r w:rsidRPr="00A956A3">
              <w:rPr>
                <w:i/>
                <w:iCs/>
                <w:szCs w:val="24"/>
              </w:rPr>
              <w:t xml:space="preserve">asmens tapatybės nustatymo įrankiai yra nepakankami ir </w:t>
            </w:r>
            <w:r w:rsidRPr="00A956A3">
              <w:rPr>
                <w:i/>
                <w:iCs/>
                <w:szCs w:val="24"/>
              </w:rPr>
              <w:lastRenderedPageBreak/>
              <w:t>nepritaikyti užsienyje gyvenantiems asmenims</w:t>
            </w:r>
            <w:r w:rsidRPr="00A956A3">
              <w:rPr>
                <w:iCs/>
                <w:szCs w:val="24"/>
              </w:rPr>
              <w:t>, todėl kai kuriems piliečiams konsulinės paslaugos yra sunkiai prieinamos. Didžioji dauguma užsienio valstybėse gyvenančių Lietuvos Respublikos piliečių neturi ir nenaudoja elektroninės bankininkystės, o asmens tapatybės kortelės sertifikatas (su kuriuo turint atitinkamą įrangą galima pasirašyti dokumentus el. parašu) galioja tik trejus metus, galimybės pratęsti sertifikato galiojimo kol kas atstovybėse nėra – tai yra vieninteliai įrankiai, kuriais pilietis gali prisijungti prie elektroninių valdžios vartų ir gauti jam reikalingas paslaugas.</w:t>
            </w:r>
            <w:r w:rsidRPr="00A956A3">
              <w:rPr>
                <w:szCs w:val="24"/>
              </w:rPr>
              <w:t xml:space="preserve"> </w:t>
            </w:r>
            <w:r w:rsidRPr="00A956A3">
              <w:rPr>
                <w:iCs/>
                <w:szCs w:val="24"/>
              </w:rPr>
              <w:t xml:space="preserve">Todėl paslaugų skaitmenizavimas </w:t>
            </w:r>
            <w:r w:rsidRPr="00A956A3">
              <w:rPr>
                <w:i/>
                <w:iCs/>
                <w:szCs w:val="24"/>
              </w:rPr>
              <w:t>sukuriant užsienyje gyvenančių Lietuvos Respublikos piliečių asmens tapatybės nustatymo nuotoliniu būdu įrankį</w:t>
            </w:r>
            <w:r w:rsidRPr="00A956A3">
              <w:rPr>
                <w:iCs/>
                <w:szCs w:val="24"/>
              </w:rPr>
              <w:t xml:space="preserve"> būtų ne tik didinamas konsulinių paslaugų prieinamumas, bet ir konsulinių paslaugų gavimo nuotoliniu būdu patrauklumas.“</w:t>
            </w:r>
          </w:p>
          <w:p w:rsidR="00E655AC" w:rsidRPr="00A956A3" w:rsidRDefault="00E655AC" w:rsidP="0048310D">
            <w:pPr>
              <w:rPr>
                <w:iCs/>
                <w:szCs w:val="24"/>
              </w:rPr>
            </w:pPr>
            <w:r>
              <w:rPr>
                <w:iCs/>
                <w:szCs w:val="24"/>
              </w:rPr>
              <w:t>Mūsų nuomone, a</w:t>
            </w:r>
            <w:r w:rsidRPr="00A956A3">
              <w:rPr>
                <w:iCs/>
                <w:szCs w:val="24"/>
              </w:rPr>
              <w:t xml:space="preserve">smens tapatybės kortelė (ATK) </w:t>
            </w:r>
            <w:r>
              <w:rPr>
                <w:iCs/>
                <w:szCs w:val="24"/>
              </w:rPr>
              <w:t xml:space="preserve">nepagrįstai nurodyta kaip </w:t>
            </w:r>
            <w:r w:rsidRPr="00A956A3">
              <w:rPr>
                <w:i/>
                <w:iCs/>
                <w:szCs w:val="24"/>
              </w:rPr>
              <w:t>nepakankam</w:t>
            </w:r>
            <w:r>
              <w:rPr>
                <w:i/>
                <w:iCs/>
                <w:szCs w:val="24"/>
              </w:rPr>
              <w:t>a</w:t>
            </w:r>
            <w:r w:rsidRPr="00A956A3">
              <w:rPr>
                <w:i/>
                <w:iCs/>
                <w:szCs w:val="24"/>
              </w:rPr>
              <w:t xml:space="preserve"> ir nepritaikyt</w:t>
            </w:r>
            <w:r>
              <w:rPr>
                <w:i/>
                <w:iCs/>
                <w:szCs w:val="24"/>
              </w:rPr>
              <w:t>a</w:t>
            </w:r>
            <w:r w:rsidRPr="00A956A3">
              <w:rPr>
                <w:i/>
                <w:iCs/>
                <w:szCs w:val="24"/>
              </w:rPr>
              <w:t xml:space="preserve"> užsienyje gyvenantiems asmenims</w:t>
            </w:r>
            <w:r>
              <w:rPr>
                <w:i/>
                <w:iCs/>
                <w:szCs w:val="24"/>
              </w:rPr>
              <w:t xml:space="preserve">. </w:t>
            </w:r>
            <w:r w:rsidRPr="00E20597">
              <w:rPr>
                <w:iCs/>
                <w:szCs w:val="24"/>
              </w:rPr>
              <w:t xml:space="preserve">ATK el. atpažinties schema yra notifikuota pagal </w:t>
            </w:r>
            <w:proofErr w:type="spellStart"/>
            <w:r w:rsidRPr="00E20597">
              <w:rPr>
                <w:iCs/>
                <w:szCs w:val="24"/>
              </w:rPr>
              <w:t>eIDAS</w:t>
            </w:r>
            <w:proofErr w:type="spellEnd"/>
            <w:r>
              <w:rPr>
                <w:iCs/>
                <w:szCs w:val="24"/>
              </w:rPr>
              <w:t xml:space="preserve"> reglamentą</w:t>
            </w:r>
            <w:r w:rsidRPr="00E20597">
              <w:rPr>
                <w:iCs/>
                <w:szCs w:val="24"/>
              </w:rPr>
              <w:t xml:space="preserve">, </w:t>
            </w:r>
            <w:r>
              <w:rPr>
                <w:iCs/>
                <w:szCs w:val="24"/>
              </w:rPr>
              <w:t xml:space="preserve">jai nustatytas aukščiausias saugumo lygis, </w:t>
            </w:r>
            <w:r w:rsidRPr="00E20597">
              <w:rPr>
                <w:iCs/>
                <w:szCs w:val="24"/>
              </w:rPr>
              <w:t>su ja galima gauti el. būdu teikiamas paslaugas ir kitose E</w:t>
            </w:r>
            <w:r>
              <w:rPr>
                <w:iCs/>
                <w:szCs w:val="24"/>
              </w:rPr>
              <w:t>S</w:t>
            </w:r>
            <w:r w:rsidRPr="00E20597">
              <w:rPr>
                <w:iCs/>
                <w:szCs w:val="24"/>
              </w:rPr>
              <w:t xml:space="preserve"> valstybėse narėse</w:t>
            </w:r>
            <w:r>
              <w:rPr>
                <w:iCs/>
                <w:szCs w:val="24"/>
              </w:rPr>
              <w:t xml:space="preserve">. Todėl </w:t>
            </w:r>
            <w:r w:rsidRPr="00E20597">
              <w:rPr>
                <w:iCs/>
                <w:szCs w:val="24"/>
              </w:rPr>
              <w:t>ATK</w:t>
            </w:r>
            <w:r>
              <w:rPr>
                <w:iCs/>
                <w:szCs w:val="24"/>
              </w:rPr>
              <w:t xml:space="preserve"> </w:t>
            </w:r>
            <w:r w:rsidRPr="00A956A3">
              <w:rPr>
                <w:iCs/>
                <w:szCs w:val="24"/>
              </w:rPr>
              <w:t xml:space="preserve">privalo ir turėtų būti elektroninės atpažinties priemonė </w:t>
            </w:r>
            <w:r>
              <w:rPr>
                <w:iCs/>
                <w:szCs w:val="24"/>
              </w:rPr>
              <w:t>dėl</w:t>
            </w:r>
            <w:r w:rsidRPr="00A956A3">
              <w:rPr>
                <w:iCs/>
                <w:szCs w:val="24"/>
              </w:rPr>
              <w:t xml:space="preserve"> el. būdu teikiamų </w:t>
            </w:r>
            <w:r w:rsidRPr="00E13CDC">
              <w:rPr>
                <w:iCs/>
                <w:szCs w:val="24"/>
              </w:rPr>
              <w:t xml:space="preserve">konsulinių </w:t>
            </w:r>
            <w:r w:rsidRPr="00A956A3">
              <w:rPr>
                <w:iCs/>
                <w:szCs w:val="24"/>
              </w:rPr>
              <w:t xml:space="preserve">paslaugų ir </w:t>
            </w:r>
            <w:r w:rsidRPr="00E20597">
              <w:rPr>
                <w:iCs/>
                <w:szCs w:val="24"/>
              </w:rPr>
              <w:t>asmens tapatybės nuotoliniu būdu</w:t>
            </w:r>
            <w:r w:rsidRPr="00E20597">
              <w:rPr>
                <w:i/>
                <w:iCs/>
                <w:szCs w:val="24"/>
              </w:rPr>
              <w:t xml:space="preserve"> </w:t>
            </w:r>
            <w:r w:rsidRPr="00E20597">
              <w:rPr>
                <w:iCs/>
                <w:szCs w:val="24"/>
              </w:rPr>
              <w:t xml:space="preserve">nustatymo </w:t>
            </w:r>
            <w:r w:rsidRPr="00A956A3">
              <w:rPr>
                <w:iCs/>
                <w:szCs w:val="24"/>
              </w:rPr>
              <w:t xml:space="preserve">įrankis (nes ATK yra </w:t>
            </w:r>
            <w:r w:rsidRPr="00E13CDC">
              <w:rPr>
                <w:bCs/>
                <w:iCs/>
                <w:szCs w:val="24"/>
              </w:rPr>
              <w:t>asmens atpažinimo elektroninėje erdvėje sertifikatas, skirtas asmens tapatybei elektroninėje erdvėje nustatyti</w:t>
            </w:r>
            <w:r>
              <w:rPr>
                <w:bCs/>
                <w:iCs/>
                <w:szCs w:val="24"/>
              </w:rPr>
              <w:t>,</w:t>
            </w:r>
            <w:r w:rsidRPr="00E13CDC">
              <w:rPr>
                <w:iCs/>
                <w:szCs w:val="24"/>
              </w:rPr>
              <w:t xml:space="preserve"> </w:t>
            </w:r>
            <w:r w:rsidRPr="00A956A3">
              <w:rPr>
                <w:iCs/>
                <w:szCs w:val="24"/>
              </w:rPr>
              <w:t>ir kvalifikuotas el. parašo sertifikatas</w:t>
            </w:r>
            <w:r>
              <w:rPr>
                <w:iCs/>
                <w:szCs w:val="24"/>
              </w:rPr>
              <w:t>,</w:t>
            </w:r>
            <w:r w:rsidRPr="00A956A3">
              <w:rPr>
                <w:iCs/>
                <w:szCs w:val="24"/>
              </w:rPr>
              <w:t xml:space="preserve"> leidžiantis pasirašyti el. dokumentus kvalifikuotu el. parašu</w:t>
            </w:r>
            <w:r>
              <w:rPr>
                <w:iCs/>
                <w:szCs w:val="24"/>
              </w:rPr>
              <w:t>)</w:t>
            </w:r>
            <w:r w:rsidRPr="00A956A3">
              <w:rPr>
                <w:iCs/>
                <w:szCs w:val="24"/>
              </w:rPr>
              <w:t xml:space="preserve">. </w:t>
            </w:r>
          </w:p>
          <w:p w:rsidR="00E655AC" w:rsidRPr="00171B83" w:rsidRDefault="00E655AC" w:rsidP="0048310D">
            <w:pPr>
              <w:ind w:firstLine="737"/>
              <w:rPr>
                <w:szCs w:val="24"/>
              </w:rPr>
            </w:pPr>
          </w:p>
        </w:tc>
        <w:tc>
          <w:tcPr>
            <w:tcW w:w="6237" w:type="dxa"/>
          </w:tcPr>
          <w:p w:rsidR="00E655AC" w:rsidRDefault="00B35481">
            <w:pPr>
              <w:rPr>
                <w:szCs w:val="24"/>
              </w:rPr>
            </w:pPr>
            <w:r w:rsidRPr="00933331">
              <w:rPr>
                <w:b/>
                <w:iCs/>
                <w:szCs w:val="24"/>
              </w:rPr>
              <w:lastRenderedPageBreak/>
              <w:t>Neatsižvelgta</w:t>
            </w:r>
            <w:r>
              <w:rPr>
                <w:iCs/>
                <w:szCs w:val="24"/>
              </w:rPr>
              <w:t xml:space="preserve">. </w:t>
            </w:r>
            <w:r w:rsidRPr="00933331">
              <w:rPr>
                <w:iCs/>
                <w:szCs w:val="24"/>
              </w:rPr>
              <w:t xml:space="preserve">Asmens tapatybės kortelė (toliau – ATK) </w:t>
            </w:r>
            <w:r w:rsidR="00920715">
              <w:rPr>
                <w:iCs/>
                <w:szCs w:val="24"/>
              </w:rPr>
              <w:t xml:space="preserve">kol kas </w:t>
            </w:r>
            <w:r w:rsidRPr="00933331">
              <w:rPr>
                <w:iCs/>
                <w:szCs w:val="24"/>
              </w:rPr>
              <w:t xml:space="preserve">ne visada yra patogus </w:t>
            </w:r>
            <w:r w:rsidR="00920715">
              <w:rPr>
                <w:iCs/>
                <w:szCs w:val="24"/>
              </w:rPr>
              <w:t>įrankis</w:t>
            </w:r>
            <w:r w:rsidR="00920715" w:rsidRPr="00933331">
              <w:rPr>
                <w:iCs/>
                <w:szCs w:val="24"/>
              </w:rPr>
              <w:t xml:space="preserve"> </w:t>
            </w:r>
            <w:r w:rsidRPr="00933331">
              <w:rPr>
                <w:iCs/>
                <w:szCs w:val="24"/>
              </w:rPr>
              <w:t>asmens tapatybei nustatyti per nuotolį</w:t>
            </w:r>
            <w:r w:rsidR="00920715">
              <w:rPr>
                <w:iCs/>
                <w:szCs w:val="24"/>
              </w:rPr>
              <w:t>. V</w:t>
            </w:r>
            <w:r w:rsidRPr="00933331">
              <w:rPr>
                <w:iCs/>
                <w:szCs w:val="24"/>
              </w:rPr>
              <w:t xml:space="preserve">isų pirma asmens atpažinimo elektroninėje erdvėje sertifikatas ir kvalifikuoto elektroninio parašo </w:t>
            </w:r>
            <w:r w:rsidR="0048310D" w:rsidRPr="00933331">
              <w:rPr>
                <w:iCs/>
                <w:szCs w:val="24"/>
              </w:rPr>
              <w:t>sertifikatas</w:t>
            </w:r>
            <w:r w:rsidRPr="00933331">
              <w:rPr>
                <w:iCs/>
                <w:szCs w:val="24"/>
              </w:rPr>
              <w:t xml:space="preserve">  galio</w:t>
            </w:r>
            <w:r w:rsidR="00933331" w:rsidRPr="00933331">
              <w:rPr>
                <w:iCs/>
                <w:szCs w:val="24"/>
              </w:rPr>
              <w:t>ja</w:t>
            </w:r>
            <w:r w:rsidRPr="00933331">
              <w:rPr>
                <w:iCs/>
                <w:szCs w:val="24"/>
              </w:rPr>
              <w:t xml:space="preserve"> tik tr</w:t>
            </w:r>
            <w:r w:rsidR="00920715">
              <w:rPr>
                <w:iCs/>
                <w:szCs w:val="24"/>
              </w:rPr>
              <w:t>eju</w:t>
            </w:r>
            <w:r w:rsidR="00933331" w:rsidRPr="00933331">
              <w:rPr>
                <w:iCs/>
                <w:szCs w:val="24"/>
              </w:rPr>
              <w:t>s</w:t>
            </w:r>
            <w:r w:rsidRPr="00933331">
              <w:rPr>
                <w:iCs/>
                <w:szCs w:val="24"/>
              </w:rPr>
              <w:t xml:space="preserve"> met</w:t>
            </w:r>
            <w:r w:rsidR="00933331" w:rsidRPr="00933331">
              <w:rPr>
                <w:iCs/>
                <w:szCs w:val="24"/>
              </w:rPr>
              <w:t>us</w:t>
            </w:r>
            <w:r w:rsidRPr="00933331">
              <w:rPr>
                <w:iCs/>
                <w:szCs w:val="24"/>
              </w:rPr>
              <w:t xml:space="preserve"> (</w:t>
            </w:r>
            <w:r w:rsidR="00920715">
              <w:rPr>
                <w:iCs/>
                <w:szCs w:val="24"/>
              </w:rPr>
              <w:t>o</w:t>
            </w:r>
            <w:r w:rsidR="00933331" w:rsidRPr="00933331">
              <w:rPr>
                <w:iCs/>
                <w:szCs w:val="24"/>
              </w:rPr>
              <w:t xml:space="preserve"> </w:t>
            </w:r>
            <w:r w:rsidRPr="00933331">
              <w:rPr>
                <w:iCs/>
                <w:szCs w:val="24"/>
              </w:rPr>
              <w:t xml:space="preserve">ATK galioja 10 metų), </w:t>
            </w:r>
            <w:r w:rsidRPr="00933331">
              <w:rPr>
                <w:iCs/>
                <w:szCs w:val="24"/>
              </w:rPr>
              <w:lastRenderedPageBreak/>
              <w:t xml:space="preserve">nėra galimybės pratęsti sertifikato galiojimo nuotoliniu būdu, sertifikato įrankio naudojimas yra susietas tik su papildomais </w:t>
            </w:r>
            <w:r w:rsidR="00920715" w:rsidRPr="00933331">
              <w:rPr>
                <w:iCs/>
                <w:szCs w:val="24"/>
              </w:rPr>
              <w:t xml:space="preserve">kompiuterio </w:t>
            </w:r>
            <w:r w:rsidRPr="00933331">
              <w:rPr>
                <w:iCs/>
                <w:szCs w:val="24"/>
              </w:rPr>
              <w:t xml:space="preserve">įrenginiais. </w:t>
            </w:r>
            <w:r w:rsidR="00933331" w:rsidRPr="00933331">
              <w:rPr>
                <w:iCs/>
                <w:szCs w:val="24"/>
              </w:rPr>
              <w:t xml:space="preserve">Taip pat </w:t>
            </w:r>
            <w:r w:rsidR="00933331" w:rsidRPr="00933331">
              <w:rPr>
                <w:color w:val="000000"/>
                <w:szCs w:val="24"/>
                <w:shd w:val="clear" w:color="auto" w:fill="FFFFFF"/>
              </w:rPr>
              <w:t>2021–2030 metų Ekonomikos ir inovacijų ministerijos valstybės skaitmeninimo plėtros programos projekto pagri</w:t>
            </w:r>
            <w:r w:rsidR="0048310D">
              <w:rPr>
                <w:color w:val="000000"/>
                <w:szCs w:val="24"/>
                <w:shd w:val="clear" w:color="auto" w:fill="FFFFFF"/>
              </w:rPr>
              <w:t>n</w:t>
            </w:r>
            <w:r w:rsidR="00933331" w:rsidRPr="00933331">
              <w:rPr>
                <w:color w:val="000000"/>
                <w:szCs w:val="24"/>
                <w:shd w:val="clear" w:color="auto" w:fill="FFFFFF"/>
              </w:rPr>
              <w:t xml:space="preserve">dime yra nurodyta, kad </w:t>
            </w:r>
            <w:r w:rsidR="00933331" w:rsidRPr="00933331">
              <w:rPr>
                <w:noProof/>
                <w:color w:val="000000"/>
                <w:szCs w:val="24"/>
                <w:shd w:val="clear" w:color="auto" w:fill="FFFFFF"/>
                <w:lang w:eastAsia="lt-LT"/>
              </w:rPr>
              <w:t xml:space="preserve">vis dar didelė dalis Lietuvos gyventojų (54 proc.) nežino, kad yra galimybė ATK naudoti pasirašant kvalifikuotu elektroniniu parašu. </w:t>
            </w:r>
            <w:r>
              <w:rPr>
                <w:iCs/>
                <w:szCs w:val="24"/>
              </w:rPr>
              <w:t xml:space="preserve">ATK galimybių išplėtimas </w:t>
            </w:r>
            <w:r w:rsidR="00920715">
              <w:rPr>
                <w:iCs/>
                <w:szCs w:val="24"/>
              </w:rPr>
              <w:t xml:space="preserve">pritaikant </w:t>
            </w:r>
            <w:r w:rsidR="0048310D">
              <w:rPr>
                <w:iCs/>
                <w:szCs w:val="24"/>
              </w:rPr>
              <w:t xml:space="preserve">jas autentifikavimui </w:t>
            </w:r>
            <w:r>
              <w:rPr>
                <w:iCs/>
                <w:szCs w:val="24"/>
              </w:rPr>
              <w:t>prisijungiant per mobiliuosius įrenginius leistų užsienyje gyvenantiems Lietuvos piliečiams plačiau naudoti</w:t>
            </w:r>
            <w:r w:rsidR="00920715">
              <w:rPr>
                <w:iCs/>
                <w:szCs w:val="24"/>
              </w:rPr>
              <w:t>s</w:t>
            </w:r>
            <w:r>
              <w:rPr>
                <w:iCs/>
                <w:szCs w:val="24"/>
              </w:rPr>
              <w:t xml:space="preserve"> jau dabar esam</w:t>
            </w:r>
            <w:r w:rsidR="00920715">
              <w:rPr>
                <w:iCs/>
                <w:szCs w:val="24"/>
              </w:rPr>
              <w:t>omis</w:t>
            </w:r>
            <w:r>
              <w:rPr>
                <w:iCs/>
                <w:szCs w:val="24"/>
              </w:rPr>
              <w:t xml:space="preserve"> elektronin</w:t>
            </w:r>
            <w:r w:rsidR="00920715">
              <w:rPr>
                <w:iCs/>
                <w:szCs w:val="24"/>
              </w:rPr>
              <w:t>ėmi</w:t>
            </w:r>
            <w:r>
              <w:rPr>
                <w:iCs/>
                <w:szCs w:val="24"/>
              </w:rPr>
              <w:t>s paslaug</w:t>
            </w:r>
            <w:r w:rsidR="00920715">
              <w:rPr>
                <w:iCs/>
                <w:szCs w:val="24"/>
              </w:rPr>
              <w:t>omi</w:t>
            </w:r>
            <w:r>
              <w:rPr>
                <w:iCs/>
                <w:szCs w:val="24"/>
              </w:rPr>
              <w:t>s</w:t>
            </w:r>
            <w:r w:rsidR="00C722D1">
              <w:rPr>
                <w:iCs/>
                <w:szCs w:val="24"/>
              </w:rPr>
              <w:t>.</w:t>
            </w:r>
          </w:p>
        </w:tc>
      </w:tr>
      <w:tr w:rsidR="00E655AC" w:rsidTr="006C5729">
        <w:tc>
          <w:tcPr>
            <w:tcW w:w="601" w:type="dxa"/>
          </w:tcPr>
          <w:p w:rsidR="00E655AC" w:rsidRPr="0071035B" w:rsidRDefault="006E7274" w:rsidP="0048310D">
            <w:pPr>
              <w:jc w:val="center"/>
              <w:rPr>
                <w:szCs w:val="24"/>
                <w:lang w:val="en-US"/>
              </w:rPr>
            </w:pPr>
            <w:r>
              <w:rPr>
                <w:szCs w:val="24"/>
                <w:lang w:val="en-US"/>
              </w:rPr>
              <w:lastRenderedPageBreak/>
              <w:t>7</w:t>
            </w:r>
            <w:r w:rsidR="00E655AC">
              <w:rPr>
                <w:szCs w:val="24"/>
                <w:lang w:val="en-US"/>
              </w:rPr>
              <w:t>.</w:t>
            </w:r>
          </w:p>
        </w:tc>
        <w:tc>
          <w:tcPr>
            <w:tcW w:w="1563" w:type="dxa"/>
            <w:vMerge/>
          </w:tcPr>
          <w:p w:rsidR="00E655AC" w:rsidRDefault="00E655AC" w:rsidP="0048310D">
            <w:pPr>
              <w:jc w:val="center"/>
              <w:rPr>
                <w:szCs w:val="24"/>
              </w:rPr>
            </w:pPr>
          </w:p>
        </w:tc>
        <w:tc>
          <w:tcPr>
            <w:tcW w:w="6053" w:type="dxa"/>
          </w:tcPr>
          <w:p w:rsidR="00E655AC" w:rsidRPr="005725F3" w:rsidRDefault="00E655AC" w:rsidP="0048310D">
            <w:pPr>
              <w:rPr>
                <w:bCs/>
                <w:iCs/>
                <w:szCs w:val="24"/>
              </w:rPr>
            </w:pPr>
            <w:r w:rsidRPr="00195F1F">
              <w:rPr>
                <w:iCs/>
                <w:szCs w:val="24"/>
              </w:rPr>
              <w:t>Plėtros programos pagrindime analizuojant priežastį „</w:t>
            </w:r>
            <w:r w:rsidRPr="005725F3">
              <w:rPr>
                <w:bCs/>
                <w:iCs/>
                <w:szCs w:val="24"/>
              </w:rPr>
              <w:t>2.5. nepatraukli valstybės tarnyba“,</w:t>
            </w:r>
            <w:r w:rsidRPr="00195F1F">
              <w:rPr>
                <w:rFonts w:ascii="Calibri" w:eastAsiaTheme="minorHAnsi" w:hAnsi="Calibri" w:cs="Calibri"/>
                <w:sz w:val="22"/>
                <w:szCs w:val="22"/>
              </w:rPr>
              <w:t xml:space="preserve"> </w:t>
            </w:r>
            <w:r w:rsidRPr="005725F3">
              <w:rPr>
                <w:bCs/>
                <w:iCs/>
                <w:szCs w:val="24"/>
              </w:rPr>
              <w:t xml:space="preserve">valstybės tarnybos patrauklumas analizuojamas diplomatinės tarnybos </w:t>
            </w:r>
            <w:r>
              <w:rPr>
                <w:bCs/>
                <w:iCs/>
                <w:szCs w:val="24"/>
              </w:rPr>
              <w:t>požiūriu</w:t>
            </w:r>
            <w:r w:rsidRPr="005725F3">
              <w:rPr>
                <w:bCs/>
                <w:iCs/>
                <w:szCs w:val="24"/>
              </w:rPr>
              <w:t xml:space="preserve">. Atsižvelgiant į tai, siūlytina 2.5 problemą formuoti kaip </w:t>
            </w:r>
            <w:r w:rsidRPr="005725F3">
              <w:rPr>
                <w:bCs/>
                <w:iCs/>
                <w:szCs w:val="24"/>
              </w:rPr>
              <w:lastRenderedPageBreak/>
              <w:t xml:space="preserve">„nepatraukli diplomatinė tarnyba“ ir (arba) aprašant 2.5 problemą paminėti, kad detaliau valstybės tarnybos patrauklumo problematika nagrinėjama </w:t>
            </w:r>
            <w:r w:rsidRPr="0033146E">
              <w:rPr>
                <w:bCs/>
                <w:iCs/>
                <w:szCs w:val="24"/>
              </w:rPr>
              <w:t xml:space="preserve">2021–2030 m. plėtros programos valdytojo Lietuvos Respublikos vidaus reikalų ministerijos viešojo valdymo plėtros </w:t>
            </w:r>
            <w:r w:rsidRPr="005725F3">
              <w:rPr>
                <w:bCs/>
                <w:iCs/>
                <w:szCs w:val="24"/>
              </w:rPr>
              <w:t>programoje</w:t>
            </w:r>
            <w:r w:rsidRPr="00195F1F">
              <w:rPr>
                <w:bCs/>
                <w:iCs/>
                <w:szCs w:val="24"/>
              </w:rPr>
              <w:t>,</w:t>
            </w:r>
            <w:r w:rsidRPr="005725F3">
              <w:rPr>
                <w:bCs/>
                <w:iCs/>
                <w:szCs w:val="24"/>
              </w:rPr>
              <w:t xml:space="preserve"> tokiu būdu logiškai susiejant šias dvi plėtros programas per vieną bendrą problemą.</w:t>
            </w:r>
          </w:p>
          <w:p w:rsidR="00E655AC" w:rsidRPr="00A956A3" w:rsidRDefault="00E655AC" w:rsidP="0048310D">
            <w:pPr>
              <w:ind w:firstLine="737"/>
              <w:rPr>
                <w:iCs/>
                <w:szCs w:val="24"/>
              </w:rPr>
            </w:pPr>
          </w:p>
        </w:tc>
        <w:tc>
          <w:tcPr>
            <w:tcW w:w="6237" w:type="dxa"/>
          </w:tcPr>
          <w:p w:rsidR="00E655AC" w:rsidRPr="00420779" w:rsidRDefault="00420779" w:rsidP="0048310D">
            <w:pPr>
              <w:rPr>
                <w:szCs w:val="24"/>
              </w:rPr>
            </w:pPr>
            <w:proofErr w:type="spellStart"/>
            <w:r w:rsidRPr="00420779">
              <w:rPr>
                <w:b/>
                <w:szCs w:val="24"/>
                <w:lang w:val="en-US"/>
              </w:rPr>
              <w:lastRenderedPageBreak/>
              <w:t>Atsi</w:t>
            </w:r>
            <w:proofErr w:type="spellEnd"/>
            <w:r w:rsidRPr="00420779">
              <w:rPr>
                <w:b/>
                <w:szCs w:val="24"/>
              </w:rPr>
              <w:t>žvelgta</w:t>
            </w:r>
            <w:r>
              <w:rPr>
                <w:szCs w:val="24"/>
              </w:rPr>
              <w:t>. 2.5 priežasties formuluotė pakeista į „</w:t>
            </w:r>
            <w:r w:rsidRPr="005725F3">
              <w:rPr>
                <w:bCs/>
                <w:iCs/>
                <w:szCs w:val="24"/>
              </w:rPr>
              <w:t xml:space="preserve">nepatraukli </w:t>
            </w:r>
            <w:r>
              <w:rPr>
                <w:bCs/>
                <w:iCs/>
                <w:szCs w:val="24"/>
              </w:rPr>
              <w:t>diplomatinė</w:t>
            </w:r>
            <w:r w:rsidRPr="005725F3">
              <w:rPr>
                <w:bCs/>
                <w:iCs/>
                <w:szCs w:val="24"/>
              </w:rPr>
              <w:t xml:space="preserve"> tarnyba</w:t>
            </w:r>
            <w:r>
              <w:rPr>
                <w:bCs/>
                <w:iCs/>
                <w:szCs w:val="24"/>
              </w:rPr>
              <w:t xml:space="preserve">“, o plėtros programos pagrindimo formoje įrašyta nuoroda į </w:t>
            </w:r>
            <w:r w:rsidRPr="0033146E">
              <w:rPr>
                <w:bCs/>
                <w:iCs/>
                <w:szCs w:val="24"/>
              </w:rPr>
              <w:t xml:space="preserve">2021–2030 m. plėtros programos </w:t>
            </w:r>
            <w:r w:rsidRPr="0033146E">
              <w:rPr>
                <w:bCs/>
                <w:iCs/>
                <w:szCs w:val="24"/>
              </w:rPr>
              <w:lastRenderedPageBreak/>
              <w:t>valdytojo</w:t>
            </w:r>
            <w:r>
              <w:rPr>
                <w:bCs/>
                <w:iCs/>
                <w:szCs w:val="24"/>
              </w:rPr>
              <w:t>s</w:t>
            </w:r>
            <w:r w:rsidRPr="0033146E">
              <w:rPr>
                <w:bCs/>
                <w:iCs/>
                <w:szCs w:val="24"/>
              </w:rPr>
              <w:t xml:space="preserve"> Lietuvos Respublikos vidaus reikalų ministerijos viešojo valdymo plėtros </w:t>
            </w:r>
            <w:r>
              <w:rPr>
                <w:bCs/>
                <w:iCs/>
                <w:szCs w:val="24"/>
              </w:rPr>
              <w:t>programą.</w:t>
            </w:r>
          </w:p>
        </w:tc>
      </w:tr>
      <w:tr w:rsidR="00E655AC" w:rsidTr="006C5729">
        <w:tc>
          <w:tcPr>
            <w:tcW w:w="601" w:type="dxa"/>
          </w:tcPr>
          <w:p w:rsidR="00E655AC" w:rsidRPr="0071035B" w:rsidRDefault="006E7274" w:rsidP="0048310D">
            <w:pPr>
              <w:jc w:val="center"/>
              <w:rPr>
                <w:szCs w:val="24"/>
                <w:lang w:val="en-US"/>
              </w:rPr>
            </w:pPr>
            <w:r>
              <w:rPr>
                <w:szCs w:val="24"/>
                <w:lang w:val="en-US"/>
              </w:rPr>
              <w:lastRenderedPageBreak/>
              <w:t>8</w:t>
            </w:r>
            <w:r w:rsidR="00E655AC">
              <w:rPr>
                <w:szCs w:val="24"/>
                <w:lang w:val="en-US"/>
              </w:rPr>
              <w:t>.</w:t>
            </w:r>
          </w:p>
        </w:tc>
        <w:tc>
          <w:tcPr>
            <w:tcW w:w="1563" w:type="dxa"/>
            <w:vMerge/>
          </w:tcPr>
          <w:p w:rsidR="00E655AC" w:rsidRDefault="00E655AC" w:rsidP="0048310D">
            <w:pPr>
              <w:jc w:val="center"/>
              <w:rPr>
                <w:szCs w:val="24"/>
              </w:rPr>
            </w:pPr>
          </w:p>
        </w:tc>
        <w:tc>
          <w:tcPr>
            <w:tcW w:w="6053" w:type="dxa"/>
          </w:tcPr>
          <w:p w:rsidR="00E655AC" w:rsidRDefault="00E655AC" w:rsidP="0048310D">
            <w:pPr>
              <w:rPr>
                <w:iCs/>
                <w:szCs w:val="24"/>
              </w:rPr>
            </w:pPr>
            <w:r>
              <w:rPr>
                <w:iCs/>
                <w:szCs w:val="24"/>
              </w:rPr>
              <w:t xml:space="preserve">Atkreiptinas dėmesys, kad Lietuvos Respublikos Vyriausybės </w:t>
            </w:r>
            <w:r w:rsidRPr="001839F4">
              <w:rPr>
                <w:iCs/>
                <w:szCs w:val="24"/>
              </w:rPr>
              <w:t>2021 m. rugsėjo 29 d. nutarimu Nr. 797</w:t>
            </w:r>
            <w:r>
              <w:rPr>
                <w:iCs/>
                <w:szCs w:val="24"/>
              </w:rPr>
              <w:t xml:space="preserve"> nauja redakcija išdėstytoje NPP keitėsi NPP uždavinių numeracija,</w:t>
            </w:r>
            <w:r w:rsidRPr="0085159F">
              <w:rPr>
                <w:iCs/>
                <w:szCs w:val="24"/>
              </w:rPr>
              <w:t xml:space="preserve"> </w:t>
            </w:r>
            <w:r>
              <w:rPr>
                <w:iCs/>
                <w:szCs w:val="24"/>
              </w:rPr>
              <w:t xml:space="preserve">todėl plėtros programoje ir jos pagrindime siūlome patikslinti nuorodas į atitinkamus NPP uždavinius.  </w:t>
            </w:r>
          </w:p>
          <w:p w:rsidR="00E655AC" w:rsidRPr="00195F1F" w:rsidRDefault="00E655AC" w:rsidP="0048310D">
            <w:pPr>
              <w:ind w:firstLine="737"/>
              <w:rPr>
                <w:iCs/>
                <w:szCs w:val="24"/>
              </w:rPr>
            </w:pPr>
          </w:p>
        </w:tc>
        <w:tc>
          <w:tcPr>
            <w:tcW w:w="6237" w:type="dxa"/>
          </w:tcPr>
          <w:p w:rsidR="00E655AC" w:rsidRDefault="00E655AC" w:rsidP="0048310D">
            <w:pPr>
              <w:rPr>
                <w:szCs w:val="24"/>
              </w:rPr>
            </w:pPr>
            <w:r w:rsidRPr="00AD64D6">
              <w:rPr>
                <w:b/>
                <w:szCs w:val="24"/>
              </w:rPr>
              <w:t>Atsižvelgta</w:t>
            </w:r>
            <w:r>
              <w:rPr>
                <w:szCs w:val="24"/>
              </w:rPr>
              <w:t>. Uždavinių numeracija projekte patikslinta.</w:t>
            </w:r>
          </w:p>
        </w:tc>
      </w:tr>
    </w:tbl>
    <w:p w:rsidR="00F10E73" w:rsidRPr="00F10E73" w:rsidRDefault="00F10E73" w:rsidP="00F10E73">
      <w:pPr>
        <w:jc w:val="center"/>
        <w:rPr>
          <w:b/>
        </w:rPr>
      </w:pPr>
    </w:p>
    <w:sectPr w:rsidR="00F10E73" w:rsidRPr="00F10E73" w:rsidSect="00F10E73">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92D8B"/>
    <w:multiLevelType w:val="hybridMultilevel"/>
    <w:tmpl w:val="A552CE20"/>
    <w:lvl w:ilvl="0" w:tplc="FDC641CC">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E73"/>
    <w:rsid w:val="00003B3A"/>
    <w:rsid w:val="001614B4"/>
    <w:rsid w:val="00297BB2"/>
    <w:rsid w:val="00420779"/>
    <w:rsid w:val="0048310D"/>
    <w:rsid w:val="00582594"/>
    <w:rsid w:val="005A2AAD"/>
    <w:rsid w:val="00602666"/>
    <w:rsid w:val="00672E3A"/>
    <w:rsid w:val="006C5729"/>
    <w:rsid w:val="006E7274"/>
    <w:rsid w:val="0071035B"/>
    <w:rsid w:val="00731D74"/>
    <w:rsid w:val="00743F29"/>
    <w:rsid w:val="0076709F"/>
    <w:rsid w:val="007846AD"/>
    <w:rsid w:val="00803416"/>
    <w:rsid w:val="00852F44"/>
    <w:rsid w:val="00920715"/>
    <w:rsid w:val="00933331"/>
    <w:rsid w:val="00A30FD2"/>
    <w:rsid w:val="00AA7508"/>
    <w:rsid w:val="00AD64D6"/>
    <w:rsid w:val="00B1074E"/>
    <w:rsid w:val="00B35481"/>
    <w:rsid w:val="00BA63F7"/>
    <w:rsid w:val="00C100B7"/>
    <w:rsid w:val="00C63DB5"/>
    <w:rsid w:val="00C722D1"/>
    <w:rsid w:val="00CB594B"/>
    <w:rsid w:val="00D33265"/>
    <w:rsid w:val="00E4252C"/>
    <w:rsid w:val="00E60678"/>
    <w:rsid w:val="00E655AC"/>
    <w:rsid w:val="00F10E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C3C4F"/>
  <w15:chartTrackingRefBased/>
  <w15:docId w15:val="{0A947D89-13F8-4045-A053-FF58A4E8F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E73"/>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10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035B"/>
    <w:pPr>
      <w:ind w:left="720"/>
      <w:contextualSpacing/>
    </w:pPr>
    <w:rPr>
      <w:lang w:val="en-GB"/>
    </w:rPr>
  </w:style>
  <w:style w:type="paragraph" w:styleId="BalloonText">
    <w:name w:val="Balloon Text"/>
    <w:basedOn w:val="Normal"/>
    <w:link w:val="BalloonTextChar"/>
    <w:uiPriority w:val="99"/>
    <w:semiHidden/>
    <w:unhideWhenUsed/>
    <w:rsid w:val="00B107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074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99689">
      <w:bodyDiv w:val="1"/>
      <w:marLeft w:val="0"/>
      <w:marRight w:val="0"/>
      <w:marTop w:val="0"/>
      <w:marBottom w:val="0"/>
      <w:divBdr>
        <w:top w:val="none" w:sz="0" w:space="0" w:color="auto"/>
        <w:left w:val="none" w:sz="0" w:space="0" w:color="auto"/>
        <w:bottom w:val="none" w:sz="0" w:space="0" w:color="auto"/>
        <w:right w:val="none" w:sz="0" w:space="0" w:color="auto"/>
      </w:divBdr>
    </w:div>
    <w:div w:id="986474403">
      <w:bodyDiv w:val="1"/>
      <w:marLeft w:val="0"/>
      <w:marRight w:val="0"/>
      <w:marTop w:val="0"/>
      <w:marBottom w:val="0"/>
      <w:divBdr>
        <w:top w:val="none" w:sz="0" w:space="0" w:color="auto"/>
        <w:left w:val="none" w:sz="0" w:space="0" w:color="auto"/>
        <w:bottom w:val="none" w:sz="0" w:space="0" w:color="auto"/>
        <w:right w:val="none" w:sz="0" w:space="0" w:color="auto"/>
      </w:divBdr>
    </w:div>
    <w:div w:id="158376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7312</Words>
  <Characters>4169</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2021-11-19T12:25:00Z</dcterms:created>
  <dc:creator>Marius Radžiūnas</dc:creator>
  <cp:lastModifiedBy>Marius Radžiūnas</cp:lastModifiedBy>
  <dcterms:modified xsi:type="dcterms:W3CDTF">2021-11-25T12:09:00Z</dcterms:modified>
  <cp:revision>3</cp:revision>
</cp:coreProperties>
</file>