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23"/>
        <w:tblW w:w="4084" w:type="dxa"/>
        <w:tblLayout w:type="fixed"/>
        <w:tblLook w:val="04A0" w:firstRow="1" w:lastRow="0" w:firstColumn="1" w:lastColumn="0" w:noHBand="0" w:noVBand="1"/>
      </w:tblPr>
      <w:tblGrid>
        <w:gridCol w:w="4068"/>
        <w:gridCol w:w="16"/>
      </w:tblGrid>
      <w:tr w:rsidR="000A0260">
        <w:trPr>
          <w:cantSplit/>
          <w:trHeight w:val="340"/>
        </w:trPr>
        <w:tc>
          <w:tcPr>
            <w:tcW w:w="4084" w:type="dxa"/>
            <w:gridSpan w:val="2"/>
          </w:tcPr>
          <w:p w:rsidR="000A0260" w:rsidRDefault="00A44C6F">
            <w:r>
              <w:t xml:space="preserve">2020-11-     Nr. </w:t>
            </w:r>
          </w:p>
        </w:tc>
      </w:tr>
      <w:tr w:rsidR="000A0260">
        <w:trPr>
          <w:gridAfter w:val="1"/>
          <w:wAfter w:w="16" w:type="dxa"/>
          <w:cantSplit/>
          <w:trHeight w:val="340"/>
        </w:trPr>
        <w:tc>
          <w:tcPr>
            <w:tcW w:w="4068" w:type="dxa"/>
          </w:tcPr>
          <w:p w:rsidR="000A0260" w:rsidRDefault="00A44C6F">
            <w:pPr>
              <w:ind w:left="-108"/>
            </w:pPr>
            <w:r>
              <w:t xml:space="preserve">Į 2020-11-06 Nr. </w:t>
            </w:r>
            <w:r>
              <w:rPr>
                <w:rFonts w:ascii="Arial" w:hAnsi="Arial" w:cs="Arial"/>
                <w:sz w:val="20"/>
                <w:szCs w:val="20"/>
              </w:rPr>
              <w:t xml:space="preserve"> (</w:t>
            </w:r>
            <w:r>
              <w:t>19.1E-33)STAP-889</w:t>
            </w:r>
          </w:p>
        </w:tc>
      </w:tr>
    </w:tbl>
    <w:p w:rsidR="000A0260" w:rsidRDefault="00A44C6F">
      <w:pPr>
        <w:pStyle w:val="Adresas"/>
      </w:pPr>
      <w:r>
        <w:t xml:space="preserve">Lietuvos Respublikos socialinės apsaugos ir </w:t>
      </w:r>
    </w:p>
    <w:p w:rsidR="000A0260" w:rsidRDefault="00A44C6F">
      <w:pPr>
        <w:pStyle w:val="Adresas"/>
      </w:pPr>
      <w:r>
        <w:t>darbo ministerijai</w:t>
      </w:r>
    </w:p>
    <w:p w:rsidR="000A0260" w:rsidRDefault="000A0260">
      <w:pPr>
        <w:pStyle w:val="Adresas"/>
      </w:pPr>
    </w:p>
    <w:p w:rsidR="000A0260" w:rsidRDefault="00A44C6F">
      <w:pPr>
        <w:spacing w:line="276" w:lineRule="auto"/>
        <w:jc w:val="both"/>
        <w:rPr>
          <w:caps/>
        </w:rPr>
      </w:pPr>
      <w:r>
        <w:rPr>
          <w:b/>
          <w:bCs/>
          <w:caps/>
          <w:shd w:val="clear" w:color="auto" w:fill="FFFFFF"/>
        </w:rPr>
        <w:t>DĖL LIETUVOS RESPUBLIKOS VYRIAUSYBĖS NUTARIMO PROJEKTO derinimo</w:t>
      </w:r>
    </w:p>
    <w:p w:rsidR="000A0260" w:rsidRDefault="000A0260">
      <w:pPr>
        <w:spacing w:line="276" w:lineRule="auto"/>
        <w:jc w:val="both"/>
      </w:pPr>
    </w:p>
    <w:p w:rsidR="000A0260" w:rsidRPr="00E06773" w:rsidRDefault="00A44C6F" w:rsidP="00E06773">
      <w:pPr>
        <w:pStyle w:val="Paprastasistekstas"/>
        <w:spacing w:after="0" w:line="360" w:lineRule="auto"/>
        <w:ind w:firstLine="720"/>
        <w:jc w:val="both"/>
        <w:rPr>
          <w:rFonts w:ascii="Times New Roman" w:eastAsia="SimSun" w:hAnsi="Times New Roman" w:cs="Times New Roman"/>
          <w:sz w:val="24"/>
          <w:szCs w:val="24"/>
          <w:lang w:val="lt"/>
        </w:rPr>
      </w:pPr>
      <w:r w:rsidRPr="00E06773">
        <w:rPr>
          <w:rFonts w:ascii="Times New Roman" w:hAnsi="Times New Roman" w:cs="Times New Roman"/>
          <w:sz w:val="24"/>
          <w:szCs w:val="24"/>
        </w:rPr>
        <w:t xml:space="preserve">Lietuvos Respublikos teisingumo ministerija, pagal kompetenciją įvertinusi derinimui pateiktą </w:t>
      </w:r>
      <w:hyperlink r:id="rId10" w:history="1">
        <w:r w:rsidRPr="00E06773">
          <w:rPr>
            <w:rStyle w:val="Hipersaitas"/>
            <w:rFonts w:ascii="Times New Roman" w:hAnsi="Times New Roman" w:cs="Times New Roman"/>
            <w:sz w:val="24"/>
            <w:szCs w:val="24"/>
          </w:rPr>
          <w:t>Lietuvos Respublikos Vyriausybės nutarimo „Dėl Lietuvos Respublikos Vyriausybės 2006 m. lapkričio 15 d. nutarimo Nr. 1132 „Dėl Socialinių paslaugų planavimo metodikos patvirtinimo“ pakeitimo“ projektą</w:t>
        </w:r>
      </w:hyperlink>
      <w:r w:rsidRPr="00E06773">
        <w:rPr>
          <w:rFonts w:ascii="Times New Roman" w:hAnsi="Times New Roman" w:cs="Times New Roman"/>
          <w:sz w:val="24"/>
          <w:szCs w:val="24"/>
        </w:rPr>
        <w:t xml:space="preserve"> </w:t>
      </w:r>
      <w:r w:rsidRPr="00E06773">
        <w:rPr>
          <w:rStyle w:val="Hipersaitas"/>
          <w:rFonts w:ascii="Times New Roman" w:hAnsi="Times New Roman" w:cs="Times New Roman"/>
          <w:color w:val="auto"/>
          <w:sz w:val="24"/>
          <w:szCs w:val="24"/>
          <w:u w:val="none"/>
        </w:rPr>
        <w:t>(toliau – Projektas)</w:t>
      </w:r>
      <w:r w:rsidRPr="00E06773">
        <w:rPr>
          <w:rFonts w:ascii="Times New Roman" w:hAnsi="Times New Roman" w:cs="Times New Roman"/>
          <w:sz w:val="24"/>
          <w:szCs w:val="24"/>
        </w:rPr>
        <w:t xml:space="preserve">, </w:t>
      </w:r>
      <w:r w:rsidR="00E06773">
        <w:rPr>
          <w:rFonts w:ascii="Times New Roman" w:eastAsia="SimSun" w:hAnsi="Times New Roman" w:cs="Times New Roman"/>
          <w:sz w:val="24"/>
          <w:szCs w:val="24"/>
          <w:lang w:val="lt"/>
        </w:rPr>
        <w:t xml:space="preserve">teikia šias </w:t>
      </w:r>
      <w:r w:rsidR="00E06773" w:rsidRPr="00E06773">
        <w:rPr>
          <w:rFonts w:ascii="Times New Roman" w:eastAsia="SimSun" w:hAnsi="Times New Roman" w:cs="Times New Roman"/>
          <w:sz w:val="24"/>
          <w:szCs w:val="24"/>
        </w:rPr>
        <w:t>pastabas ir</w:t>
      </w:r>
      <w:r w:rsidR="00E06773">
        <w:rPr>
          <w:rFonts w:ascii="Times New Roman" w:eastAsia="SimSun" w:hAnsi="Times New Roman" w:cs="Times New Roman"/>
          <w:sz w:val="24"/>
          <w:szCs w:val="24"/>
        </w:rPr>
        <w:t xml:space="preserve"> pasiūlymus</w:t>
      </w:r>
      <w:r w:rsidRPr="00E06773">
        <w:rPr>
          <w:rFonts w:ascii="Times New Roman" w:eastAsia="SimSun" w:hAnsi="Times New Roman" w:cs="Times New Roman"/>
          <w:sz w:val="24"/>
          <w:szCs w:val="24"/>
          <w:lang w:val="lt"/>
        </w:rPr>
        <w:t>:</w:t>
      </w:r>
    </w:p>
    <w:p w:rsidR="000A0260" w:rsidRPr="00E06773" w:rsidRDefault="00A44C6F" w:rsidP="00E06773">
      <w:pPr>
        <w:pStyle w:val="Sraopastraipa"/>
        <w:numPr>
          <w:ilvl w:val="0"/>
          <w:numId w:val="3"/>
        </w:numPr>
        <w:tabs>
          <w:tab w:val="left" w:pos="1134"/>
        </w:tabs>
        <w:spacing w:after="0" w:line="360" w:lineRule="auto"/>
        <w:ind w:left="0" w:firstLine="720"/>
        <w:jc w:val="both"/>
        <w:textAlignment w:val="center"/>
        <w:rPr>
          <w:color w:val="000000"/>
        </w:rPr>
      </w:pPr>
      <w:r w:rsidRPr="00E06773">
        <w:rPr>
          <w:color w:val="000000"/>
        </w:rPr>
        <w:t xml:space="preserve">Teisės aktą priimančio subjekto ir teisės akto pavadinimas turi būti dėstomi vadovaujantis </w:t>
      </w:r>
      <w:r w:rsidRPr="00E06773">
        <w:rPr>
          <w:lang w:eastAsia="lt-LT"/>
        </w:rPr>
        <w:t xml:space="preserve">Teisės aktų projektų rengimo rekomendacijų, patvirtintų Lietuvos Respublikos teisingumo ministro </w:t>
      </w:r>
      <w:r w:rsidRPr="00E06773">
        <w:rPr>
          <w:rFonts w:eastAsia="SimSun"/>
          <w:color w:val="000000"/>
          <w:shd w:val="clear" w:color="auto" w:fill="FFFFFF"/>
        </w:rPr>
        <w:t xml:space="preserve">2013 m. gruodžio 23 d. įsakymu Nr. 1R-298 </w:t>
      </w:r>
      <w:r w:rsidRPr="00E06773">
        <w:rPr>
          <w:color w:val="000000"/>
        </w:rPr>
        <w:t xml:space="preserve">„Dėl Teisės aktų projektų rengimo rekomendacijų patvirtinimo“ (toliau – Rekomendacijos), 52 punktu (teisės aktą priimančio subjekto pavadinimas rašomas didžiosiomis </w:t>
      </w:r>
      <w:r w:rsidRPr="00E06773">
        <w:rPr>
          <w:i/>
          <w:color w:val="000000"/>
        </w:rPr>
        <w:t>paryškintomis</w:t>
      </w:r>
      <w:r w:rsidRPr="00E06773">
        <w:rPr>
          <w:color w:val="000000"/>
        </w:rPr>
        <w:t xml:space="preserve"> raidėmis, </w:t>
      </w:r>
      <w:r w:rsidRPr="00E06773">
        <w:t xml:space="preserve">tarp teisės akto rūšies pavadinimo ir teisės akto pavadinimo tuščia eilutė </w:t>
      </w:r>
      <w:r w:rsidRPr="00E06773">
        <w:rPr>
          <w:i/>
        </w:rPr>
        <w:t>neįterpiama</w:t>
      </w:r>
      <w:r w:rsidRPr="00E06773">
        <w:t xml:space="preserve">, eilutė </w:t>
      </w:r>
      <w:r w:rsidRPr="00E06773">
        <w:rPr>
          <w:i/>
        </w:rPr>
        <w:t>įterpiama</w:t>
      </w:r>
      <w:r w:rsidRPr="00E06773">
        <w:t xml:space="preserve"> tarp </w:t>
      </w:r>
      <w:r w:rsidRPr="00E06773">
        <w:rPr>
          <w:color w:val="000000"/>
        </w:rPr>
        <w:t xml:space="preserve">teisės aktą priimančio subjekto ir </w:t>
      </w:r>
      <w:r w:rsidRPr="00E06773">
        <w:t xml:space="preserve">teisės akto rūšies pavadinimų). Atsižvelgiant į tai, Projektu keičiamas nutarimas tikslintinas. Atitinkamai koreguotinas ir Projekto lyginamasis variantas (išskyrus paryškintas raides). Be to, atsižvelgiant į tai, kad keičiamo nutarimo pavadinimas nesikeičia, lyginamajame variante jis neturi būti paryškinamas. </w:t>
      </w:r>
    </w:p>
    <w:p w:rsidR="000A0260" w:rsidRPr="00E06773" w:rsidRDefault="00A44C6F" w:rsidP="00E06773">
      <w:pPr>
        <w:pStyle w:val="Sraopastraipa"/>
        <w:numPr>
          <w:ilvl w:val="0"/>
          <w:numId w:val="3"/>
        </w:numPr>
        <w:tabs>
          <w:tab w:val="left" w:pos="1134"/>
        </w:tabs>
        <w:spacing w:after="0" w:line="360" w:lineRule="auto"/>
        <w:ind w:left="0" w:firstLine="720"/>
        <w:jc w:val="both"/>
        <w:textAlignment w:val="center"/>
        <w:rPr>
          <w:color w:val="000000"/>
        </w:rPr>
      </w:pPr>
      <w:r w:rsidRPr="00E06773">
        <w:rPr>
          <w:lang w:eastAsia="lt-LT"/>
        </w:rPr>
        <w:t xml:space="preserve">Projektu keičiamos </w:t>
      </w:r>
      <w:r w:rsidRPr="00E06773">
        <w:t xml:space="preserve">Socialinių paslaugų planavimo metodikos (toliau – Metodika) 13 </w:t>
      </w:r>
      <w:r w:rsidR="00E06773">
        <w:t xml:space="preserve">punkte </w:t>
      </w:r>
      <w:r w:rsidRPr="00E06773">
        <w:t xml:space="preserve">minimas </w:t>
      </w:r>
      <w:proofErr w:type="spellStart"/>
      <w:r w:rsidRPr="00E06773">
        <w:t>tarpinstitucinio</w:t>
      </w:r>
      <w:proofErr w:type="spellEnd"/>
      <w:r w:rsidRPr="00E06773">
        <w:t xml:space="preserve"> bendradarbiavimo koordinatorius, tačiau jo sąvoka nėra apibrėžta, todėl nėra aišku apie kokį asmenį kalbama. Atsižvelgiant į tai, siūlytina patikslinti aptariamą punktą. Be to, įvertinus tai, kad keičia</w:t>
      </w:r>
      <w:r w:rsidR="00E06773">
        <w:t>ma</w:t>
      </w:r>
      <w:r w:rsidRPr="00E06773">
        <w:t>me teisės akte yra naudojamos ir kitos sąvokos</w:t>
      </w:r>
      <w:r w:rsidR="00E06773">
        <w:t>,</w:t>
      </w:r>
      <w:r w:rsidRPr="00E06773">
        <w:t xml:space="preserve"> kaip </w:t>
      </w:r>
      <w:r w:rsidRPr="00E06773">
        <w:lastRenderedPageBreak/>
        <w:t>„atvejo vadybos procesas“, „šeimų taryba“ ir pan., siūlytina įvertinti poreikį tikslinti Metodikos 5 punktą dėl joje vartojamų sąvokų atitikimo  ne tik  Lietuvos Respublikos socialinių paslaugų įstatyme apibrėžtoms sąvokoms, bet ir kituose konkrečiuose  įstatymuose apibrėžtoms sąvokoms.</w:t>
      </w:r>
    </w:p>
    <w:p w:rsidR="000A0260" w:rsidRPr="00E06773" w:rsidRDefault="00A44C6F" w:rsidP="00E06773">
      <w:pPr>
        <w:pStyle w:val="Sraopastraipa"/>
        <w:numPr>
          <w:ilvl w:val="0"/>
          <w:numId w:val="3"/>
        </w:numPr>
        <w:tabs>
          <w:tab w:val="left" w:pos="1134"/>
        </w:tabs>
        <w:spacing w:after="0" w:line="360" w:lineRule="auto"/>
        <w:ind w:left="0" w:firstLine="720"/>
        <w:jc w:val="both"/>
        <w:textAlignment w:val="center"/>
        <w:rPr>
          <w:color w:val="000000"/>
        </w:rPr>
      </w:pPr>
      <w:r w:rsidRPr="00E06773">
        <w:rPr>
          <w:color w:val="000000"/>
        </w:rPr>
        <w:t>Pagal R</w:t>
      </w:r>
      <w:r w:rsidRPr="00E06773">
        <w:rPr>
          <w:lang w:eastAsia="lt-LT"/>
        </w:rPr>
        <w:t xml:space="preserve">ekomendacijų </w:t>
      </w:r>
      <w:r w:rsidRPr="00E06773">
        <w:rPr>
          <w:color w:val="000000"/>
        </w:rPr>
        <w:t xml:space="preserve">13 punktą, aukštesnės teisinės galios teisės akte turėtų būti vengiama nuorodų į </w:t>
      </w:r>
      <w:r w:rsidRPr="00E06773">
        <w:rPr>
          <w:i/>
          <w:color w:val="000000"/>
        </w:rPr>
        <w:t xml:space="preserve">konkrečius </w:t>
      </w:r>
      <w:r w:rsidRPr="00E06773">
        <w:rPr>
          <w:color w:val="000000"/>
        </w:rPr>
        <w:t>žemesnės galios teisės aktus. M</w:t>
      </w:r>
      <w:r w:rsidRPr="00E06773">
        <w:t>etodikos 22.2 papunktyje minimi teisės aktai turėtų būti nurodyti abstrakčiau, pavyzdžiui,</w:t>
      </w:r>
      <w:r w:rsidRPr="00E06773">
        <w:rPr>
          <w:b/>
        </w:rPr>
        <w:t xml:space="preserve"> </w:t>
      </w:r>
      <w:r w:rsidRPr="00E06773">
        <w:t xml:space="preserve">socialinės apsaugos ir darbo ministro tvirtinamas </w:t>
      </w:r>
      <w:r w:rsidRPr="00E06773">
        <w:rPr>
          <w:lang w:eastAsia="lt-LT"/>
        </w:rPr>
        <w:t xml:space="preserve">Socialinių paslaugų </w:t>
      </w:r>
      <w:proofErr w:type="spellStart"/>
      <w:r w:rsidRPr="00E06773">
        <w:rPr>
          <w:lang w:eastAsia="lt-LT"/>
        </w:rPr>
        <w:t>katalog</w:t>
      </w:r>
      <w:proofErr w:type="spellEnd"/>
      <w:r w:rsidRPr="00E06773">
        <w:rPr>
          <w:lang w:val="en-US" w:eastAsia="lt-LT"/>
        </w:rPr>
        <w:t>as</w:t>
      </w:r>
      <w:r w:rsidRPr="00E06773">
        <w:rPr>
          <w:lang w:eastAsia="lt-LT"/>
        </w:rPr>
        <w:t>.</w:t>
      </w:r>
    </w:p>
    <w:p w:rsidR="000A0260" w:rsidRPr="00E06773" w:rsidRDefault="00A44C6F" w:rsidP="00E06773">
      <w:pPr>
        <w:pStyle w:val="Sraopastraipa"/>
        <w:numPr>
          <w:ilvl w:val="0"/>
          <w:numId w:val="3"/>
        </w:numPr>
        <w:tabs>
          <w:tab w:val="left" w:pos="1134"/>
        </w:tabs>
        <w:spacing w:after="0" w:line="360" w:lineRule="auto"/>
        <w:ind w:left="0" w:firstLine="720"/>
        <w:jc w:val="both"/>
        <w:textAlignment w:val="center"/>
        <w:rPr>
          <w:color w:val="000000"/>
        </w:rPr>
      </w:pPr>
      <w:r w:rsidRPr="00E06773">
        <w:rPr>
          <w:color w:val="000000"/>
        </w:rPr>
        <w:t xml:space="preserve">Metodikos </w:t>
      </w:r>
      <w:r w:rsidRPr="00E06773">
        <w:t xml:space="preserve">22.2.1 papunktyje minimi psichikos sveikatos centrai, kai tuo tarpu Lietuvos Respublikos psichikos sveikatos priežiūros įstatyme tokia sąvoka nėra vartojama, jame vartojamas terminas  </w:t>
      </w:r>
      <w:r w:rsidRPr="00E06773">
        <w:rPr>
          <w:bCs/>
          <w:color w:val="000000"/>
          <w:lang w:eastAsia="lt-LT"/>
        </w:rPr>
        <w:t xml:space="preserve">psichikos sveikatos priežiūros įstaiga. Siūlytina tikslinti paminėtą sąvoką. </w:t>
      </w:r>
    </w:p>
    <w:p w:rsidR="000A0260" w:rsidRPr="00E06773" w:rsidRDefault="00A44C6F" w:rsidP="00E06773">
      <w:pPr>
        <w:pStyle w:val="Paprastasistekstas"/>
        <w:numPr>
          <w:ilvl w:val="0"/>
          <w:numId w:val="3"/>
        </w:numPr>
        <w:tabs>
          <w:tab w:val="left" w:pos="993"/>
        </w:tabs>
        <w:spacing w:after="0" w:line="360" w:lineRule="auto"/>
        <w:ind w:left="0" w:firstLine="720"/>
        <w:jc w:val="both"/>
        <w:rPr>
          <w:rFonts w:ascii="Times New Roman" w:eastAsia="SimSun" w:hAnsi="Times New Roman" w:cs="Times New Roman"/>
          <w:sz w:val="24"/>
          <w:szCs w:val="24"/>
          <w:lang w:val="lt"/>
        </w:rPr>
      </w:pPr>
      <w:r w:rsidRPr="00E06773">
        <w:rPr>
          <w:rFonts w:ascii="Times New Roman" w:hAnsi="Times New Roman" w:cs="Times New Roman"/>
          <w:sz w:val="24"/>
          <w:szCs w:val="24"/>
        </w:rPr>
        <w:t>Atsižvelgiant į tai, kad keičiama daugiau nei pusė  Metodikos 22.2 papunkčio struktūrinių dalių, vadovaujantis R</w:t>
      </w:r>
      <w:r w:rsidRPr="00E06773">
        <w:rPr>
          <w:rFonts w:ascii="Times New Roman" w:hAnsi="Times New Roman" w:cs="Times New Roman"/>
          <w:color w:val="000000"/>
          <w:sz w:val="24"/>
          <w:szCs w:val="24"/>
        </w:rPr>
        <w:t xml:space="preserve">ekomendacijų </w:t>
      </w:r>
      <w:r w:rsidRPr="00E06773">
        <w:rPr>
          <w:rFonts w:ascii="Times New Roman" w:hAnsi="Times New Roman" w:cs="Times New Roman"/>
          <w:sz w:val="24"/>
          <w:szCs w:val="24"/>
        </w:rPr>
        <w:t>83 punktu, turi būti dėstomas visas 22.2 papunktis, t. y. sujungiant Projekto 2.10-2.13 papunkčius į vieną. Analogiška pastaba teikiama ir dėl Metodikos 22.4 papunkčio (t. y. dėl Projekto 2.15 ir 2.16 papunkčių). Pastebėtina ir tai, kad Projekto  2.10 ir 2.15 papunkčiais siekiama išdėstyti tik atitinkamai Metodikos 22.2 ir 22.4 papunkčių pirmąsias pastraipas, tačiau pakeitimo esmė Projekte nurodoma klaidinančiai, kalbant ne apie pirmosios pastraipos, o apie viso papunkčio (tai yra apimant ir žemesnio lygmens papunkčius) pakeitimą.</w:t>
      </w:r>
    </w:p>
    <w:p w:rsidR="000A0260" w:rsidRPr="00E06773" w:rsidRDefault="00A44C6F" w:rsidP="00E06773">
      <w:pPr>
        <w:pStyle w:val="Paprastasistekstas"/>
        <w:numPr>
          <w:ilvl w:val="0"/>
          <w:numId w:val="3"/>
        </w:numPr>
        <w:tabs>
          <w:tab w:val="left" w:pos="993"/>
        </w:tabs>
        <w:spacing w:after="0" w:line="360" w:lineRule="auto"/>
        <w:ind w:left="0" w:firstLine="720"/>
        <w:jc w:val="both"/>
        <w:rPr>
          <w:rFonts w:ascii="Times New Roman" w:eastAsia="SimSun" w:hAnsi="Times New Roman" w:cs="Times New Roman"/>
          <w:sz w:val="24"/>
          <w:szCs w:val="24"/>
          <w:lang w:val="lt"/>
        </w:rPr>
      </w:pPr>
      <w:r w:rsidRPr="00E06773">
        <w:rPr>
          <w:rFonts w:ascii="Times New Roman" w:hAnsi="Times New Roman" w:cs="Times New Roman"/>
          <w:sz w:val="24"/>
          <w:szCs w:val="24"/>
        </w:rPr>
        <w:t xml:space="preserve">Siekiant teisinio reguliavimo aiškumo, siūlome Metodikos  22.2.1 papunktį patikslinti, </w:t>
      </w:r>
      <w:r w:rsidR="00F014E5">
        <w:rPr>
          <w:rFonts w:ascii="Times New Roman" w:hAnsi="Times New Roman" w:cs="Times New Roman"/>
          <w:sz w:val="24"/>
          <w:szCs w:val="24"/>
        </w:rPr>
        <w:t xml:space="preserve">             </w:t>
      </w:r>
      <w:r w:rsidRPr="00E06773">
        <w:rPr>
          <w:rFonts w:ascii="Times New Roman" w:hAnsi="Times New Roman" w:cs="Times New Roman"/>
          <w:sz w:val="24"/>
          <w:szCs w:val="24"/>
        </w:rPr>
        <w:t xml:space="preserve">t. y. nuostatą „Nustatant gyventojų socialinių paslaugų poreikius, įvertinama informacija apie savivaldybėje gautus ir nepatenkintus asmenų (šeimų) prašymus socialinėms paslaugoms“, papildyti nurodant „socialinėms paslaugoms </w:t>
      </w:r>
      <w:r w:rsidRPr="00E06773">
        <w:rPr>
          <w:rFonts w:ascii="Times New Roman" w:hAnsi="Times New Roman" w:cs="Times New Roman"/>
          <w:i/>
          <w:sz w:val="24"/>
          <w:szCs w:val="24"/>
        </w:rPr>
        <w:t>gauti</w:t>
      </w:r>
      <w:r w:rsidRPr="00E06773">
        <w:rPr>
          <w:rFonts w:ascii="Times New Roman" w:hAnsi="Times New Roman" w:cs="Times New Roman"/>
          <w:sz w:val="24"/>
          <w:szCs w:val="24"/>
        </w:rPr>
        <w:t>“.</w:t>
      </w:r>
    </w:p>
    <w:p w:rsidR="000A0260" w:rsidRPr="00E06773" w:rsidRDefault="00A44C6F" w:rsidP="00E06773">
      <w:pPr>
        <w:pStyle w:val="Paprastasistekstas"/>
        <w:numPr>
          <w:ilvl w:val="0"/>
          <w:numId w:val="3"/>
        </w:numPr>
        <w:tabs>
          <w:tab w:val="left" w:pos="993"/>
        </w:tabs>
        <w:spacing w:after="0" w:line="360" w:lineRule="auto"/>
        <w:ind w:left="0" w:firstLine="720"/>
        <w:jc w:val="both"/>
        <w:rPr>
          <w:rFonts w:ascii="Times New Roman" w:eastAsia="SimSun" w:hAnsi="Times New Roman" w:cs="Times New Roman"/>
          <w:sz w:val="24"/>
          <w:szCs w:val="24"/>
        </w:rPr>
      </w:pPr>
      <w:r w:rsidRPr="00E06773">
        <w:rPr>
          <w:rFonts w:ascii="Times New Roman" w:hAnsi="Times New Roman" w:cs="Times New Roman"/>
          <w:sz w:val="24"/>
          <w:szCs w:val="24"/>
        </w:rPr>
        <w:t>Metodikos 27 punkte, be kita ko, numatyta, kad savivaldybės informuoja Socialinės apsaugos ir darbo ministeriją ir gyventojus apie jos teritorijoje teikiamas socialines paslaugas Socialinių paslaugų įstatymo 13 straipsnio 7 dalyje nustatyta tvarka. Pažymėtina, kad nurodomose minimo įstatymo</w:t>
      </w:r>
      <w:r w:rsidR="00E06773">
        <w:rPr>
          <w:rFonts w:ascii="Times New Roman" w:hAnsi="Times New Roman" w:cs="Times New Roman"/>
          <w:sz w:val="24"/>
          <w:szCs w:val="24"/>
        </w:rPr>
        <w:t xml:space="preserve"> </w:t>
      </w:r>
      <w:r w:rsidRPr="00E06773">
        <w:rPr>
          <w:rFonts w:ascii="Times New Roman" w:hAnsi="Times New Roman" w:cs="Times New Roman"/>
          <w:sz w:val="24"/>
          <w:szCs w:val="24"/>
        </w:rPr>
        <w:t>nuostatose kalbama apie tai, kad savivaldybė informuoja ministeriją ir gyventojus</w:t>
      </w:r>
      <w:r w:rsidRPr="00E06773">
        <w:rPr>
          <w:rFonts w:ascii="Times New Roman" w:hAnsi="Times New Roman" w:cs="Times New Roman"/>
          <w:color w:val="000000"/>
          <w:sz w:val="24"/>
          <w:szCs w:val="24"/>
        </w:rPr>
        <w:t xml:space="preserve"> apie jos teritorijoje teikiamas socialines paslaugas</w:t>
      </w:r>
      <w:r w:rsidRPr="00E06773">
        <w:rPr>
          <w:rFonts w:ascii="Times New Roman" w:hAnsi="Times New Roman" w:cs="Times New Roman"/>
          <w:sz w:val="24"/>
          <w:szCs w:val="24"/>
        </w:rPr>
        <w:t xml:space="preserve">, o duomenys teikiami </w:t>
      </w:r>
      <w:r w:rsidRPr="00E06773">
        <w:rPr>
          <w:rFonts w:ascii="Times New Roman" w:hAnsi="Times New Roman" w:cs="Times New Roman"/>
          <w:color w:val="000000"/>
          <w:sz w:val="24"/>
          <w:szCs w:val="24"/>
        </w:rPr>
        <w:t>Socialinės paramos šeimai informacinėje sistemoje (SPIS)</w:t>
      </w:r>
      <w:r w:rsidRPr="00E06773">
        <w:rPr>
          <w:rFonts w:ascii="Times New Roman" w:hAnsi="Times New Roman" w:cs="Times New Roman"/>
          <w:sz w:val="24"/>
          <w:szCs w:val="24"/>
        </w:rPr>
        <w:t xml:space="preserve">.  Mūsų nuomone, šiose įstatymo nuostatose nėra nustatyta konkreti informavimo tvarka, todėl reglamentavimas tikslintinas.  </w:t>
      </w:r>
    </w:p>
    <w:p w:rsidR="000A0260" w:rsidRDefault="000A0260">
      <w:pPr>
        <w:pStyle w:val="Paprastasistekstas"/>
        <w:tabs>
          <w:tab w:val="left" w:pos="993"/>
        </w:tabs>
        <w:jc w:val="both"/>
        <w:rPr>
          <w:rFonts w:ascii="Times New Roman" w:eastAsia="SimSun" w:hAnsi="Times New Roman" w:cs="Times New Roman"/>
          <w:sz w:val="24"/>
          <w:szCs w:val="24"/>
        </w:rPr>
      </w:pPr>
    </w:p>
    <w:p w:rsidR="00E06773" w:rsidRDefault="00E06773">
      <w:pPr>
        <w:pStyle w:val="Paprastasistekstas"/>
        <w:tabs>
          <w:tab w:val="left" w:pos="993"/>
        </w:tabs>
        <w:jc w:val="both"/>
        <w:rPr>
          <w:rFonts w:ascii="Times New Roman" w:eastAsia="SimSun" w:hAnsi="Times New Roman" w:cs="Times New Roman"/>
          <w:sz w:val="24"/>
          <w:szCs w:val="24"/>
        </w:rPr>
      </w:pPr>
    </w:p>
    <w:p w:rsidR="000A0260" w:rsidRDefault="00A44C6F">
      <w:r>
        <w:t>L.</w:t>
      </w:r>
      <w:r w:rsidR="00E06773">
        <w:t xml:space="preserve"> </w:t>
      </w:r>
      <w:r>
        <w:t>e. teisingumo ministro pareigas                                                                       Elvinas Jankevičius</w:t>
      </w:r>
    </w:p>
    <w:p w:rsidR="000A0260" w:rsidRDefault="000A0260">
      <w:bookmarkStart w:id="0" w:name="_GoBack"/>
      <w:bookmarkEnd w:id="0"/>
    </w:p>
    <w:p w:rsidR="000A0260" w:rsidRDefault="00A44C6F">
      <w:pPr>
        <w:rPr>
          <w:color w:val="0000FF"/>
          <w:sz w:val="20"/>
          <w:szCs w:val="20"/>
          <w:u w:val="single"/>
        </w:rPr>
      </w:pPr>
      <w:r>
        <w:rPr>
          <w:sz w:val="20"/>
          <w:szCs w:val="20"/>
        </w:rPr>
        <w:t xml:space="preserve">Eglė </w:t>
      </w:r>
      <w:proofErr w:type="spellStart"/>
      <w:r>
        <w:rPr>
          <w:sz w:val="20"/>
          <w:szCs w:val="20"/>
        </w:rPr>
        <w:t>Betingienė</w:t>
      </w:r>
      <w:proofErr w:type="spellEnd"/>
      <w:r>
        <w:rPr>
          <w:sz w:val="20"/>
          <w:szCs w:val="20"/>
        </w:rPr>
        <w:t xml:space="preserve">, tel. (8 5) 266 2882, el. p.  </w:t>
      </w:r>
      <w:hyperlink r:id="rId11" w:history="1">
        <w:r>
          <w:rPr>
            <w:rStyle w:val="Hipersaitas"/>
            <w:color w:val="auto"/>
            <w:sz w:val="20"/>
            <w:szCs w:val="20"/>
            <w:u w:val="none"/>
          </w:rPr>
          <w:t>egle.betingiene@tm.lt</w:t>
        </w:r>
      </w:hyperlink>
      <w:r>
        <w:rPr>
          <w:sz w:val="20"/>
          <w:szCs w:val="20"/>
        </w:rPr>
        <w:t xml:space="preserve"> </w:t>
      </w:r>
    </w:p>
    <w:sectPr w:rsidR="000A0260">
      <w:headerReference w:type="default" r:id="rId12"/>
      <w:headerReference w:type="first" r:id="rId13"/>
      <w:footerReference w:type="first" r:id="rId14"/>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58F" w:rsidRDefault="00F0558F">
      <w:pPr>
        <w:spacing w:after="0" w:line="240" w:lineRule="auto"/>
      </w:pPr>
      <w:r>
        <w:separator/>
      </w:r>
    </w:p>
  </w:endnote>
  <w:endnote w:type="continuationSeparator" w:id="0">
    <w:p w:rsidR="00F0558F" w:rsidRDefault="00F05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260" w:rsidRDefault="00A44C6F">
    <w:pPr>
      <w:pStyle w:val="Porat"/>
      <w:tabs>
        <w:tab w:val="clear" w:pos="8306"/>
        <w:tab w:val="left" w:pos="8080"/>
        <w:tab w:val="right" w:pos="9356"/>
      </w:tabs>
    </w:pPr>
    <w:r>
      <w:rPr>
        <w:noProof/>
        <w:lang w:eastAsia="lt-LT"/>
      </w:rPr>
      <w:drawing>
        <wp:inline distT="0" distB="0" distL="0" distR="0">
          <wp:extent cx="1085215" cy="817245"/>
          <wp:effectExtent l="0" t="0" r="635"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215" cy="817245"/>
                  </a:xfrm>
                  <a:prstGeom prst="rect">
                    <a:avLst/>
                  </a:prstGeom>
                  <a:noFill/>
                </pic:spPr>
              </pic:pic>
            </a:graphicData>
          </a:graphic>
        </wp:inline>
      </w:drawing>
    </w:r>
  </w:p>
  <w:p w:rsidR="000A0260" w:rsidRDefault="00A44C6F">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58F" w:rsidRDefault="00F0558F">
      <w:pPr>
        <w:spacing w:after="0" w:line="240" w:lineRule="auto"/>
      </w:pPr>
      <w:r>
        <w:separator/>
      </w:r>
    </w:p>
  </w:footnote>
  <w:footnote w:type="continuationSeparator" w:id="0">
    <w:p w:rsidR="00F0558F" w:rsidRDefault="00F05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260" w:rsidRDefault="000A0260">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260" w:rsidRDefault="00A44C6F">
    <w:pPr>
      <w:tabs>
        <w:tab w:val="right" w:pos="8306"/>
      </w:tabs>
      <w:suppressAutoHyphens w:val="0"/>
      <w:spacing w:after="0" w:line="240" w:lineRule="auto"/>
      <w:jc w:val="center"/>
      <w:rPr>
        <w:sz w:val="28"/>
        <w:szCs w:val="28"/>
        <w:lang w:eastAsia="en-US"/>
      </w:rPr>
    </w:pPr>
    <w:r>
      <w:rPr>
        <w:noProof/>
        <w:sz w:val="28"/>
        <w:szCs w:val="28"/>
        <w:lang w:eastAsia="lt-LT"/>
      </w:rPr>
      <w:drawing>
        <wp:inline distT="0" distB="0" distL="0" distR="0">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rsidR="000A0260" w:rsidRDefault="000A0260">
    <w:pPr>
      <w:tabs>
        <w:tab w:val="right" w:pos="8306"/>
      </w:tabs>
      <w:suppressAutoHyphens w:val="0"/>
      <w:spacing w:after="0" w:line="240" w:lineRule="auto"/>
      <w:jc w:val="center"/>
      <w:rPr>
        <w:sz w:val="16"/>
        <w:lang w:eastAsia="en-US"/>
      </w:rPr>
    </w:pPr>
  </w:p>
  <w:p w:rsidR="000A0260" w:rsidRDefault="00A44C6F">
    <w:pPr>
      <w:suppressAutoHyphens w:val="0"/>
      <w:spacing w:after="0" w:line="240" w:lineRule="auto"/>
      <w:jc w:val="center"/>
      <w:rPr>
        <w:b/>
        <w:bCs/>
        <w:sz w:val="26"/>
        <w:lang w:eastAsia="en-US"/>
      </w:rPr>
    </w:pPr>
    <w:r>
      <w:rPr>
        <w:b/>
        <w:bCs/>
        <w:sz w:val="26"/>
        <w:lang w:eastAsia="en-US"/>
      </w:rPr>
      <w:t>LIETUVOS RESPUBLIKOS TEISINGUMO MINISTERIJA</w:t>
    </w:r>
  </w:p>
  <w:p w:rsidR="000A0260" w:rsidRDefault="000A0260">
    <w:pPr>
      <w:suppressAutoHyphens w:val="0"/>
      <w:spacing w:after="0" w:line="240" w:lineRule="auto"/>
      <w:jc w:val="center"/>
      <w:rPr>
        <w:b/>
        <w:bCs/>
        <w:sz w:val="26"/>
        <w:lang w:eastAsia="en-US"/>
      </w:rPr>
    </w:pPr>
  </w:p>
  <w:p w:rsidR="000A0260" w:rsidRDefault="00A44C6F">
    <w:pPr>
      <w:pBdr>
        <w:bottom w:val="single" w:sz="4" w:space="1" w:color="auto"/>
      </w:pBdr>
      <w:suppressAutoHyphens w:val="0"/>
      <w:spacing w:after="0" w:line="240" w:lineRule="auto"/>
      <w:jc w:val="center"/>
      <w:rPr>
        <w:sz w:val="20"/>
        <w:lang w:eastAsia="en-US"/>
      </w:rPr>
    </w:pPr>
    <w:r>
      <w:rPr>
        <w:sz w:val="20"/>
        <w:lang w:eastAsia="en-US"/>
      </w:rPr>
      <w:t xml:space="preserve">Biudžetinė įstaiga, Gedimino pr. 30, LT-01104 Vilnius, </w:t>
    </w:r>
  </w:p>
  <w:p w:rsidR="000A0260" w:rsidRDefault="00A44C6F">
    <w:pPr>
      <w:pBdr>
        <w:bottom w:val="single" w:sz="4" w:space="1" w:color="auto"/>
      </w:pBdr>
      <w:suppressAutoHyphens w:val="0"/>
      <w:spacing w:after="0" w:line="240" w:lineRule="auto"/>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rsidR="000A0260" w:rsidRDefault="00A44C6F">
    <w:pPr>
      <w:pBdr>
        <w:bottom w:val="single" w:sz="4" w:space="1" w:color="auto"/>
      </w:pBdr>
      <w:suppressAutoHyphens w:val="0"/>
      <w:spacing w:after="0" w:line="240" w:lineRule="auto"/>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w:t>
    </w:r>
    <w:proofErr w:type="spellStart"/>
    <w:r>
      <w:rPr>
        <w:sz w:val="20"/>
        <w:lang w:eastAsia="en-US"/>
      </w:rPr>
      <w:t>Luminor</w:t>
    </w:r>
    <w:proofErr w:type="spellEnd"/>
    <w:r>
      <w:rPr>
        <w:sz w:val="20"/>
        <w:lang w:eastAsia="en-US"/>
      </w:rPr>
      <w:t xml:space="preserve"> </w:t>
    </w:r>
    <w:proofErr w:type="spellStart"/>
    <w:r>
      <w:rPr>
        <w:sz w:val="20"/>
        <w:lang w:eastAsia="en-US"/>
      </w:rPr>
      <w:t>Bank</w:t>
    </w:r>
    <w:proofErr w:type="spellEnd"/>
    <w:r>
      <w:rPr>
        <w:sz w:val="20"/>
        <w:lang w:eastAsia="en-US"/>
      </w:rPr>
      <w:t xml:space="preserve"> AS</w:t>
    </w:r>
    <w:r>
      <w:rPr>
        <w:sz w:val="20"/>
        <w:szCs w:val="20"/>
        <w:lang w:eastAsia="en-US"/>
      </w:rPr>
      <w:t>, banko kodas 40100.</w:t>
    </w:r>
  </w:p>
  <w:p w:rsidR="000A0260" w:rsidRDefault="00A44C6F">
    <w:pPr>
      <w:pBdr>
        <w:bottom w:val="single" w:sz="4" w:space="1" w:color="auto"/>
      </w:pBdr>
      <w:suppressAutoHyphens w:val="0"/>
      <w:spacing w:after="0" w:line="240" w:lineRule="auto"/>
      <w:jc w:val="center"/>
      <w:rPr>
        <w:sz w:val="20"/>
        <w:lang w:eastAsia="en-US"/>
      </w:rPr>
    </w:pPr>
    <w:r>
      <w:rPr>
        <w:sz w:val="20"/>
        <w:lang w:eastAsia="en-US"/>
      </w:rPr>
      <w:t>Duomenys kaupiami ir saugomi Juridinių asmenų registre, kodas 188604955</w:t>
    </w:r>
  </w:p>
  <w:p w:rsidR="000A0260" w:rsidRDefault="000A0260">
    <w:pPr>
      <w:tabs>
        <w:tab w:val="right" w:pos="8306"/>
      </w:tabs>
      <w:suppressAutoHyphens w:val="0"/>
      <w:jc w:val="center"/>
      <w:rPr>
        <w:sz w:val="20"/>
        <w:lang w:eastAsia="en-US"/>
      </w:rPr>
    </w:pPr>
  </w:p>
  <w:p w:rsidR="000A0260" w:rsidRDefault="000A0260">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abstractNum w:abstractNumId="2">
    <w:nsid w:val="6CD73214"/>
    <w:multiLevelType w:val="multilevel"/>
    <w:tmpl w:val="6CD73214"/>
    <w:lvl w:ilvl="0">
      <w:start w:val="1"/>
      <w:numFmt w:val="decimal"/>
      <w:lvlText w:val="%1)"/>
      <w:lvlJc w:val="left"/>
      <w:pPr>
        <w:ind w:left="6173" w:hanging="360"/>
      </w:pPr>
      <w:rPr>
        <w:rFonts w:hint="default"/>
      </w:rPr>
    </w:lvl>
    <w:lvl w:ilvl="1">
      <w:start w:val="1"/>
      <w:numFmt w:val="lowerLetter"/>
      <w:lvlText w:val="%2."/>
      <w:lvlJc w:val="left"/>
      <w:pPr>
        <w:ind w:left="6893" w:hanging="360"/>
      </w:pPr>
    </w:lvl>
    <w:lvl w:ilvl="2">
      <w:start w:val="1"/>
      <w:numFmt w:val="lowerRoman"/>
      <w:lvlText w:val="%3."/>
      <w:lvlJc w:val="right"/>
      <w:pPr>
        <w:ind w:left="7613" w:hanging="180"/>
      </w:pPr>
    </w:lvl>
    <w:lvl w:ilvl="3">
      <w:start w:val="1"/>
      <w:numFmt w:val="decimal"/>
      <w:lvlText w:val="%4."/>
      <w:lvlJc w:val="left"/>
      <w:pPr>
        <w:ind w:left="8333" w:hanging="360"/>
      </w:pPr>
    </w:lvl>
    <w:lvl w:ilvl="4">
      <w:start w:val="1"/>
      <w:numFmt w:val="lowerLetter"/>
      <w:lvlText w:val="%5."/>
      <w:lvlJc w:val="left"/>
      <w:pPr>
        <w:ind w:left="9053" w:hanging="360"/>
      </w:pPr>
    </w:lvl>
    <w:lvl w:ilvl="5">
      <w:start w:val="1"/>
      <w:numFmt w:val="lowerRoman"/>
      <w:lvlText w:val="%6."/>
      <w:lvlJc w:val="right"/>
      <w:pPr>
        <w:ind w:left="9773" w:hanging="180"/>
      </w:pPr>
    </w:lvl>
    <w:lvl w:ilvl="6">
      <w:start w:val="1"/>
      <w:numFmt w:val="decimal"/>
      <w:lvlText w:val="%7."/>
      <w:lvlJc w:val="left"/>
      <w:pPr>
        <w:ind w:left="10493" w:hanging="360"/>
      </w:pPr>
    </w:lvl>
    <w:lvl w:ilvl="7">
      <w:start w:val="1"/>
      <w:numFmt w:val="lowerLetter"/>
      <w:lvlText w:val="%8."/>
      <w:lvlJc w:val="left"/>
      <w:pPr>
        <w:ind w:left="11213" w:hanging="360"/>
      </w:pPr>
    </w:lvl>
    <w:lvl w:ilvl="8">
      <w:start w:val="1"/>
      <w:numFmt w:val="lowerRoman"/>
      <w:lvlText w:val="%9."/>
      <w:lvlJc w:val="right"/>
      <w:pPr>
        <w:ind w:left="1193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2A"/>
    <w:rsid w:val="00005A25"/>
    <w:rsid w:val="000126A3"/>
    <w:rsid w:val="000142B0"/>
    <w:rsid w:val="000203F3"/>
    <w:rsid w:val="00022E3C"/>
    <w:rsid w:val="00033F22"/>
    <w:rsid w:val="000356BD"/>
    <w:rsid w:val="00043583"/>
    <w:rsid w:val="0004405D"/>
    <w:rsid w:val="00045F11"/>
    <w:rsid w:val="00055405"/>
    <w:rsid w:val="00056395"/>
    <w:rsid w:val="0006186E"/>
    <w:rsid w:val="00072919"/>
    <w:rsid w:val="000756A8"/>
    <w:rsid w:val="0009008E"/>
    <w:rsid w:val="00093791"/>
    <w:rsid w:val="00095F50"/>
    <w:rsid w:val="000A0260"/>
    <w:rsid w:val="000B0D10"/>
    <w:rsid w:val="000B1ECA"/>
    <w:rsid w:val="000B67D8"/>
    <w:rsid w:val="000D0B1C"/>
    <w:rsid w:val="000D3171"/>
    <w:rsid w:val="000E34D4"/>
    <w:rsid w:val="000E6E4F"/>
    <w:rsid w:val="000E7556"/>
    <w:rsid w:val="00106269"/>
    <w:rsid w:val="00110A05"/>
    <w:rsid w:val="00125A96"/>
    <w:rsid w:val="00133358"/>
    <w:rsid w:val="00137EFF"/>
    <w:rsid w:val="00163C9F"/>
    <w:rsid w:val="00190B04"/>
    <w:rsid w:val="001A2BEB"/>
    <w:rsid w:val="001B28DE"/>
    <w:rsid w:val="001C1840"/>
    <w:rsid w:val="001E0731"/>
    <w:rsid w:val="001E192A"/>
    <w:rsid w:val="001E1AF5"/>
    <w:rsid w:val="001E213B"/>
    <w:rsid w:val="001E6D10"/>
    <w:rsid w:val="001E6F39"/>
    <w:rsid w:val="001F4940"/>
    <w:rsid w:val="00216724"/>
    <w:rsid w:val="00224C7E"/>
    <w:rsid w:val="00225009"/>
    <w:rsid w:val="00247655"/>
    <w:rsid w:val="00253D25"/>
    <w:rsid w:val="00271BCA"/>
    <w:rsid w:val="0027526A"/>
    <w:rsid w:val="002C0406"/>
    <w:rsid w:val="002C6DA6"/>
    <w:rsid w:val="002D24DA"/>
    <w:rsid w:val="002D38B4"/>
    <w:rsid w:val="002F357E"/>
    <w:rsid w:val="003133A9"/>
    <w:rsid w:val="00314884"/>
    <w:rsid w:val="0031547F"/>
    <w:rsid w:val="003337BD"/>
    <w:rsid w:val="00335E75"/>
    <w:rsid w:val="003452F4"/>
    <w:rsid w:val="00345C41"/>
    <w:rsid w:val="00350171"/>
    <w:rsid w:val="0035263F"/>
    <w:rsid w:val="00357B11"/>
    <w:rsid w:val="0036776E"/>
    <w:rsid w:val="00374572"/>
    <w:rsid w:val="00377BAD"/>
    <w:rsid w:val="003816CC"/>
    <w:rsid w:val="00392BAA"/>
    <w:rsid w:val="003A0D57"/>
    <w:rsid w:val="003A403B"/>
    <w:rsid w:val="003A6CAA"/>
    <w:rsid w:val="003C1BC9"/>
    <w:rsid w:val="003C76FB"/>
    <w:rsid w:val="003C7DA1"/>
    <w:rsid w:val="00402C9C"/>
    <w:rsid w:val="00414FC9"/>
    <w:rsid w:val="00422F55"/>
    <w:rsid w:val="004247E8"/>
    <w:rsid w:val="00431E40"/>
    <w:rsid w:val="004400C5"/>
    <w:rsid w:val="00444D3C"/>
    <w:rsid w:val="004473FF"/>
    <w:rsid w:val="00477775"/>
    <w:rsid w:val="0049675A"/>
    <w:rsid w:val="004C157C"/>
    <w:rsid w:val="004C3426"/>
    <w:rsid w:val="004E0354"/>
    <w:rsid w:val="004E4C97"/>
    <w:rsid w:val="004F7E5E"/>
    <w:rsid w:val="00503401"/>
    <w:rsid w:val="0051548F"/>
    <w:rsid w:val="00520A82"/>
    <w:rsid w:val="005210A5"/>
    <w:rsid w:val="00526983"/>
    <w:rsid w:val="005458FD"/>
    <w:rsid w:val="005468FA"/>
    <w:rsid w:val="00561D92"/>
    <w:rsid w:val="0056694C"/>
    <w:rsid w:val="005707F3"/>
    <w:rsid w:val="00584AF7"/>
    <w:rsid w:val="0059156B"/>
    <w:rsid w:val="005934F7"/>
    <w:rsid w:val="00595D16"/>
    <w:rsid w:val="005A2039"/>
    <w:rsid w:val="005A32E3"/>
    <w:rsid w:val="005B02FE"/>
    <w:rsid w:val="005B22EF"/>
    <w:rsid w:val="005B71DB"/>
    <w:rsid w:val="005E7F01"/>
    <w:rsid w:val="005F6849"/>
    <w:rsid w:val="005F70CA"/>
    <w:rsid w:val="00613F3D"/>
    <w:rsid w:val="006202AA"/>
    <w:rsid w:val="00631354"/>
    <w:rsid w:val="00632C30"/>
    <w:rsid w:val="006464D7"/>
    <w:rsid w:val="00674F0A"/>
    <w:rsid w:val="00685024"/>
    <w:rsid w:val="00692B0B"/>
    <w:rsid w:val="006A0169"/>
    <w:rsid w:val="006A3AEE"/>
    <w:rsid w:val="006E2FF8"/>
    <w:rsid w:val="006F61D9"/>
    <w:rsid w:val="0070100A"/>
    <w:rsid w:val="00701D09"/>
    <w:rsid w:val="007155A1"/>
    <w:rsid w:val="00722F84"/>
    <w:rsid w:val="00735C7F"/>
    <w:rsid w:val="007436F5"/>
    <w:rsid w:val="0074745C"/>
    <w:rsid w:val="00755247"/>
    <w:rsid w:val="0075689A"/>
    <w:rsid w:val="00763380"/>
    <w:rsid w:val="007665A0"/>
    <w:rsid w:val="00775BDF"/>
    <w:rsid w:val="00791CD4"/>
    <w:rsid w:val="007B1F82"/>
    <w:rsid w:val="007B3C8C"/>
    <w:rsid w:val="007B4A13"/>
    <w:rsid w:val="007D2E15"/>
    <w:rsid w:val="007F7B9B"/>
    <w:rsid w:val="008309E8"/>
    <w:rsid w:val="00855B67"/>
    <w:rsid w:val="00865BB6"/>
    <w:rsid w:val="0087031A"/>
    <w:rsid w:val="008725E2"/>
    <w:rsid w:val="008A5254"/>
    <w:rsid w:val="008C162A"/>
    <w:rsid w:val="008F0A48"/>
    <w:rsid w:val="008F43AC"/>
    <w:rsid w:val="009154F0"/>
    <w:rsid w:val="00921A20"/>
    <w:rsid w:val="00935287"/>
    <w:rsid w:val="00942F08"/>
    <w:rsid w:val="00967916"/>
    <w:rsid w:val="00977F51"/>
    <w:rsid w:val="009A11A6"/>
    <w:rsid w:val="009B0944"/>
    <w:rsid w:val="009B4576"/>
    <w:rsid w:val="009B4926"/>
    <w:rsid w:val="009D5D3E"/>
    <w:rsid w:val="009E11EE"/>
    <w:rsid w:val="009E135C"/>
    <w:rsid w:val="00A17E41"/>
    <w:rsid w:val="00A249DE"/>
    <w:rsid w:val="00A36467"/>
    <w:rsid w:val="00A40CD2"/>
    <w:rsid w:val="00A43DDD"/>
    <w:rsid w:val="00A44C6F"/>
    <w:rsid w:val="00A45A83"/>
    <w:rsid w:val="00A500C7"/>
    <w:rsid w:val="00A5068D"/>
    <w:rsid w:val="00A51241"/>
    <w:rsid w:val="00A64392"/>
    <w:rsid w:val="00A94549"/>
    <w:rsid w:val="00AA05C9"/>
    <w:rsid w:val="00AC27D6"/>
    <w:rsid w:val="00AC596A"/>
    <w:rsid w:val="00AD37E3"/>
    <w:rsid w:val="00AE0614"/>
    <w:rsid w:val="00AE3511"/>
    <w:rsid w:val="00B34506"/>
    <w:rsid w:val="00B40D2F"/>
    <w:rsid w:val="00B7339D"/>
    <w:rsid w:val="00B84B18"/>
    <w:rsid w:val="00B942CE"/>
    <w:rsid w:val="00B96D90"/>
    <w:rsid w:val="00BA20D0"/>
    <w:rsid w:val="00BA60D3"/>
    <w:rsid w:val="00BA6125"/>
    <w:rsid w:val="00BB1BC1"/>
    <w:rsid w:val="00BB4D0A"/>
    <w:rsid w:val="00BD01B6"/>
    <w:rsid w:val="00BD62CA"/>
    <w:rsid w:val="00BF4400"/>
    <w:rsid w:val="00C07B02"/>
    <w:rsid w:val="00C2360C"/>
    <w:rsid w:val="00C26D5D"/>
    <w:rsid w:val="00C309A2"/>
    <w:rsid w:val="00C43A57"/>
    <w:rsid w:val="00C52D99"/>
    <w:rsid w:val="00C843F3"/>
    <w:rsid w:val="00CB1D28"/>
    <w:rsid w:val="00CC742A"/>
    <w:rsid w:val="00CD660D"/>
    <w:rsid w:val="00D2173F"/>
    <w:rsid w:val="00D22358"/>
    <w:rsid w:val="00D22A39"/>
    <w:rsid w:val="00D25010"/>
    <w:rsid w:val="00D3105C"/>
    <w:rsid w:val="00D5117C"/>
    <w:rsid w:val="00D519E9"/>
    <w:rsid w:val="00D553A0"/>
    <w:rsid w:val="00D6461F"/>
    <w:rsid w:val="00D9324E"/>
    <w:rsid w:val="00DA0A8E"/>
    <w:rsid w:val="00DA10E1"/>
    <w:rsid w:val="00DA16FD"/>
    <w:rsid w:val="00DB7EC6"/>
    <w:rsid w:val="00DD7A33"/>
    <w:rsid w:val="00DE51C4"/>
    <w:rsid w:val="00E03B24"/>
    <w:rsid w:val="00E03D46"/>
    <w:rsid w:val="00E04931"/>
    <w:rsid w:val="00E06773"/>
    <w:rsid w:val="00E2137F"/>
    <w:rsid w:val="00E214C4"/>
    <w:rsid w:val="00E32D88"/>
    <w:rsid w:val="00E35543"/>
    <w:rsid w:val="00E36636"/>
    <w:rsid w:val="00E412D7"/>
    <w:rsid w:val="00E54185"/>
    <w:rsid w:val="00E63465"/>
    <w:rsid w:val="00E75D83"/>
    <w:rsid w:val="00E81F28"/>
    <w:rsid w:val="00E843B1"/>
    <w:rsid w:val="00E96B50"/>
    <w:rsid w:val="00EA3009"/>
    <w:rsid w:val="00EB3EDB"/>
    <w:rsid w:val="00ED73D6"/>
    <w:rsid w:val="00EE5859"/>
    <w:rsid w:val="00EF07A0"/>
    <w:rsid w:val="00EF5630"/>
    <w:rsid w:val="00EF7AB4"/>
    <w:rsid w:val="00F014E5"/>
    <w:rsid w:val="00F0558F"/>
    <w:rsid w:val="00F05FB4"/>
    <w:rsid w:val="00F316E6"/>
    <w:rsid w:val="00F35193"/>
    <w:rsid w:val="00F6147E"/>
    <w:rsid w:val="00F62B9E"/>
    <w:rsid w:val="00F73A02"/>
    <w:rsid w:val="00F85A80"/>
    <w:rsid w:val="00F87BA6"/>
    <w:rsid w:val="00F947AC"/>
    <w:rsid w:val="00FB183B"/>
    <w:rsid w:val="00FB295F"/>
    <w:rsid w:val="00FB41D3"/>
    <w:rsid w:val="00FB5D01"/>
    <w:rsid w:val="00FC0237"/>
    <w:rsid w:val="00FC0E93"/>
    <w:rsid w:val="00FD2FDD"/>
    <w:rsid w:val="00FE2B69"/>
    <w:rsid w:val="00FF6336"/>
    <w:rsid w:val="00FF75F2"/>
    <w:rsid w:val="3DA13756"/>
    <w:rsid w:val="4AB76623"/>
    <w:rsid w:val="62A159F6"/>
    <w:rsid w:val="77DC38E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semiHidden="0" w:unhideWhenUsed="0" w:qFormat="1"/>
    <w:lsdException w:name="footer" w:semiHidden="0" w:unhideWhenUsed="0"/>
    <w:lsdException w:name="caption" w:qFormat="1"/>
    <w:lsdException w:name="annotation reference" w:uiPriority="99" w:qFormat="1"/>
    <w:lsdException w:name="page number" w:semiHidden="0" w:unhideWhenUsed="0"/>
    <w:lsdException w:name="List"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qFormat="1"/>
    <w:lsdException w:name="Strong" w:semiHidden="0" w:unhideWhenUsed="0"/>
    <w:lsdException w:name="Emphasis" w:semiHidden="0" w:unhideWhenUsed="0"/>
    <w:lsdException w:name="Plain Text" w:semiHidden="0" w:uiPriority="99"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paragraph" w:styleId="Pagrindinistekstas">
    <w:name w:val="Body Text"/>
    <w:basedOn w:val="prastasis"/>
    <w:pPr>
      <w:spacing w:after="120"/>
    </w:p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semiHidden/>
    <w:unhideWhenUsed/>
    <w:rPr>
      <w:b/>
      <w:bCs/>
    </w:rPr>
  </w:style>
  <w:style w:type="paragraph" w:styleId="Porat">
    <w:name w:val="footer"/>
    <w:basedOn w:val="prastasis"/>
    <w:link w:val="PoratDiagrama"/>
    <w:pPr>
      <w:tabs>
        <w:tab w:val="right" w:pos="8306"/>
      </w:tabs>
      <w:jc w:val="right"/>
    </w:pPr>
    <w:rPr>
      <w:sz w:val="16"/>
    </w:rPr>
  </w:style>
  <w:style w:type="paragraph" w:styleId="Antrats">
    <w:name w:val="header"/>
    <w:basedOn w:val="prastasis"/>
    <w:qFormat/>
    <w:pPr>
      <w:suppressLineNumbers/>
      <w:tabs>
        <w:tab w:val="right" w:pos="-1135"/>
        <w:tab w:val="center" w:pos="-568"/>
      </w:tabs>
    </w:pPr>
  </w:style>
  <w:style w:type="paragraph" w:styleId="Sraas">
    <w:name w:val="List"/>
    <w:basedOn w:val="Tekstas"/>
    <w:rPr>
      <w:rFonts w:cs="Tahoma"/>
    </w:rPr>
  </w:style>
  <w:style w:type="paragraph" w:customStyle="1" w:styleId="Tekstas">
    <w:name w:val="Tekstas"/>
    <w:basedOn w:val="prastasis"/>
    <w:qFormat/>
    <w:pPr>
      <w:spacing w:before="40" w:after="40"/>
      <w:ind w:right="40" w:firstLine="1247"/>
      <w:jc w:val="both"/>
    </w:pPr>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paragraph" w:styleId="Antrinispavadinimas">
    <w:name w:val="Subtitle"/>
    <w:basedOn w:val="Antrat10"/>
    <w:next w:val="Pagrindinistekstas"/>
    <w:rPr>
      <w:i/>
      <w:iCs/>
      <w:sz w:val="28"/>
    </w:rPr>
  </w:style>
  <w:style w:type="paragraph" w:customStyle="1" w:styleId="Antrat10">
    <w:name w:val="Antraštė1"/>
    <w:basedOn w:val="prastasis"/>
    <w:next w:val="Pagrindinistekstas"/>
    <w:pPr>
      <w:keepNext/>
      <w:spacing w:after="119"/>
      <w:jc w:val="center"/>
    </w:pPr>
    <w:rPr>
      <w:rFonts w:eastAsia="MS Mincho" w:cs="Tahoma"/>
      <w:szCs w:val="28"/>
    </w:rPr>
  </w:style>
  <w:style w:type="paragraph" w:styleId="Pavadinimas">
    <w:name w:val="Title"/>
    <w:basedOn w:val="Antrat10"/>
    <w:next w:val="Antrinispavadinimas"/>
    <w:qFormat/>
  </w:style>
  <w:style w:type="character" w:styleId="Komentaronuoroda">
    <w:name w:val="annotation reference"/>
    <w:basedOn w:val="Numatytasispastraiposriftas"/>
    <w:uiPriority w:val="99"/>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qFormat/>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rPr>
      <w:sz w:val="24"/>
      <w:szCs w:val="24"/>
      <w:lang w:eastAsia="ar-SA"/>
    </w:rPr>
  </w:style>
  <w:style w:type="paragraph" w:styleId="Betarp">
    <w:name w:val="No Spacing"/>
    <w:uiPriority w:val="1"/>
    <w:qFormat/>
    <w:rPr>
      <w:rFonts w:ascii="Calibri" w:eastAsia="Calibri" w:hAnsi="Calibri"/>
      <w:sz w:val="22"/>
      <w:szCs w:val="22"/>
      <w:lang w:eastAsia="en-US"/>
    </w:rPr>
  </w:style>
  <w:style w:type="character" w:customStyle="1" w:styleId="PaprastasistekstasDiagrama">
    <w:name w:val="Paprastasis tekstas Diagrama"/>
    <w:basedOn w:val="Numatytasispastraiposriftas"/>
    <w:link w:val="Paprastasistekstas"/>
    <w:uiPriority w:val="99"/>
    <w:qFormat/>
    <w:rPr>
      <w:rFonts w:ascii="Calibri" w:eastAsiaTheme="minorHAnsi" w:hAnsi="Calibri" w:cstheme="minorBidi"/>
      <w:sz w:val="22"/>
      <w:szCs w:val="21"/>
      <w:lang w:eastAsia="en-US"/>
    </w:rPr>
  </w:style>
  <w:style w:type="character" w:customStyle="1" w:styleId="KomentarotekstasDiagrama">
    <w:name w:val="Komentaro tekstas Diagrama"/>
    <w:basedOn w:val="Numatytasispastraiposriftas"/>
    <w:link w:val="Komentarotekstas"/>
    <w:uiPriority w:val="99"/>
    <w:semiHidden/>
    <w:rPr>
      <w:lang w:eastAsia="ar-SA"/>
    </w:rPr>
  </w:style>
  <w:style w:type="character" w:customStyle="1" w:styleId="KomentarotemaDiagrama">
    <w:name w:val="Komentaro tema Diagrama"/>
    <w:basedOn w:val="KomentarotekstasDiagrama"/>
    <w:link w:val="Komentarotema"/>
    <w:semiHidden/>
    <w:qFormat/>
    <w:rPr>
      <w:b/>
      <w:bCs/>
      <w:lang w:eastAsia="ar-SA"/>
    </w:rPr>
  </w:style>
  <w:style w:type="character" w:customStyle="1" w:styleId="bkg-highlight-red1">
    <w:name w:val="bkg-highlight-red1"/>
    <w:basedOn w:val="Numatytasispastraiposriftas"/>
    <w:rPr>
      <w:shd w:val="clear" w:color="auto" w:fill="FBCCA2"/>
    </w:rPr>
  </w:style>
  <w:style w:type="paragraph" w:customStyle="1" w:styleId="normal-p">
    <w:name w:val="normal-p"/>
    <w:basedOn w:val="prastasis"/>
    <w:pPr>
      <w:suppressAutoHyphens w:val="0"/>
      <w:spacing w:after="0" w:line="240" w:lineRule="auto"/>
    </w:pPr>
    <w:rPr>
      <w:lang w:eastAsia="lt-LT"/>
    </w:rPr>
  </w:style>
  <w:style w:type="character" w:customStyle="1" w:styleId="normal-h">
    <w:name w:val="normal-h"/>
    <w:basedOn w:val="Numatytasispastraiposrifta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semiHidden="0" w:unhideWhenUsed="0" w:qFormat="1"/>
    <w:lsdException w:name="footer" w:semiHidden="0" w:unhideWhenUsed="0"/>
    <w:lsdException w:name="caption" w:qFormat="1"/>
    <w:lsdException w:name="annotation reference" w:uiPriority="99" w:qFormat="1"/>
    <w:lsdException w:name="page number" w:semiHidden="0" w:unhideWhenUsed="0"/>
    <w:lsdException w:name="List"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qFormat="1"/>
    <w:lsdException w:name="Strong" w:semiHidden="0" w:unhideWhenUsed="0"/>
    <w:lsdException w:name="Emphasis" w:semiHidden="0" w:unhideWhenUsed="0"/>
    <w:lsdException w:name="Plain Text" w:semiHidden="0" w:uiPriority="99"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paragraph" w:styleId="Pagrindinistekstas">
    <w:name w:val="Body Text"/>
    <w:basedOn w:val="prastasis"/>
    <w:pPr>
      <w:spacing w:after="120"/>
    </w:p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semiHidden/>
    <w:unhideWhenUsed/>
    <w:rPr>
      <w:b/>
      <w:bCs/>
    </w:rPr>
  </w:style>
  <w:style w:type="paragraph" w:styleId="Porat">
    <w:name w:val="footer"/>
    <w:basedOn w:val="prastasis"/>
    <w:link w:val="PoratDiagrama"/>
    <w:pPr>
      <w:tabs>
        <w:tab w:val="right" w:pos="8306"/>
      </w:tabs>
      <w:jc w:val="right"/>
    </w:pPr>
    <w:rPr>
      <w:sz w:val="16"/>
    </w:rPr>
  </w:style>
  <w:style w:type="paragraph" w:styleId="Antrats">
    <w:name w:val="header"/>
    <w:basedOn w:val="prastasis"/>
    <w:qFormat/>
    <w:pPr>
      <w:suppressLineNumbers/>
      <w:tabs>
        <w:tab w:val="right" w:pos="-1135"/>
        <w:tab w:val="center" w:pos="-568"/>
      </w:tabs>
    </w:pPr>
  </w:style>
  <w:style w:type="paragraph" w:styleId="Sraas">
    <w:name w:val="List"/>
    <w:basedOn w:val="Tekstas"/>
    <w:rPr>
      <w:rFonts w:cs="Tahoma"/>
    </w:rPr>
  </w:style>
  <w:style w:type="paragraph" w:customStyle="1" w:styleId="Tekstas">
    <w:name w:val="Tekstas"/>
    <w:basedOn w:val="prastasis"/>
    <w:qFormat/>
    <w:pPr>
      <w:spacing w:before="40" w:after="40"/>
      <w:ind w:right="40" w:firstLine="1247"/>
      <w:jc w:val="both"/>
    </w:pPr>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paragraph" w:styleId="Antrinispavadinimas">
    <w:name w:val="Subtitle"/>
    <w:basedOn w:val="Antrat10"/>
    <w:next w:val="Pagrindinistekstas"/>
    <w:rPr>
      <w:i/>
      <w:iCs/>
      <w:sz w:val="28"/>
    </w:rPr>
  </w:style>
  <w:style w:type="paragraph" w:customStyle="1" w:styleId="Antrat10">
    <w:name w:val="Antraštė1"/>
    <w:basedOn w:val="prastasis"/>
    <w:next w:val="Pagrindinistekstas"/>
    <w:pPr>
      <w:keepNext/>
      <w:spacing w:after="119"/>
      <w:jc w:val="center"/>
    </w:pPr>
    <w:rPr>
      <w:rFonts w:eastAsia="MS Mincho" w:cs="Tahoma"/>
      <w:szCs w:val="28"/>
    </w:rPr>
  </w:style>
  <w:style w:type="paragraph" w:styleId="Pavadinimas">
    <w:name w:val="Title"/>
    <w:basedOn w:val="Antrat10"/>
    <w:next w:val="Antrinispavadinimas"/>
    <w:qFormat/>
  </w:style>
  <w:style w:type="character" w:styleId="Komentaronuoroda">
    <w:name w:val="annotation reference"/>
    <w:basedOn w:val="Numatytasispastraiposriftas"/>
    <w:uiPriority w:val="99"/>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qFormat/>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rPr>
      <w:sz w:val="24"/>
      <w:szCs w:val="24"/>
      <w:lang w:eastAsia="ar-SA"/>
    </w:rPr>
  </w:style>
  <w:style w:type="paragraph" w:styleId="Betarp">
    <w:name w:val="No Spacing"/>
    <w:uiPriority w:val="1"/>
    <w:qFormat/>
    <w:rPr>
      <w:rFonts w:ascii="Calibri" w:eastAsia="Calibri" w:hAnsi="Calibri"/>
      <w:sz w:val="22"/>
      <w:szCs w:val="22"/>
      <w:lang w:eastAsia="en-US"/>
    </w:rPr>
  </w:style>
  <w:style w:type="character" w:customStyle="1" w:styleId="PaprastasistekstasDiagrama">
    <w:name w:val="Paprastasis tekstas Diagrama"/>
    <w:basedOn w:val="Numatytasispastraiposriftas"/>
    <w:link w:val="Paprastasistekstas"/>
    <w:uiPriority w:val="99"/>
    <w:qFormat/>
    <w:rPr>
      <w:rFonts w:ascii="Calibri" w:eastAsiaTheme="minorHAnsi" w:hAnsi="Calibri" w:cstheme="minorBidi"/>
      <w:sz w:val="22"/>
      <w:szCs w:val="21"/>
      <w:lang w:eastAsia="en-US"/>
    </w:rPr>
  </w:style>
  <w:style w:type="character" w:customStyle="1" w:styleId="KomentarotekstasDiagrama">
    <w:name w:val="Komentaro tekstas Diagrama"/>
    <w:basedOn w:val="Numatytasispastraiposriftas"/>
    <w:link w:val="Komentarotekstas"/>
    <w:uiPriority w:val="99"/>
    <w:semiHidden/>
    <w:rPr>
      <w:lang w:eastAsia="ar-SA"/>
    </w:rPr>
  </w:style>
  <w:style w:type="character" w:customStyle="1" w:styleId="KomentarotemaDiagrama">
    <w:name w:val="Komentaro tema Diagrama"/>
    <w:basedOn w:val="KomentarotekstasDiagrama"/>
    <w:link w:val="Komentarotema"/>
    <w:semiHidden/>
    <w:qFormat/>
    <w:rPr>
      <w:b/>
      <w:bCs/>
      <w:lang w:eastAsia="ar-SA"/>
    </w:rPr>
  </w:style>
  <w:style w:type="character" w:customStyle="1" w:styleId="bkg-highlight-red1">
    <w:name w:val="bkg-highlight-red1"/>
    <w:basedOn w:val="Numatytasispastraiposriftas"/>
    <w:rPr>
      <w:shd w:val="clear" w:color="auto" w:fill="FBCCA2"/>
    </w:rPr>
  </w:style>
  <w:style w:type="paragraph" w:customStyle="1" w:styleId="normal-p">
    <w:name w:val="normal-p"/>
    <w:basedOn w:val="prastasis"/>
    <w:pPr>
      <w:suppressAutoHyphens w:val="0"/>
      <w:spacing w:after="0" w:line="240" w:lineRule="auto"/>
    </w:pPr>
    <w:rPr>
      <w:lang w:eastAsia="lt-LT"/>
    </w:rPr>
  </w:style>
  <w:style w:type="character" w:customStyle="1" w:styleId="normal-h">
    <w:name w:val="normal-h"/>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e-seimas.lrs.lt/portal/legalAct/lt/TAP/fdc6c6e0204f11eb9604df942ee8e443?jfwid=-kyruxc7ws"
                 TargetMode="External"
                 Type="http://schemas.openxmlformats.org/officeDocument/2006/relationships/hyperlink"/>
   <Relationship Id="rId11" Target="mailto:egle.betingiene@t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34EAB-4734-4D70-AD20-D9811122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2956</Words>
  <Characters>1686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2020-11-27T11:25:00Z</dcterms:created>
  <dc:creator>D.Glodenis</dc:creator>
  <cp:lastModifiedBy>Almira Gecevičiūtė</cp:lastModifiedBy>
  <cp:lastPrinted>2020-09-21T06:57:00Z</cp:lastPrinted>
  <dcterms:modified xsi:type="dcterms:W3CDTF">2020-12-16T19:09:00Z</dcterms:modified>
  <cp:revision>3</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