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F0227" w14:textId="77777777" w:rsidR="005547DC" w:rsidRPr="00E261B2" w:rsidRDefault="005547DC" w:rsidP="00E261B2">
      <w:pPr>
        <w:ind w:left="4820"/>
        <w:rPr>
          <w:lang w:eastAsia="ar-SA"/>
        </w:rPr>
      </w:pPr>
      <w:r w:rsidRPr="00E261B2">
        <w:rPr>
          <w:lang w:eastAsia="ar-SA"/>
        </w:rPr>
        <w:t>PATVIRTINTA</w:t>
      </w:r>
    </w:p>
    <w:p w14:paraId="02F2486C" w14:textId="6209A3CE" w:rsidR="006C0070" w:rsidRPr="00E261B2" w:rsidRDefault="00B93C7B" w:rsidP="00E261B2">
      <w:pPr>
        <w:ind w:left="4820"/>
      </w:pPr>
      <w:r w:rsidRPr="00E261B2">
        <w:rPr>
          <w:lang w:eastAsia="ar-SA"/>
        </w:rPr>
        <w:t>Lietu</w:t>
      </w:r>
      <w:r w:rsidR="003648FB" w:rsidRPr="00E261B2">
        <w:rPr>
          <w:lang w:eastAsia="ar-SA"/>
        </w:rPr>
        <w:t>vos Respublikos Vyriausybės</w:t>
      </w:r>
      <w:r w:rsidR="003648FB" w:rsidRPr="00E261B2">
        <w:rPr>
          <w:lang w:eastAsia="ar-SA"/>
        </w:rPr>
        <w:br/>
        <w:t>2021</w:t>
      </w:r>
      <w:r w:rsidRPr="00E261B2">
        <w:rPr>
          <w:lang w:eastAsia="ar-SA"/>
        </w:rPr>
        <w:t xml:space="preserve"> m. </w:t>
      </w:r>
      <w:r w:rsidR="003648FB" w:rsidRPr="00E261B2">
        <w:rPr>
          <w:lang w:eastAsia="ar-SA"/>
        </w:rPr>
        <w:t xml:space="preserve">               </w:t>
      </w:r>
      <w:r w:rsidR="002C4896" w:rsidRPr="00E261B2">
        <w:rPr>
          <w:lang w:eastAsia="ar-SA"/>
        </w:rPr>
        <w:t xml:space="preserve">  </w:t>
      </w:r>
      <w:r w:rsidRPr="00E261B2">
        <w:rPr>
          <w:lang w:eastAsia="ar-SA"/>
        </w:rPr>
        <w:t>d. nutarim</w:t>
      </w:r>
      <w:r w:rsidR="005547DC" w:rsidRPr="00E261B2">
        <w:rPr>
          <w:lang w:eastAsia="ar-SA"/>
        </w:rPr>
        <w:t>u</w:t>
      </w:r>
      <w:r w:rsidRPr="00E261B2">
        <w:rPr>
          <w:lang w:eastAsia="ar-SA"/>
        </w:rPr>
        <w:t xml:space="preserve"> </w:t>
      </w:r>
      <w:r w:rsidRPr="00E261B2">
        <w:t xml:space="preserve">Nr. </w:t>
      </w:r>
    </w:p>
    <w:p w14:paraId="79F6265A" w14:textId="77777777" w:rsidR="006C0070" w:rsidRPr="00E261B2" w:rsidRDefault="006C0070"/>
    <w:p w14:paraId="732A42BA" w14:textId="77777777" w:rsidR="006C0070" w:rsidRPr="00E261B2" w:rsidRDefault="006C0070"/>
    <w:p w14:paraId="66F9D331" w14:textId="13DD3242" w:rsidR="00B10552" w:rsidRPr="00E261B2" w:rsidRDefault="00B93C7B">
      <w:pPr>
        <w:jc w:val="center"/>
        <w:rPr>
          <w:b/>
          <w:bCs/>
        </w:rPr>
      </w:pPr>
      <w:r w:rsidRPr="00E261B2">
        <w:rPr>
          <w:b/>
          <w:bCs/>
        </w:rPr>
        <w:t xml:space="preserve">SUBJEKTŲ, KURIE PRIVALO KAUPTI </w:t>
      </w:r>
      <w:r w:rsidR="0094750C" w:rsidRPr="00E261B2">
        <w:rPr>
          <w:b/>
          <w:bCs/>
        </w:rPr>
        <w:t>ASMENINĖ</w:t>
      </w:r>
      <w:r w:rsidR="00920361" w:rsidRPr="00E261B2">
        <w:rPr>
          <w:b/>
          <w:bCs/>
        </w:rPr>
        <w:t xml:space="preserve">S </w:t>
      </w:r>
      <w:r w:rsidRPr="00E261B2">
        <w:rPr>
          <w:b/>
          <w:bCs/>
        </w:rPr>
        <w:t>APSAUGOS PRIEMONES</w:t>
      </w:r>
      <w:r w:rsidR="00920361" w:rsidRPr="00E261B2">
        <w:rPr>
          <w:b/>
          <w:bCs/>
        </w:rPr>
        <w:t xml:space="preserve"> IR KITAS VEIKLOS VYKDYMUI UŽTIKRINTI BŪTINAS PRIEMONES</w:t>
      </w:r>
      <w:r w:rsidRPr="00E261B2">
        <w:rPr>
          <w:b/>
          <w:bCs/>
        </w:rPr>
        <w:t xml:space="preserve">, </w:t>
      </w:r>
    </w:p>
    <w:p w14:paraId="1927EFA5" w14:textId="77777777" w:rsidR="006C0070" w:rsidRPr="00E261B2" w:rsidRDefault="00B93C7B">
      <w:pPr>
        <w:jc w:val="center"/>
      </w:pPr>
      <w:r w:rsidRPr="00E261B2">
        <w:rPr>
          <w:b/>
          <w:bCs/>
        </w:rPr>
        <w:t>SĄRAŠAS</w:t>
      </w:r>
    </w:p>
    <w:p w14:paraId="2C21558C" w14:textId="77777777" w:rsidR="005547DC" w:rsidRPr="00E261B2" w:rsidRDefault="005547DC">
      <w:pPr>
        <w:ind w:firstLine="720"/>
        <w:jc w:val="both"/>
      </w:pPr>
    </w:p>
    <w:p w14:paraId="15DBB613" w14:textId="77777777" w:rsidR="006C0070" w:rsidRPr="00E261B2" w:rsidRDefault="00B93C7B">
      <w:pPr>
        <w:ind w:firstLine="720"/>
        <w:jc w:val="both"/>
        <w:rPr>
          <w:szCs w:val="24"/>
        </w:rPr>
      </w:pPr>
      <w:r w:rsidRPr="00E261B2">
        <w:rPr>
          <w:szCs w:val="24"/>
        </w:rPr>
        <w:t xml:space="preserve">1. </w:t>
      </w:r>
      <w:r w:rsidR="002C7B86" w:rsidRPr="00E261B2">
        <w:rPr>
          <w:szCs w:val="24"/>
        </w:rPr>
        <w:t>S</w:t>
      </w:r>
      <w:r w:rsidRPr="00E261B2">
        <w:rPr>
          <w:szCs w:val="24"/>
        </w:rPr>
        <w:t>avivaldybių administracijos.</w:t>
      </w:r>
    </w:p>
    <w:p w14:paraId="28E4C50E" w14:textId="77777777" w:rsidR="006C0070" w:rsidRPr="00E261B2" w:rsidRDefault="00B93C7B">
      <w:pPr>
        <w:ind w:firstLine="720"/>
        <w:jc w:val="both"/>
        <w:rPr>
          <w:szCs w:val="24"/>
        </w:rPr>
      </w:pPr>
      <w:r w:rsidRPr="00E261B2">
        <w:rPr>
          <w:color w:val="000000"/>
          <w:szCs w:val="24"/>
        </w:rPr>
        <w:t>2. Išvardytos savivaldybių institucijos ir įstaigos, ūkio subjektai, kurių savininkė ar dalininkė yra savivaldybė,</w:t>
      </w:r>
      <w:r w:rsidRPr="00E261B2">
        <w:rPr>
          <w:i/>
          <w:iCs/>
          <w:color w:val="000000"/>
          <w:szCs w:val="24"/>
        </w:rPr>
        <w:t xml:space="preserve"> </w:t>
      </w:r>
      <w:r w:rsidRPr="00E261B2">
        <w:rPr>
          <w:color w:val="000000"/>
          <w:szCs w:val="24"/>
        </w:rPr>
        <w:t>ū</w:t>
      </w:r>
      <w:r w:rsidRPr="00E261B2">
        <w:t>kio s</w:t>
      </w:r>
      <w:r w:rsidRPr="00E261B2">
        <w:rPr>
          <w:color w:val="000000"/>
          <w:szCs w:val="24"/>
        </w:rPr>
        <w:t xml:space="preserve">ubjektai ir kitos įstaigos, </w:t>
      </w:r>
      <w:r w:rsidRPr="00E261B2">
        <w:rPr>
          <w:szCs w:val="24"/>
        </w:rPr>
        <w:t>kurių vykdoma veikla ar veiklos pobūdis esant nepalankioms aplinkybėms gali sukelti pavojų gyventojų gyvybei ar sveikatai, turtui, aplinkai ar padaryti kitą žalą, dėl kurių galėtų susidaryti ekstremalioji situacija:</w:t>
      </w:r>
    </w:p>
    <w:p w14:paraId="6B686EDE" w14:textId="77777777" w:rsidR="006C0070" w:rsidRPr="00E261B2" w:rsidRDefault="00B93C7B">
      <w:pPr>
        <w:ind w:firstLine="720"/>
        <w:jc w:val="both"/>
        <w:rPr>
          <w:szCs w:val="24"/>
        </w:rPr>
      </w:pPr>
      <w:r w:rsidRPr="00E261B2">
        <w:rPr>
          <w:szCs w:val="24"/>
        </w:rPr>
        <w:t>2.1. pavojingųjų objektų veiklos vykdytojai, apibrėžti Pramoninių avarijų prevencijos, likvidavimo ir tyrimo nuostatuose, patvirtintuose Lietuvos Respublikos Vyriausybės 2004 m. rugpjūčio 17 d. nutarimu Nr. 966 „Dėl Pramoninių avarijų prevencijos, likvidavimo ir tyrimo nuostatų ir Pavojingųjų medžiagų ir mišinių sąrašo, jų kvalifikacinių kiekių nustatymo ir cheminių medžiagų bei mišinių priskyrimo pavojingosioms medžiagoms kriterijų aprašo patvirtinimo“;</w:t>
      </w:r>
    </w:p>
    <w:p w14:paraId="2072311D" w14:textId="77777777" w:rsidR="006C0070" w:rsidRPr="00E261B2" w:rsidRDefault="00B93C7B">
      <w:pPr>
        <w:ind w:firstLine="720"/>
        <w:jc w:val="both"/>
        <w:rPr>
          <w:szCs w:val="24"/>
        </w:rPr>
      </w:pPr>
      <w:r w:rsidRPr="00E261B2">
        <w:rPr>
          <w:szCs w:val="24"/>
        </w:rPr>
        <w:t>2.2. subjektai, kurie steigia ar įsteigė ir eksploatuoja atliekų tvarkymo valstybinės reikšmės objektus;</w:t>
      </w:r>
    </w:p>
    <w:p w14:paraId="57D2DFC1" w14:textId="77777777" w:rsidR="006C0070" w:rsidRPr="00E261B2" w:rsidRDefault="00B93C7B">
      <w:pPr>
        <w:ind w:firstLine="720"/>
        <w:jc w:val="both"/>
        <w:rPr>
          <w:szCs w:val="24"/>
        </w:rPr>
      </w:pPr>
      <w:r w:rsidRPr="00E261B2">
        <w:rPr>
          <w:szCs w:val="24"/>
        </w:rPr>
        <w:t xml:space="preserve">2.3. subjektai, turintys leidimus pavojingosioms atliekoms apdoroti ir (ar) laikyti jų susidarymo vietoje; </w:t>
      </w:r>
    </w:p>
    <w:p w14:paraId="4FDECE1F" w14:textId="77777777" w:rsidR="006C0070" w:rsidRPr="00E261B2" w:rsidRDefault="00B93C7B">
      <w:pPr>
        <w:ind w:firstLine="720"/>
        <w:jc w:val="both"/>
        <w:rPr>
          <w:szCs w:val="24"/>
        </w:rPr>
      </w:pPr>
      <w:r w:rsidRPr="00E261B2">
        <w:rPr>
          <w:szCs w:val="24"/>
        </w:rPr>
        <w:t>2.4. pavojingąsias chemines medžiagas ir cheminius mišinius tvarkantys subjektai;</w:t>
      </w:r>
    </w:p>
    <w:p w14:paraId="31966164" w14:textId="77777777" w:rsidR="006C0070" w:rsidRPr="00E261B2" w:rsidRDefault="00B93C7B">
      <w:pPr>
        <w:ind w:firstLine="720"/>
        <w:jc w:val="both"/>
        <w:rPr>
          <w:szCs w:val="24"/>
        </w:rPr>
      </w:pPr>
      <w:r w:rsidRPr="00E261B2">
        <w:rPr>
          <w:szCs w:val="24"/>
        </w:rPr>
        <w:t xml:space="preserve">2.5. </w:t>
      </w:r>
      <w:r w:rsidRPr="00E261B2">
        <w:t>subjektai, kurie savo veikloje naudoja Lietuvos Respublikos socialinės apsaugos ir darbo ministro ir Lietuvos Respublikos sveikatos apsaugos ministro patvirtintuose Darbuotojų apsaugos nuo biologinių profesinės rizikos veiksnių poveikio darbe nuostatuose nurodytus trečiosios ir (arba) ketvirtosios rizikos grupės biologinius profesinės rizikos veiksnius arba kurių darbuotojai yra kitaip veikiami šių veiksnių</w:t>
      </w:r>
      <w:r w:rsidRPr="00E261B2">
        <w:rPr>
          <w:szCs w:val="24"/>
        </w:rPr>
        <w:t>;</w:t>
      </w:r>
    </w:p>
    <w:p w14:paraId="712302E8" w14:textId="77777777" w:rsidR="006C0070" w:rsidRPr="00E261B2" w:rsidRDefault="00B93C7B">
      <w:pPr>
        <w:ind w:firstLine="720"/>
        <w:jc w:val="both"/>
        <w:rPr>
          <w:strike/>
          <w:szCs w:val="24"/>
        </w:rPr>
      </w:pPr>
      <w:r w:rsidRPr="00E261B2">
        <w:rPr>
          <w:szCs w:val="24"/>
        </w:rPr>
        <w:t>2.6. subjektai, turintys leidimus padangų atliekoms apdoroti ir (ar) laikyti jų susidarymo vietoje;</w:t>
      </w:r>
      <w:r w:rsidRPr="00E261B2">
        <w:rPr>
          <w:strike/>
          <w:szCs w:val="24"/>
        </w:rPr>
        <w:t xml:space="preserve"> </w:t>
      </w:r>
    </w:p>
    <w:p w14:paraId="6733665B" w14:textId="77777777" w:rsidR="006C0070" w:rsidRPr="00E261B2" w:rsidRDefault="00B93C7B">
      <w:pPr>
        <w:ind w:firstLine="720"/>
        <w:jc w:val="both"/>
        <w:rPr>
          <w:szCs w:val="24"/>
        </w:rPr>
      </w:pPr>
      <w:r w:rsidRPr="00E261B2">
        <w:rPr>
          <w:szCs w:val="24"/>
        </w:rPr>
        <w:t>2.7. subjektai, turintys leidimus nepavojingosioms atliekoms apdoroti ir (ar) laikyti jų susidarymo vietoje.</w:t>
      </w:r>
    </w:p>
    <w:p w14:paraId="39EA9670" w14:textId="77777777" w:rsidR="006C0070" w:rsidRPr="00E261B2" w:rsidRDefault="00B93C7B">
      <w:pPr>
        <w:ind w:firstLine="720"/>
        <w:jc w:val="both"/>
        <w:rPr>
          <w:szCs w:val="24"/>
        </w:rPr>
      </w:pPr>
      <w:r w:rsidRPr="00E261B2">
        <w:rPr>
          <w:szCs w:val="24"/>
        </w:rPr>
        <w:t>3. Išvardyti subjektai, kurių kontrolės ar funkcionavimo sutrikimas arba sutrikdymas keltų pavojų ar padarytų žalą nacionaliniam saugumui – sutrikdytų ūkio sistemos, valstybei svarbios ūkio šakos ar infrastruktūros funkcionavimą:</w:t>
      </w:r>
    </w:p>
    <w:p w14:paraId="779A174F" w14:textId="77777777" w:rsidR="006C0070" w:rsidRPr="00E261B2" w:rsidRDefault="00B93C7B">
      <w:pPr>
        <w:ind w:firstLine="720"/>
        <w:jc w:val="both"/>
        <w:rPr>
          <w:szCs w:val="24"/>
        </w:rPr>
      </w:pPr>
      <w:r w:rsidRPr="00E261B2">
        <w:rPr>
          <w:szCs w:val="24"/>
        </w:rPr>
        <w:t>3.1. pirmos, antros ir trečios kategorijos nacionaliniam saugumui užtikrinti svarbios įmonės, numatytos Lietuvos Respublikos nacionaliniam saugumui užtikrinti svarbių objektų apsaugos įstatyme;</w:t>
      </w:r>
    </w:p>
    <w:p w14:paraId="6D7D1C9F" w14:textId="77777777" w:rsidR="006C0070" w:rsidRPr="00E261B2" w:rsidRDefault="00B93C7B">
      <w:pPr>
        <w:ind w:firstLine="720"/>
        <w:jc w:val="both"/>
        <w:rPr>
          <w:szCs w:val="24"/>
        </w:rPr>
      </w:pPr>
      <w:r w:rsidRPr="00E261B2">
        <w:rPr>
          <w:szCs w:val="24"/>
        </w:rPr>
        <w:t>3.2. subjektai, kurie Lietuvos Respublikos Vyriausybės 2010 m. birželio 7 d. nutarimo Nr. 717 „Dėl Objektų pripažinimo valstybinės reikšmės objektais tvarkos aprašo patvirtinimo“ nustatyta tvarka yra pripažinti valstybinės reikšmės objektais arba eksploatuoja jiems priklausančius valstybinės reikšmės objektus.</w:t>
      </w:r>
    </w:p>
    <w:p w14:paraId="73BFE164" w14:textId="77777777" w:rsidR="006C0070" w:rsidRPr="00E261B2" w:rsidRDefault="00B93C7B">
      <w:pPr>
        <w:ind w:firstLine="720"/>
        <w:jc w:val="both"/>
      </w:pPr>
      <w:r w:rsidRPr="00E261B2">
        <w:t>4. Subjektai, kurie privalo užtikrinti svarbiausių kilnojamųjų kultūros vertybių apsaugą:</w:t>
      </w:r>
    </w:p>
    <w:p w14:paraId="2336AD3F" w14:textId="73EB45D7" w:rsidR="006C0070" w:rsidRPr="00E261B2" w:rsidRDefault="00B93C7B">
      <w:pPr>
        <w:ind w:firstLine="720"/>
        <w:jc w:val="both"/>
        <w:rPr>
          <w:sz w:val="22"/>
          <w:szCs w:val="22"/>
        </w:rPr>
      </w:pPr>
      <w:r w:rsidRPr="00E261B2">
        <w:t xml:space="preserve">4.1. nacionaliniai </w:t>
      </w:r>
      <w:r w:rsidR="00401B4E" w:rsidRPr="00E261B2">
        <w:t xml:space="preserve">ir respublikiniai </w:t>
      </w:r>
      <w:r w:rsidRPr="00E261B2">
        <w:t>muziejai;</w:t>
      </w:r>
    </w:p>
    <w:p w14:paraId="03A0FD5E" w14:textId="23E332AE" w:rsidR="006C0070" w:rsidRPr="00E261B2" w:rsidRDefault="00B93C7B">
      <w:pPr>
        <w:ind w:firstLine="720"/>
        <w:jc w:val="both"/>
      </w:pPr>
      <w:r w:rsidRPr="00E261B2">
        <w:t>4.2. Lietuvos nacionalinė Martyno Mažvydo biblioteka</w:t>
      </w:r>
      <w:r w:rsidR="00401B4E" w:rsidRPr="00E261B2">
        <w:t>, valstybinės reikšmės bibliotekos</w:t>
      </w:r>
      <w:r w:rsidRPr="00E261B2">
        <w:t>;</w:t>
      </w:r>
    </w:p>
    <w:p w14:paraId="5224AA75" w14:textId="77777777" w:rsidR="006C0070" w:rsidRPr="00E261B2" w:rsidRDefault="00B93C7B">
      <w:pPr>
        <w:ind w:firstLine="720"/>
        <w:jc w:val="both"/>
        <w:rPr>
          <w:szCs w:val="24"/>
        </w:rPr>
      </w:pPr>
      <w:r w:rsidRPr="00E261B2">
        <w:t>4.3. valstybės archyvai.</w:t>
      </w:r>
    </w:p>
    <w:p w14:paraId="63AC23E4" w14:textId="77777777" w:rsidR="006C0070" w:rsidRPr="00E261B2" w:rsidRDefault="00B93C7B">
      <w:pPr>
        <w:ind w:firstLine="720"/>
        <w:jc w:val="both"/>
        <w:rPr>
          <w:szCs w:val="24"/>
        </w:rPr>
      </w:pPr>
      <w:r w:rsidRPr="00E261B2">
        <w:rPr>
          <w:szCs w:val="24"/>
        </w:rPr>
        <w:t>5. Subjektai, kurie užtikrina gyvybiškai svarbių paslaugų teikimą gyventojams:</w:t>
      </w:r>
    </w:p>
    <w:p w14:paraId="5DE9D66A" w14:textId="77777777" w:rsidR="006C0070" w:rsidRPr="00E261B2" w:rsidRDefault="00B93C7B">
      <w:pPr>
        <w:ind w:firstLine="720"/>
        <w:jc w:val="both"/>
        <w:rPr>
          <w:szCs w:val="24"/>
        </w:rPr>
      </w:pPr>
      <w:r w:rsidRPr="00E261B2">
        <w:rPr>
          <w:szCs w:val="24"/>
        </w:rPr>
        <w:t xml:space="preserve">5.1. asmens ir visuomenės sveikatos priežiūros paslaugų tęstinumo užtikrinimas: </w:t>
      </w:r>
    </w:p>
    <w:p w14:paraId="6ED3929F" w14:textId="77777777" w:rsidR="006C0070" w:rsidRPr="00E261B2" w:rsidRDefault="00B93C7B">
      <w:pPr>
        <w:ind w:firstLine="720"/>
        <w:jc w:val="both"/>
        <w:rPr>
          <w:szCs w:val="24"/>
        </w:rPr>
      </w:pPr>
      <w:r w:rsidRPr="00E261B2">
        <w:rPr>
          <w:szCs w:val="24"/>
        </w:rPr>
        <w:lastRenderedPageBreak/>
        <w:t>5.1.1. licencijuojamas asmens sveikatos priežiūros paslaugas teikiančios asmens sveikatos priežiūros įstaigos (nepriklausomai nuo pavaldumo ir nuosavybės formos);</w:t>
      </w:r>
    </w:p>
    <w:p w14:paraId="45ACD01A" w14:textId="77777777" w:rsidR="006C0070" w:rsidRPr="00E261B2" w:rsidRDefault="00B93C7B">
      <w:pPr>
        <w:ind w:firstLine="720"/>
        <w:jc w:val="both"/>
        <w:rPr>
          <w:szCs w:val="24"/>
        </w:rPr>
      </w:pPr>
      <w:r w:rsidRPr="00E261B2">
        <w:rPr>
          <w:szCs w:val="24"/>
        </w:rPr>
        <w:t>5.1.2. licencijuojamas visuomenės sveikatos priežiūros paslaugas teikiančios įstaigos;</w:t>
      </w:r>
    </w:p>
    <w:p w14:paraId="11B8567B" w14:textId="77777777" w:rsidR="006C0070" w:rsidRPr="00E261B2" w:rsidRDefault="00B93C7B">
      <w:pPr>
        <w:ind w:firstLine="720"/>
        <w:jc w:val="both"/>
        <w:rPr>
          <w:szCs w:val="24"/>
        </w:rPr>
      </w:pPr>
      <w:r w:rsidRPr="00E261B2">
        <w:rPr>
          <w:szCs w:val="24"/>
        </w:rPr>
        <w:t>5.1.3. savivaldybių visuomenės sveikatos biurai;</w:t>
      </w:r>
    </w:p>
    <w:p w14:paraId="67DA68C6" w14:textId="77777777" w:rsidR="006C0070" w:rsidRPr="00E261B2" w:rsidRDefault="00B93C7B">
      <w:pPr>
        <w:ind w:firstLine="720"/>
        <w:jc w:val="both"/>
        <w:rPr>
          <w:szCs w:val="24"/>
        </w:rPr>
      </w:pPr>
      <w:r w:rsidRPr="00E261B2">
        <w:rPr>
          <w:szCs w:val="24"/>
        </w:rPr>
        <w:t>5.1.4. vaistinės;</w:t>
      </w:r>
    </w:p>
    <w:p w14:paraId="7F15A63C" w14:textId="4D5C95CA" w:rsidR="00401B4E" w:rsidRPr="00E261B2" w:rsidRDefault="00401B4E">
      <w:pPr>
        <w:ind w:firstLine="720"/>
        <w:jc w:val="both"/>
        <w:rPr>
          <w:szCs w:val="24"/>
        </w:rPr>
      </w:pPr>
      <w:r w:rsidRPr="00E261B2">
        <w:rPr>
          <w:szCs w:val="24"/>
        </w:rPr>
        <w:t>5.1.5. Nacionalinis visuomenės sveikatos centras prie Sveikatos apsaugos ministerijos;</w:t>
      </w:r>
    </w:p>
    <w:p w14:paraId="5C157EF9" w14:textId="7B8F15E4" w:rsidR="00401B4E" w:rsidRPr="00E261B2" w:rsidRDefault="00401B4E">
      <w:pPr>
        <w:ind w:firstLine="720"/>
        <w:jc w:val="both"/>
        <w:rPr>
          <w:szCs w:val="24"/>
        </w:rPr>
      </w:pPr>
      <w:r w:rsidRPr="00E261B2">
        <w:rPr>
          <w:szCs w:val="24"/>
        </w:rPr>
        <w:t>5.1.6. Nacionalinė visuomenės sveikatos priežiūros laboratorija;</w:t>
      </w:r>
    </w:p>
    <w:p w14:paraId="40F267B2" w14:textId="77777777" w:rsidR="006C0070" w:rsidRPr="00E261B2" w:rsidRDefault="00B93C7B">
      <w:pPr>
        <w:ind w:firstLine="720"/>
        <w:jc w:val="both"/>
        <w:rPr>
          <w:szCs w:val="24"/>
        </w:rPr>
      </w:pPr>
      <w:r w:rsidRPr="00E261B2">
        <w:rPr>
          <w:szCs w:val="24"/>
        </w:rPr>
        <w:t>5.2. socialinės paramos tęstinumo užtikrinimas:</w:t>
      </w:r>
    </w:p>
    <w:p w14:paraId="2E80E37E" w14:textId="77777777" w:rsidR="006C0070" w:rsidRPr="00E261B2" w:rsidRDefault="00B93C7B">
      <w:pPr>
        <w:ind w:firstLine="720"/>
        <w:jc w:val="both"/>
        <w:rPr>
          <w:szCs w:val="24"/>
        </w:rPr>
      </w:pPr>
      <w:r w:rsidRPr="00E261B2">
        <w:rPr>
          <w:szCs w:val="24"/>
        </w:rPr>
        <w:t xml:space="preserve">5.2.1. socialinių paslaugų įstaigos; </w:t>
      </w:r>
    </w:p>
    <w:p w14:paraId="21A42BB9" w14:textId="77777777" w:rsidR="006C0070" w:rsidRPr="00E261B2" w:rsidRDefault="00B93C7B">
      <w:pPr>
        <w:ind w:firstLine="720"/>
        <w:jc w:val="both"/>
        <w:rPr>
          <w:szCs w:val="24"/>
        </w:rPr>
      </w:pPr>
      <w:r w:rsidRPr="00E261B2">
        <w:rPr>
          <w:szCs w:val="24"/>
        </w:rPr>
        <w:t>5.3. švietimo paslaugų tęstinumo užtikrinimas:</w:t>
      </w:r>
    </w:p>
    <w:p w14:paraId="322E0E9B" w14:textId="77777777" w:rsidR="006C0070" w:rsidRPr="00E261B2" w:rsidRDefault="00B93C7B">
      <w:pPr>
        <w:ind w:firstLine="720"/>
        <w:jc w:val="both"/>
        <w:rPr>
          <w:szCs w:val="24"/>
        </w:rPr>
      </w:pPr>
      <w:r w:rsidRPr="00E261B2">
        <w:rPr>
          <w:szCs w:val="24"/>
        </w:rPr>
        <w:t>5.3.1. švietimo įstaigos ir švietimo teikėjai, teikiantys formaliojo švietimo paslaugas;</w:t>
      </w:r>
    </w:p>
    <w:p w14:paraId="2BF32534" w14:textId="77777777" w:rsidR="006C0070" w:rsidRPr="00E261B2" w:rsidRDefault="00B93C7B">
      <w:pPr>
        <w:ind w:firstLine="720"/>
        <w:jc w:val="both"/>
        <w:rPr>
          <w:szCs w:val="24"/>
        </w:rPr>
      </w:pPr>
      <w:r w:rsidRPr="00E261B2">
        <w:rPr>
          <w:szCs w:val="24"/>
        </w:rPr>
        <w:t>5.3.2. švietimo įstaigos ir švietimo teikėjai, teikiantys neformaliojo švietimo paslaugas;</w:t>
      </w:r>
    </w:p>
    <w:p w14:paraId="29E70E04" w14:textId="77777777" w:rsidR="006C0070" w:rsidRPr="00E261B2" w:rsidRDefault="00B93C7B">
      <w:pPr>
        <w:ind w:firstLine="720"/>
        <w:jc w:val="both"/>
        <w:rPr>
          <w:szCs w:val="24"/>
        </w:rPr>
      </w:pPr>
      <w:r w:rsidRPr="00E261B2">
        <w:rPr>
          <w:szCs w:val="24"/>
        </w:rPr>
        <w:t>5.4. komunalinių paslaugų teikimo užtikrinimas:</w:t>
      </w:r>
    </w:p>
    <w:p w14:paraId="201165EE" w14:textId="77777777" w:rsidR="006C0070" w:rsidRPr="00E261B2" w:rsidRDefault="00B93C7B">
      <w:pPr>
        <w:ind w:firstLine="720"/>
        <w:jc w:val="both"/>
        <w:rPr>
          <w:szCs w:val="24"/>
        </w:rPr>
      </w:pPr>
      <w:r w:rsidRPr="00E261B2">
        <w:rPr>
          <w:szCs w:val="24"/>
        </w:rPr>
        <w:t xml:space="preserve">5.4.1. nepavojingąsias atliekas šalinantys subjektai; </w:t>
      </w:r>
    </w:p>
    <w:p w14:paraId="568010F5" w14:textId="77777777" w:rsidR="006C0070" w:rsidRPr="00E261B2" w:rsidRDefault="00B93C7B">
      <w:pPr>
        <w:ind w:firstLine="720"/>
        <w:jc w:val="both"/>
        <w:rPr>
          <w:szCs w:val="24"/>
        </w:rPr>
      </w:pPr>
      <w:r w:rsidRPr="00E261B2">
        <w:rPr>
          <w:szCs w:val="24"/>
        </w:rPr>
        <w:t xml:space="preserve">5.4.2. komunalinių atliekų apdorojimo įrenginius eksploatuojantys subjektai; </w:t>
      </w:r>
    </w:p>
    <w:p w14:paraId="0A177B5F" w14:textId="77777777" w:rsidR="006C0070" w:rsidRPr="00E261B2" w:rsidRDefault="00B93C7B">
      <w:pPr>
        <w:ind w:firstLine="720"/>
        <w:jc w:val="both"/>
        <w:rPr>
          <w:szCs w:val="24"/>
        </w:rPr>
      </w:pPr>
      <w:r w:rsidRPr="00E261B2">
        <w:rPr>
          <w:szCs w:val="24"/>
        </w:rPr>
        <w:t xml:space="preserve">5.4.3. komunalines atliekas surenkantys subjektai; </w:t>
      </w:r>
    </w:p>
    <w:p w14:paraId="41E4A25C" w14:textId="77777777" w:rsidR="006C0070" w:rsidRPr="00E261B2" w:rsidRDefault="00B93C7B">
      <w:pPr>
        <w:ind w:firstLine="720"/>
        <w:jc w:val="both"/>
        <w:rPr>
          <w:szCs w:val="24"/>
        </w:rPr>
      </w:pPr>
      <w:r w:rsidRPr="00E261B2">
        <w:rPr>
          <w:szCs w:val="24"/>
        </w:rPr>
        <w:t>5.4.4. centralizuoto šilumos tiekimo paslaugas teikiantys subjektai;</w:t>
      </w:r>
    </w:p>
    <w:p w14:paraId="7B357BC2" w14:textId="77777777" w:rsidR="006C0070" w:rsidRPr="00E261B2" w:rsidRDefault="00B93C7B">
      <w:pPr>
        <w:ind w:firstLine="720"/>
        <w:jc w:val="both"/>
        <w:rPr>
          <w:szCs w:val="24"/>
        </w:rPr>
      </w:pPr>
      <w:r w:rsidRPr="00E261B2">
        <w:rPr>
          <w:szCs w:val="24"/>
        </w:rPr>
        <w:t xml:space="preserve">5.4.5. viešieji geriamojo vandens tiekėjai ir nuotekų tvarkytojai; </w:t>
      </w:r>
    </w:p>
    <w:p w14:paraId="4DD9C799" w14:textId="27DDBE4F" w:rsidR="006C0070" w:rsidRPr="00E261B2" w:rsidRDefault="00B93C7B">
      <w:pPr>
        <w:ind w:firstLine="720"/>
        <w:jc w:val="both"/>
        <w:rPr>
          <w:szCs w:val="24"/>
        </w:rPr>
      </w:pPr>
      <w:r w:rsidRPr="00E261B2">
        <w:rPr>
          <w:szCs w:val="24"/>
        </w:rPr>
        <w:t>5.5. elektros energij</w:t>
      </w:r>
      <w:r w:rsidR="0070641A" w:rsidRPr="00E261B2">
        <w:rPr>
          <w:szCs w:val="24"/>
        </w:rPr>
        <w:t>os tiekimą, skirstymą, perdavimą, kaupimą vykdantys ir elektros energijos persiuntimo paslaugas teikiantys</w:t>
      </w:r>
      <w:r w:rsidRPr="00E261B2">
        <w:rPr>
          <w:szCs w:val="24"/>
        </w:rPr>
        <w:t xml:space="preserve"> subjektai</w:t>
      </w:r>
      <w:r w:rsidR="0070641A" w:rsidRPr="00E261B2">
        <w:rPr>
          <w:szCs w:val="24"/>
        </w:rPr>
        <w:t xml:space="preserve">, kurie neatitinka kitų </w:t>
      </w:r>
      <w:r w:rsidR="00ED6BD9" w:rsidRPr="008E3379">
        <w:t>šiame sąraše</w:t>
      </w:r>
      <w:r w:rsidR="0070641A" w:rsidRPr="008E3379">
        <w:rPr>
          <w:szCs w:val="24"/>
        </w:rPr>
        <w:t xml:space="preserve"> </w:t>
      </w:r>
      <w:r w:rsidR="0070641A" w:rsidRPr="00E261B2">
        <w:rPr>
          <w:szCs w:val="24"/>
        </w:rPr>
        <w:t>išvard</w:t>
      </w:r>
      <w:r w:rsidR="00E261B2">
        <w:rPr>
          <w:szCs w:val="24"/>
        </w:rPr>
        <w:t>y</w:t>
      </w:r>
      <w:r w:rsidR="0070641A" w:rsidRPr="00E261B2">
        <w:rPr>
          <w:szCs w:val="24"/>
        </w:rPr>
        <w:t>tų subjektų apibrėžimo</w:t>
      </w:r>
      <w:r w:rsidRPr="00E261B2">
        <w:rPr>
          <w:szCs w:val="24"/>
        </w:rPr>
        <w:t>;</w:t>
      </w:r>
    </w:p>
    <w:p w14:paraId="36CB17D1" w14:textId="77777777" w:rsidR="006C0070" w:rsidRPr="00E261B2" w:rsidRDefault="00B93C7B">
      <w:pPr>
        <w:ind w:firstLine="720"/>
        <w:jc w:val="both"/>
        <w:rPr>
          <w:szCs w:val="24"/>
        </w:rPr>
      </w:pPr>
      <w:r w:rsidRPr="00E261B2">
        <w:rPr>
          <w:szCs w:val="24"/>
        </w:rPr>
        <w:t>5.6. elektroninių ryšių ir paslaugų teikėjai;</w:t>
      </w:r>
    </w:p>
    <w:p w14:paraId="285D8199" w14:textId="77777777" w:rsidR="006C0070" w:rsidRPr="00E261B2" w:rsidRDefault="00B93C7B">
      <w:pPr>
        <w:ind w:firstLine="720"/>
        <w:jc w:val="both"/>
        <w:rPr>
          <w:szCs w:val="24"/>
        </w:rPr>
      </w:pPr>
      <w:r w:rsidRPr="00E261B2">
        <w:rPr>
          <w:szCs w:val="24"/>
        </w:rPr>
        <w:t>5.7. subjektai, vykdantys kelių priežiūrą;</w:t>
      </w:r>
    </w:p>
    <w:p w14:paraId="012981A7" w14:textId="77777777" w:rsidR="0070641A" w:rsidRPr="00E261B2" w:rsidRDefault="00B93C7B">
      <w:pPr>
        <w:ind w:firstLine="720"/>
        <w:jc w:val="both"/>
        <w:rPr>
          <w:szCs w:val="24"/>
        </w:rPr>
      </w:pPr>
      <w:r w:rsidRPr="00E261B2">
        <w:rPr>
          <w:szCs w:val="24"/>
        </w:rPr>
        <w:t xml:space="preserve">5.8. </w:t>
      </w:r>
      <w:r w:rsidRPr="00E261B2">
        <w:t>parduotuvės (įskaitant parduotuves prekybos ir (arba) pramogų centruose), kurių pagrindinė veikla yra maisto prekių pardavimas</w:t>
      </w:r>
      <w:r w:rsidR="0070641A" w:rsidRPr="00E261B2">
        <w:rPr>
          <w:szCs w:val="24"/>
        </w:rPr>
        <w:t>;</w:t>
      </w:r>
    </w:p>
    <w:p w14:paraId="264187CD" w14:textId="1988654A" w:rsidR="006C0070" w:rsidRPr="00E261B2" w:rsidRDefault="0070641A">
      <w:pPr>
        <w:ind w:firstLine="720"/>
        <w:jc w:val="both"/>
        <w:rPr>
          <w:szCs w:val="24"/>
        </w:rPr>
      </w:pPr>
      <w:r w:rsidRPr="00E261B2">
        <w:rPr>
          <w:szCs w:val="24"/>
        </w:rPr>
        <w:t>5.9. mažmeninę prekybą nefasuotais naftos produktais vykdantys subjektai</w:t>
      </w:r>
      <w:r w:rsidR="00B93C7B" w:rsidRPr="00E261B2">
        <w:rPr>
          <w:szCs w:val="24"/>
        </w:rPr>
        <w:t>.</w:t>
      </w:r>
    </w:p>
    <w:p w14:paraId="3B03864F" w14:textId="3AF242F6" w:rsidR="006C0070" w:rsidRPr="00E261B2" w:rsidRDefault="00B93C7B">
      <w:pPr>
        <w:ind w:firstLine="720"/>
        <w:jc w:val="both"/>
        <w:rPr>
          <w:szCs w:val="24"/>
        </w:rPr>
      </w:pPr>
      <w:r w:rsidRPr="00E261B2">
        <w:rPr>
          <w:szCs w:val="24"/>
        </w:rPr>
        <w:t xml:space="preserve">6. Teismai </w:t>
      </w:r>
      <w:r w:rsidRPr="00E261B2">
        <w:rPr>
          <w:color w:val="000000"/>
          <w:szCs w:val="24"/>
        </w:rPr>
        <w:t>(apsaugos priemones</w:t>
      </w:r>
      <w:r w:rsidR="005543FB">
        <w:rPr>
          <w:color w:val="000000"/>
          <w:szCs w:val="24"/>
        </w:rPr>
        <w:t>,</w:t>
      </w:r>
      <w:r w:rsidRPr="00E261B2">
        <w:rPr>
          <w:color w:val="000000"/>
          <w:szCs w:val="24"/>
        </w:rPr>
        <w:t xml:space="preserve"> teismams įgyvendinant Lietuvos Respublikos teismų įstatymo 124 straipsnio 2 dalies 5 punktą</w:t>
      </w:r>
      <w:bookmarkStart w:id="0" w:name="_GoBack"/>
      <w:r w:rsidR="005543FB">
        <w:rPr>
          <w:color w:val="000000"/>
          <w:szCs w:val="24"/>
        </w:rPr>
        <w:t>,</w:t>
      </w:r>
      <w:bookmarkEnd w:id="0"/>
      <w:r w:rsidRPr="00E261B2">
        <w:rPr>
          <w:color w:val="000000"/>
          <w:szCs w:val="24"/>
        </w:rPr>
        <w:t xml:space="preserve"> kaupia Nacionalinė teismų administracija)</w:t>
      </w:r>
      <w:r w:rsidRPr="00E261B2">
        <w:rPr>
          <w:szCs w:val="24"/>
        </w:rPr>
        <w:t>.</w:t>
      </w:r>
    </w:p>
    <w:p w14:paraId="11445F71" w14:textId="77777777" w:rsidR="006C0070" w:rsidRPr="00E261B2" w:rsidRDefault="00B93C7B" w:rsidP="00FD19C7">
      <w:pPr>
        <w:jc w:val="center"/>
      </w:pPr>
      <w:r w:rsidRPr="00E261B2">
        <w:t>___________________</w:t>
      </w:r>
    </w:p>
    <w:p w14:paraId="070E2442" w14:textId="77777777" w:rsidR="006C0070" w:rsidRPr="00E261B2" w:rsidRDefault="006C0070">
      <w:pPr>
        <w:ind w:firstLine="720"/>
        <w:jc w:val="both"/>
      </w:pPr>
    </w:p>
    <w:p w14:paraId="44919FEA" w14:textId="77777777" w:rsidR="006C0070" w:rsidRPr="00E261B2" w:rsidRDefault="006C0070">
      <w:pPr>
        <w:tabs>
          <w:tab w:val="center" w:pos="-7800"/>
          <w:tab w:val="left" w:pos="6237"/>
          <w:tab w:val="right" w:pos="8306"/>
        </w:tabs>
      </w:pPr>
    </w:p>
    <w:p w14:paraId="21B0A6BB" w14:textId="77777777" w:rsidR="006C0070" w:rsidRPr="00E261B2" w:rsidRDefault="006C0070">
      <w:pPr>
        <w:jc w:val="both"/>
        <w:rPr>
          <w:b/>
          <w:sz w:val="20"/>
        </w:rPr>
      </w:pPr>
    </w:p>
    <w:p w14:paraId="10F91BCB" w14:textId="77777777" w:rsidR="006C0070" w:rsidRPr="00E261B2" w:rsidRDefault="006C0070">
      <w:pPr>
        <w:jc w:val="both"/>
        <w:rPr>
          <w:b/>
          <w:sz w:val="20"/>
        </w:rPr>
      </w:pPr>
    </w:p>
    <w:p w14:paraId="7344AF44" w14:textId="77777777" w:rsidR="005762BE" w:rsidRPr="00E261B2" w:rsidRDefault="005762BE" w:rsidP="00D3532A">
      <w:pPr>
        <w:ind w:left="5387"/>
        <w:rPr>
          <w:snapToGrid w:val="0"/>
        </w:rPr>
      </w:pPr>
    </w:p>
    <w:sectPr w:rsidR="005762BE" w:rsidRPr="00E261B2" w:rsidSect="008E3379">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1BE7C0" w14:textId="77777777" w:rsidR="00DD5FF1" w:rsidRDefault="00DD5FF1">
      <w:r>
        <w:separator/>
      </w:r>
    </w:p>
  </w:endnote>
  <w:endnote w:type="continuationSeparator" w:id="0">
    <w:p w14:paraId="0E2CEA93" w14:textId="77777777" w:rsidR="00DD5FF1" w:rsidRDefault="00DD5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E63E8" w14:textId="77777777" w:rsidR="00E23852" w:rsidRDefault="00E23852">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5A13F" w14:textId="77777777" w:rsidR="00E23852" w:rsidRDefault="00E23852">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6F583" w14:textId="77777777" w:rsidR="00E23852" w:rsidRDefault="00E23852">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4D1B08" w14:textId="77777777" w:rsidR="00DD5FF1" w:rsidRDefault="00DD5FF1">
      <w:r>
        <w:separator/>
      </w:r>
    </w:p>
  </w:footnote>
  <w:footnote w:type="continuationSeparator" w:id="0">
    <w:p w14:paraId="3678A707" w14:textId="77777777" w:rsidR="00DD5FF1" w:rsidRDefault="00DD5F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C8B04" w14:textId="77777777" w:rsidR="00E23852" w:rsidRDefault="00E23852">
    <w:pPr>
      <w:framePr w:wrap="auto" w:vAnchor="text" w:hAnchor="margin" w:xAlign="center" w:y="1"/>
      <w:tabs>
        <w:tab w:val="center" w:pos="4153"/>
        <w:tab w:val="right" w:pos="8306"/>
      </w:tabs>
    </w:pPr>
    <w:r>
      <w:fldChar w:fldCharType="begin"/>
    </w:r>
    <w:r>
      <w:instrText xml:space="preserve">PAGE  </w:instrText>
    </w:r>
    <w:r>
      <w:fldChar w:fldCharType="separate"/>
    </w:r>
    <w:r>
      <w:t>1</w:t>
    </w:r>
    <w:r>
      <w:fldChar w:fldCharType="end"/>
    </w:r>
  </w:p>
  <w:p w14:paraId="421DF930" w14:textId="77777777" w:rsidR="00E23852" w:rsidRDefault="00E23852">
    <w:pPr>
      <w:tabs>
        <w:tab w:val="center" w:pos="4153"/>
        <w:tab w:val="right" w:pos="8306"/>
      </w:tab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C36B4" w14:textId="77777777" w:rsidR="00E23852" w:rsidRDefault="00E23852">
    <w:pPr>
      <w:framePr w:wrap="auto" w:vAnchor="text" w:hAnchor="margin" w:xAlign="center" w:y="1"/>
      <w:tabs>
        <w:tab w:val="center" w:pos="4153"/>
        <w:tab w:val="right" w:pos="8306"/>
      </w:tabs>
      <w:rPr>
        <w:sz w:val="22"/>
      </w:rPr>
    </w:pPr>
    <w:r>
      <w:rPr>
        <w:sz w:val="22"/>
      </w:rPr>
      <w:fldChar w:fldCharType="begin"/>
    </w:r>
    <w:r>
      <w:rPr>
        <w:sz w:val="22"/>
      </w:rPr>
      <w:instrText xml:space="preserve">PAGE  </w:instrText>
    </w:r>
    <w:r>
      <w:rPr>
        <w:sz w:val="22"/>
      </w:rPr>
      <w:fldChar w:fldCharType="separate"/>
    </w:r>
    <w:r w:rsidR="008E3379">
      <w:rPr>
        <w:noProof/>
        <w:sz w:val="22"/>
      </w:rPr>
      <w:t>2</w:t>
    </w:r>
    <w:r>
      <w:rPr>
        <w:sz w:val="22"/>
      </w:rPr>
      <w:fldChar w:fldCharType="end"/>
    </w:r>
  </w:p>
  <w:p w14:paraId="6D4B61B8" w14:textId="77777777" w:rsidR="00E23852" w:rsidRDefault="00E23852">
    <w:pPr>
      <w:tabs>
        <w:tab w:val="center" w:pos="4153"/>
        <w:tab w:val="right" w:pos="8306"/>
      </w:tab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DCE9A" w14:textId="77777777" w:rsidR="00E23852" w:rsidRDefault="00E23852">
    <w:pPr>
      <w:tabs>
        <w:tab w:val="center" w:pos="4153"/>
        <w:tab w:val="right" w:pos="8306"/>
      </w:tabs>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463FD"/>
    <w:multiLevelType w:val="hybridMultilevel"/>
    <w:tmpl w:val="91C013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593A32"/>
    <w:multiLevelType w:val="hybridMultilevel"/>
    <w:tmpl w:val="E50239B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C505E14"/>
    <w:multiLevelType w:val="multilevel"/>
    <w:tmpl w:val="5D002D40"/>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66A81992"/>
    <w:multiLevelType w:val="hybridMultilevel"/>
    <w:tmpl w:val="9992FEDA"/>
    <w:lvl w:ilvl="0" w:tplc="CFEAF22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7D9F03FF"/>
    <w:multiLevelType w:val="hybridMultilevel"/>
    <w:tmpl w:val="802240CE"/>
    <w:lvl w:ilvl="0" w:tplc="D10673C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662"/>
    <w:rsid w:val="00044A1F"/>
    <w:rsid w:val="00064A78"/>
    <w:rsid w:val="0006609E"/>
    <w:rsid w:val="000B7BAB"/>
    <w:rsid w:val="000C3933"/>
    <w:rsid w:val="000D4A40"/>
    <w:rsid w:val="000D6B20"/>
    <w:rsid w:val="000E1DE4"/>
    <w:rsid w:val="000E56EA"/>
    <w:rsid w:val="000F0305"/>
    <w:rsid w:val="00105D65"/>
    <w:rsid w:val="0012565B"/>
    <w:rsid w:val="001459B6"/>
    <w:rsid w:val="00147560"/>
    <w:rsid w:val="00147EBB"/>
    <w:rsid w:val="0018492B"/>
    <w:rsid w:val="001B70F6"/>
    <w:rsid w:val="001D3651"/>
    <w:rsid w:val="001D37BC"/>
    <w:rsid w:val="0025078B"/>
    <w:rsid w:val="00265A1A"/>
    <w:rsid w:val="002B2254"/>
    <w:rsid w:val="002B5812"/>
    <w:rsid w:val="002B59AC"/>
    <w:rsid w:val="002C4896"/>
    <w:rsid w:val="002C7B86"/>
    <w:rsid w:val="003205AE"/>
    <w:rsid w:val="00333735"/>
    <w:rsid w:val="00335DA7"/>
    <w:rsid w:val="003648FB"/>
    <w:rsid w:val="0038573A"/>
    <w:rsid w:val="00394F39"/>
    <w:rsid w:val="003F7246"/>
    <w:rsid w:val="003F7E06"/>
    <w:rsid w:val="00401B4E"/>
    <w:rsid w:val="0042200B"/>
    <w:rsid w:val="004231E7"/>
    <w:rsid w:val="00442C51"/>
    <w:rsid w:val="00474305"/>
    <w:rsid w:val="004C31AA"/>
    <w:rsid w:val="005120FD"/>
    <w:rsid w:val="00546138"/>
    <w:rsid w:val="00547183"/>
    <w:rsid w:val="00547F9B"/>
    <w:rsid w:val="005543FB"/>
    <w:rsid w:val="005547DC"/>
    <w:rsid w:val="00560E74"/>
    <w:rsid w:val="005762BE"/>
    <w:rsid w:val="00581A56"/>
    <w:rsid w:val="00596ADE"/>
    <w:rsid w:val="005F61FD"/>
    <w:rsid w:val="00615AF2"/>
    <w:rsid w:val="00635D07"/>
    <w:rsid w:val="00645134"/>
    <w:rsid w:val="006671BF"/>
    <w:rsid w:val="00687096"/>
    <w:rsid w:val="006A4415"/>
    <w:rsid w:val="006B2777"/>
    <w:rsid w:val="006B3FED"/>
    <w:rsid w:val="006C0070"/>
    <w:rsid w:val="006D0E6A"/>
    <w:rsid w:val="0070245C"/>
    <w:rsid w:val="007053B4"/>
    <w:rsid w:val="0070641A"/>
    <w:rsid w:val="00781EA5"/>
    <w:rsid w:val="00795A2B"/>
    <w:rsid w:val="00837350"/>
    <w:rsid w:val="00861D1A"/>
    <w:rsid w:val="008664D7"/>
    <w:rsid w:val="00893768"/>
    <w:rsid w:val="008A0433"/>
    <w:rsid w:val="008D04D5"/>
    <w:rsid w:val="008D176B"/>
    <w:rsid w:val="008E3379"/>
    <w:rsid w:val="008F25F6"/>
    <w:rsid w:val="0090135B"/>
    <w:rsid w:val="00920361"/>
    <w:rsid w:val="00923F15"/>
    <w:rsid w:val="00930BA0"/>
    <w:rsid w:val="00931FA0"/>
    <w:rsid w:val="009373F7"/>
    <w:rsid w:val="0094750C"/>
    <w:rsid w:val="009537FE"/>
    <w:rsid w:val="00970CEE"/>
    <w:rsid w:val="00977B2D"/>
    <w:rsid w:val="009C0409"/>
    <w:rsid w:val="009C203B"/>
    <w:rsid w:val="009D6600"/>
    <w:rsid w:val="00A14FC6"/>
    <w:rsid w:val="00A158E2"/>
    <w:rsid w:val="00A32B58"/>
    <w:rsid w:val="00A42AB6"/>
    <w:rsid w:val="00A6382F"/>
    <w:rsid w:val="00A958B7"/>
    <w:rsid w:val="00AC1A79"/>
    <w:rsid w:val="00AD7547"/>
    <w:rsid w:val="00AF4A73"/>
    <w:rsid w:val="00B0026D"/>
    <w:rsid w:val="00B0253A"/>
    <w:rsid w:val="00B10552"/>
    <w:rsid w:val="00B33A07"/>
    <w:rsid w:val="00B42662"/>
    <w:rsid w:val="00B4405C"/>
    <w:rsid w:val="00B62080"/>
    <w:rsid w:val="00B93C7B"/>
    <w:rsid w:val="00BB2AA5"/>
    <w:rsid w:val="00BF74BC"/>
    <w:rsid w:val="00C24546"/>
    <w:rsid w:val="00C30799"/>
    <w:rsid w:val="00C46DE8"/>
    <w:rsid w:val="00C85722"/>
    <w:rsid w:val="00CA3FF3"/>
    <w:rsid w:val="00CA7F9E"/>
    <w:rsid w:val="00CB51CB"/>
    <w:rsid w:val="00CC4A80"/>
    <w:rsid w:val="00D2110B"/>
    <w:rsid w:val="00D26D11"/>
    <w:rsid w:val="00D3532A"/>
    <w:rsid w:val="00D40EA6"/>
    <w:rsid w:val="00D553E3"/>
    <w:rsid w:val="00DA381E"/>
    <w:rsid w:val="00DA44AA"/>
    <w:rsid w:val="00DC4C68"/>
    <w:rsid w:val="00DD0FC9"/>
    <w:rsid w:val="00DD5FF1"/>
    <w:rsid w:val="00DE2BDF"/>
    <w:rsid w:val="00DF2DD3"/>
    <w:rsid w:val="00E17A49"/>
    <w:rsid w:val="00E23852"/>
    <w:rsid w:val="00E261B2"/>
    <w:rsid w:val="00E36FC5"/>
    <w:rsid w:val="00E40D0D"/>
    <w:rsid w:val="00E53777"/>
    <w:rsid w:val="00E8138B"/>
    <w:rsid w:val="00E84B0A"/>
    <w:rsid w:val="00EA174C"/>
    <w:rsid w:val="00EB0B5D"/>
    <w:rsid w:val="00ED5223"/>
    <w:rsid w:val="00ED6BD9"/>
    <w:rsid w:val="00EE6F5E"/>
    <w:rsid w:val="00F00FB7"/>
    <w:rsid w:val="00F04207"/>
    <w:rsid w:val="00F0760C"/>
    <w:rsid w:val="00F351CA"/>
    <w:rsid w:val="00F427B5"/>
    <w:rsid w:val="00F468E7"/>
    <w:rsid w:val="00F514B8"/>
    <w:rsid w:val="00F51DC3"/>
    <w:rsid w:val="00F54B35"/>
    <w:rsid w:val="00F62B1B"/>
    <w:rsid w:val="00F63268"/>
    <w:rsid w:val="00F635D9"/>
    <w:rsid w:val="00F72935"/>
    <w:rsid w:val="00FA3632"/>
    <w:rsid w:val="00FA5A06"/>
    <w:rsid w:val="00FB45D0"/>
    <w:rsid w:val="00FB6ACA"/>
    <w:rsid w:val="00FC4ECA"/>
    <w:rsid w:val="00FD19C7"/>
    <w:rsid w:val="00FD7EC1"/>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C29FA"/>
  <w15:docId w15:val="{78F00CA6-8E86-431B-A210-61E386209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semiHidden/>
    <w:unhideWhenUsed/>
    <w:rsid w:val="00635D0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35D07"/>
    <w:rPr>
      <w:rFonts w:ascii="Segoe UI" w:hAnsi="Segoe UI" w:cs="Segoe UI"/>
      <w:sz w:val="18"/>
      <w:szCs w:val="18"/>
    </w:rPr>
  </w:style>
  <w:style w:type="paragraph" w:styleId="Sraopastraipa">
    <w:name w:val="List Paragraph"/>
    <w:basedOn w:val="prastasis"/>
    <w:uiPriority w:val="34"/>
    <w:qFormat/>
    <w:rsid w:val="008D04D5"/>
    <w:pPr>
      <w:ind w:left="720"/>
      <w:contextualSpacing/>
    </w:pPr>
  </w:style>
  <w:style w:type="character" w:styleId="Hipersaitas">
    <w:name w:val="Hyperlink"/>
    <w:basedOn w:val="Numatytasispastraiposriftas"/>
    <w:uiPriority w:val="99"/>
    <w:semiHidden/>
    <w:unhideWhenUsed/>
    <w:rsid w:val="005762BE"/>
    <w:rPr>
      <w:color w:val="0000FF"/>
      <w:u w:val="single"/>
    </w:rPr>
  </w:style>
  <w:style w:type="character" w:styleId="Komentaronuoroda">
    <w:name w:val="annotation reference"/>
    <w:basedOn w:val="Numatytasispastraiposriftas"/>
    <w:semiHidden/>
    <w:unhideWhenUsed/>
    <w:rsid w:val="00E23852"/>
    <w:rPr>
      <w:sz w:val="16"/>
      <w:szCs w:val="16"/>
    </w:rPr>
  </w:style>
  <w:style w:type="paragraph" w:styleId="Komentarotekstas">
    <w:name w:val="annotation text"/>
    <w:basedOn w:val="prastasis"/>
    <w:link w:val="KomentarotekstasDiagrama"/>
    <w:semiHidden/>
    <w:unhideWhenUsed/>
    <w:rsid w:val="00E23852"/>
    <w:rPr>
      <w:sz w:val="20"/>
    </w:rPr>
  </w:style>
  <w:style w:type="character" w:customStyle="1" w:styleId="KomentarotekstasDiagrama">
    <w:name w:val="Komentaro tekstas Diagrama"/>
    <w:basedOn w:val="Numatytasispastraiposriftas"/>
    <w:link w:val="Komentarotekstas"/>
    <w:semiHidden/>
    <w:rsid w:val="00E23852"/>
    <w:rPr>
      <w:sz w:val="20"/>
    </w:rPr>
  </w:style>
  <w:style w:type="table" w:styleId="Lentelstinklelis">
    <w:name w:val="Table Grid"/>
    <w:basedOn w:val="prastojilentel"/>
    <w:rsid w:val="00E23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semiHidden/>
    <w:unhideWhenUsed/>
    <w:rsid w:val="005120FD"/>
    <w:rPr>
      <w:b/>
      <w:bCs/>
    </w:rPr>
  </w:style>
  <w:style w:type="character" w:customStyle="1" w:styleId="KomentarotemaDiagrama">
    <w:name w:val="Komentaro tema Diagrama"/>
    <w:basedOn w:val="KomentarotekstasDiagrama"/>
    <w:link w:val="Komentarotema"/>
    <w:semiHidden/>
    <w:rsid w:val="005120FD"/>
    <w:rPr>
      <w:b/>
      <w:bCs/>
      <w:sz w:val="20"/>
    </w:rPr>
  </w:style>
  <w:style w:type="paragraph" w:styleId="Pagrindiniotekstotrauka">
    <w:name w:val="Body Text Indent"/>
    <w:basedOn w:val="prastasis"/>
    <w:link w:val="PagrindiniotekstotraukaDiagrama"/>
    <w:rsid w:val="00B10552"/>
    <w:pPr>
      <w:jc w:val="both"/>
    </w:pPr>
    <w:rPr>
      <w:lang w:val="x-none" w:eastAsia="x-none"/>
    </w:rPr>
  </w:style>
  <w:style w:type="character" w:customStyle="1" w:styleId="PagrindiniotekstotraukaDiagrama">
    <w:name w:val="Pagrindinio teksto įtrauka Diagrama"/>
    <w:basedOn w:val="Numatytasispastraiposriftas"/>
    <w:link w:val="Pagrindiniotekstotrauka"/>
    <w:rsid w:val="00B10552"/>
    <w:rPr>
      <w:lang w:val="x-none" w:eastAsia="x-none"/>
    </w:rPr>
  </w:style>
  <w:style w:type="paragraph" w:styleId="Pataisymai">
    <w:name w:val="Revision"/>
    <w:hidden/>
    <w:semiHidden/>
    <w:rsid w:val="00E26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078287">
      <w:bodyDiv w:val="1"/>
      <w:marLeft w:val="0"/>
      <w:marRight w:val="0"/>
      <w:marTop w:val="0"/>
      <w:marBottom w:val="0"/>
      <w:divBdr>
        <w:top w:val="none" w:sz="0" w:space="0" w:color="auto"/>
        <w:left w:val="none" w:sz="0" w:space="0" w:color="auto"/>
        <w:bottom w:val="none" w:sz="0" w:space="0" w:color="auto"/>
        <w:right w:val="none" w:sz="0" w:space="0" w:color="auto"/>
      </w:divBdr>
    </w:div>
    <w:div w:id="553345786">
      <w:bodyDiv w:val="1"/>
      <w:marLeft w:val="0"/>
      <w:marRight w:val="0"/>
      <w:marTop w:val="0"/>
      <w:marBottom w:val="0"/>
      <w:divBdr>
        <w:top w:val="none" w:sz="0" w:space="0" w:color="auto"/>
        <w:left w:val="none" w:sz="0" w:space="0" w:color="auto"/>
        <w:bottom w:val="none" w:sz="0" w:space="0" w:color="auto"/>
        <w:right w:val="none" w:sz="0" w:space="0" w:color="auto"/>
      </w:divBdr>
      <w:divsChild>
        <w:div w:id="634917444">
          <w:marLeft w:val="0"/>
          <w:marRight w:val="0"/>
          <w:marTop w:val="0"/>
          <w:marBottom w:val="0"/>
          <w:divBdr>
            <w:top w:val="none" w:sz="0" w:space="0" w:color="auto"/>
            <w:left w:val="none" w:sz="0" w:space="0" w:color="auto"/>
            <w:bottom w:val="none" w:sz="0" w:space="0" w:color="auto"/>
            <w:right w:val="none" w:sz="0" w:space="0" w:color="auto"/>
          </w:divBdr>
          <w:divsChild>
            <w:div w:id="137678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12574">
      <w:bodyDiv w:val="1"/>
      <w:marLeft w:val="0"/>
      <w:marRight w:val="0"/>
      <w:marTop w:val="0"/>
      <w:marBottom w:val="0"/>
      <w:divBdr>
        <w:top w:val="none" w:sz="0" w:space="0" w:color="auto"/>
        <w:left w:val="none" w:sz="0" w:space="0" w:color="auto"/>
        <w:bottom w:val="none" w:sz="0" w:space="0" w:color="auto"/>
        <w:right w:val="none" w:sz="0" w:space="0" w:color="auto"/>
      </w:divBdr>
    </w:div>
    <w:div w:id="790435973">
      <w:bodyDiv w:val="1"/>
      <w:marLeft w:val="0"/>
      <w:marRight w:val="0"/>
      <w:marTop w:val="0"/>
      <w:marBottom w:val="0"/>
      <w:divBdr>
        <w:top w:val="none" w:sz="0" w:space="0" w:color="auto"/>
        <w:left w:val="none" w:sz="0" w:space="0" w:color="auto"/>
        <w:bottom w:val="none" w:sz="0" w:space="0" w:color="auto"/>
        <w:right w:val="none" w:sz="0" w:space="0" w:color="auto"/>
      </w:divBdr>
      <w:divsChild>
        <w:div w:id="294332283">
          <w:marLeft w:val="0"/>
          <w:marRight w:val="0"/>
          <w:marTop w:val="0"/>
          <w:marBottom w:val="0"/>
          <w:divBdr>
            <w:top w:val="none" w:sz="0" w:space="0" w:color="auto"/>
            <w:left w:val="none" w:sz="0" w:space="0" w:color="auto"/>
            <w:bottom w:val="none" w:sz="0" w:space="0" w:color="auto"/>
            <w:right w:val="none" w:sz="0" w:space="0" w:color="auto"/>
          </w:divBdr>
        </w:div>
        <w:div w:id="913776760">
          <w:marLeft w:val="0"/>
          <w:marRight w:val="0"/>
          <w:marTop w:val="0"/>
          <w:marBottom w:val="0"/>
          <w:divBdr>
            <w:top w:val="none" w:sz="0" w:space="0" w:color="auto"/>
            <w:left w:val="none" w:sz="0" w:space="0" w:color="auto"/>
            <w:bottom w:val="none" w:sz="0" w:space="0" w:color="auto"/>
            <w:right w:val="none" w:sz="0" w:space="0" w:color="auto"/>
          </w:divBdr>
        </w:div>
      </w:divsChild>
    </w:div>
    <w:div w:id="830565581">
      <w:bodyDiv w:val="1"/>
      <w:marLeft w:val="0"/>
      <w:marRight w:val="0"/>
      <w:marTop w:val="0"/>
      <w:marBottom w:val="0"/>
      <w:divBdr>
        <w:top w:val="none" w:sz="0" w:space="0" w:color="auto"/>
        <w:left w:val="none" w:sz="0" w:space="0" w:color="auto"/>
        <w:bottom w:val="none" w:sz="0" w:space="0" w:color="auto"/>
        <w:right w:val="none" w:sz="0" w:space="0" w:color="auto"/>
      </w:divBdr>
    </w:div>
    <w:div w:id="906184463">
      <w:bodyDiv w:val="1"/>
      <w:marLeft w:val="0"/>
      <w:marRight w:val="0"/>
      <w:marTop w:val="0"/>
      <w:marBottom w:val="0"/>
      <w:divBdr>
        <w:top w:val="none" w:sz="0" w:space="0" w:color="auto"/>
        <w:left w:val="none" w:sz="0" w:space="0" w:color="auto"/>
        <w:bottom w:val="none" w:sz="0" w:space="0" w:color="auto"/>
        <w:right w:val="none" w:sz="0" w:space="0" w:color="auto"/>
      </w:divBdr>
    </w:div>
    <w:div w:id="1020622683">
      <w:bodyDiv w:val="1"/>
      <w:marLeft w:val="0"/>
      <w:marRight w:val="0"/>
      <w:marTop w:val="0"/>
      <w:marBottom w:val="0"/>
      <w:divBdr>
        <w:top w:val="none" w:sz="0" w:space="0" w:color="auto"/>
        <w:left w:val="none" w:sz="0" w:space="0" w:color="auto"/>
        <w:bottom w:val="none" w:sz="0" w:space="0" w:color="auto"/>
        <w:right w:val="none" w:sz="0" w:space="0" w:color="auto"/>
      </w:divBdr>
      <w:divsChild>
        <w:div w:id="22020184">
          <w:marLeft w:val="0"/>
          <w:marRight w:val="0"/>
          <w:marTop w:val="0"/>
          <w:marBottom w:val="0"/>
          <w:divBdr>
            <w:top w:val="none" w:sz="0" w:space="0" w:color="auto"/>
            <w:left w:val="none" w:sz="0" w:space="0" w:color="auto"/>
            <w:bottom w:val="none" w:sz="0" w:space="0" w:color="auto"/>
            <w:right w:val="none" w:sz="0" w:space="0" w:color="auto"/>
          </w:divBdr>
        </w:div>
        <w:div w:id="773790170">
          <w:marLeft w:val="0"/>
          <w:marRight w:val="0"/>
          <w:marTop w:val="0"/>
          <w:marBottom w:val="0"/>
          <w:divBdr>
            <w:top w:val="none" w:sz="0" w:space="0" w:color="auto"/>
            <w:left w:val="none" w:sz="0" w:space="0" w:color="auto"/>
            <w:bottom w:val="none" w:sz="0" w:space="0" w:color="auto"/>
            <w:right w:val="none" w:sz="0" w:space="0" w:color="auto"/>
          </w:divBdr>
        </w:div>
        <w:div w:id="1432506933">
          <w:marLeft w:val="0"/>
          <w:marRight w:val="0"/>
          <w:marTop w:val="0"/>
          <w:marBottom w:val="0"/>
          <w:divBdr>
            <w:top w:val="none" w:sz="0" w:space="0" w:color="auto"/>
            <w:left w:val="none" w:sz="0" w:space="0" w:color="auto"/>
            <w:bottom w:val="none" w:sz="0" w:space="0" w:color="auto"/>
            <w:right w:val="none" w:sz="0" w:space="0" w:color="auto"/>
          </w:divBdr>
        </w:div>
        <w:div w:id="1671365907">
          <w:marLeft w:val="0"/>
          <w:marRight w:val="0"/>
          <w:marTop w:val="0"/>
          <w:marBottom w:val="0"/>
          <w:divBdr>
            <w:top w:val="none" w:sz="0" w:space="0" w:color="auto"/>
            <w:left w:val="none" w:sz="0" w:space="0" w:color="auto"/>
            <w:bottom w:val="none" w:sz="0" w:space="0" w:color="auto"/>
            <w:right w:val="none" w:sz="0" w:space="0" w:color="auto"/>
          </w:divBdr>
        </w:div>
      </w:divsChild>
    </w:div>
    <w:div w:id="1183546390">
      <w:bodyDiv w:val="1"/>
      <w:marLeft w:val="0"/>
      <w:marRight w:val="0"/>
      <w:marTop w:val="0"/>
      <w:marBottom w:val="0"/>
      <w:divBdr>
        <w:top w:val="none" w:sz="0" w:space="0" w:color="auto"/>
        <w:left w:val="none" w:sz="0" w:space="0" w:color="auto"/>
        <w:bottom w:val="none" w:sz="0" w:space="0" w:color="auto"/>
        <w:right w:val="none" w:sz="0" w:space="0" w:color="auto"/>
      </w:divBdr>
      <w:divsChild>
        <w:div w:id="690104071">
          <w:marLeft w:val="0"/>
          <w:marRight w:val="0"/>
          <w:marTop w:val="0"/>
          <w:marBottom w:val="0"/>
          <w:divBdr>
            <w:top w:val="none" w:sz="0" w:space="0" w:color="auto"/>
            <w:left w:val="none" w:sz="0" w:space="0" w:color="auto"/>
            <w:bottom w:val="none" w:sz="0" w:space="0" w:color="auto"/>
            <w:right w:val="none" w:sz="0" w:space="0" w:color="auto"/>
          </w:divBdr>
        </w:div>
        <w:div w:id="1204438477">
          <w:marLeft w:val="0"/>
          <w:marRight w:val="0"/>
          <w:marTop w:val="0"/>
          <w:marBottom w:val="0"/>
          <w:divBdr>
            <w:top w:val="none" w:sz="0" w:space="0" w:color="auto"/>
            <w:left w:val="none" w:sz="0" w:space="0" w:color="auto"/>
            <w:bottom w:val="none" w:sz="0" w:space="0" w:color="auto"/>
            <w:right w:val="none" w:sz="0" w:space="0" w:color="auto"/>
          </w:divBdr>
        </w:div>
        <w:div w:id="1625110624">
          <w:marLeft w:val="0"/>
          <w:marRight w:val="0"/>
          <w:marTop w:val="0"/>
          <w:marBottom w:val="0"/>
          <w:divBdr>
            <w:top w:val="none" w:sz="0" w:space="0" w:color="auto"/>
            <w:left w:val="none" w:sz="0" w:space="0" w:color="auto"/>
            <w:bottom w:val="none" w:sz="0" w:space="0" w:color="auto"/>
            <w:right w:val="none" w:sz="0" w:space="0" w:color="auto"/>
          </w:divBdr>
        </w:div>
      </w:divsChild>
    </w:div>
    <w:div w:id="1410736963">
      <w:bodyDiv w:val="1"/>
      <w:marLeft w:val="0"/>
      <w:marRight w:val="0"/>
      <w:marTop w:val="0"/>
      <w:marBottom w:val="0"/>
      <w:divBdr>
        <w:top w:val="none" w:sz="0" w:space="0" w:color="auto"/>
        <w:left w:val="none" w:sz="0" w:space="0" w:color="auto"/>
        <w:bottom w:val="none" w:sz="0" w:space="0" w:color="auto"/>
        <w:right w:val="none" w:sz="0" w:space="0" w:color="auto"/>
      </w:divBdr>
    </w:div>
    <w:div w:id="212692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D49A9-B159-4C85-BA63-A2BFB6008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3175</Words>
  <Characters>1811</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LRVK</Company>
  <LinksUpToDate>false</LinksUpToDate>
  <CharactersWithSpaces>4977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2021-11-25T15:26:00Z</dcterms:created>
  <dc:creator>lrvk</dc:creator>
  <cp:lastModifiedBy>Darius Vasaris</cp:lastModifiedBy>
  <cp:lastPrinted>2021-09-30T10:17:00Z</cp:lastPrinted>
  <dcterms:modified xsi:type="dcterms:W3CDTF">2021-11-25T15:26:00Z</dcterms:modified>
  <cp:revision>2</cp:revision>
</cp:coreProperties>
</file>