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D70EF3" w:rsidRDefault="008C7C9A" w:rsidP="008C7C9A">
      <w:pPr>
        <w:jc w:val="center"/>
        <w:rPr>
          <w:b/>
          <w:bCs/>
        </w:rPr>
      </w:pPr>
      <w:r w:rsidRPr="001713FE">
        <w:rPr>
          <w:b/>
          <w:bCs/>
        </w:rPr>
        <w:t>INVESTICIJŲ ĮSTATYMO NR. VIII-1312</w:t>
      </w:r>
      <w:r>
        <w:rPr>
          <w:b/>
          <w:bCs/>
        </w:rPr>
        <w:t xml:space="preserve"> </w:t>
      </w:r>
      <w:r w:rsidRPr="001713FE">
        <w:rPr>
          <w:b/>
          <w:bCs/>
        </w:rPr>
        <w:t>1, 2, 3, 9</w:t>
      </w:r>
      <w:r w:rsidRPr="001713FE">
        <w:rPr>
          <w:b/>
          <w:bCs/>
          <w:vertAlign w:val="superscript"/>
        </w:rPr>
        <w:t>1</w:t>
      </w:r>
      <w:r w:rsidRPr="001713FE">
        <w:rPr>
          <w:b/>
          <w:bCs/>
        </w:rPr>
        <w:t>, 12 IR 13 STRAIPSNIŲ PAKEITIMO</w:t>
      </w:r>
      <w:r w:rsidR="00D97576">
        <w:rPr>
          <w:b/>
          <w:caps/>
        </w:rPr>
        <w:t xml:space="preserve"> </w:t>
      </w:r>
      <w:r w:rsidR="00D70EF3" w:rsidRPr="00D70EF3">
        <w:rPr>
          <w:rFonts w:eastAsia="Andale Sans UI" w:cs="Tahoma"/>
          <w:b/>
          <w:kern w:val="0"/>
          <w:lang w:eastAsia="en-US" w:bidi="en-US"/>
        </w:rPr>
        <w:t xml:space="preserve">ĮSTATYMO </w:t>
      </w:r>
      <w:r w:rsidR="00D70EF3" w:rsidRPr="006C2485">
        <w:rPr>
          <w:rFonts w:eastAsia="Andale Sans UI" w:cs="Tahoma"/>
          <w:b/>
          <w:kern w:val="0"/>
          <w:lang w:eastAsia="en-US" w:bidi="en-US"/>
        </w:rPr>
        <w:t xml:space="preserve">PROJEKTO </w:t>
      </w:r>
      <w:r w:rsidR="00E34709" w:rsidRPr="006C2485">
        <w:rPr>
          <w:rFonts w:eastAsia="Andale Sans UI" w:cs="Tahoma"/>
          <w:b/>
          <w:kern w:val="0"/>
          <w:lang w:eastAsia="en-US" w:bidi="en-US"/>
        </w:rPr>
        <w:t xml:space="preserve">(TAIS NR. </w:t>
      </w:r>
      <w:r w:rsidR="006C2485" w:rsidRPr="006C2485">
        <w:rPr>
          <w:rFonts w:eastAsia="Andale Sans UI" w:cs="Tahoma"/>
          <w:b/>
          <w:kern w:val="0"/>
          <w:lang w:eastAsia="en-US" w:bidi="en-US"/>
        </w:rPr>
        <w:t>21</w:t>
      </w:r>
      <w:r w:rsidR="00E34709" w:rsidRPr="006C2485">
        <w:rPr>
          <w:rFonts w:eastAsia="Andale Sans UI" w:cs="Tahoma"/>
          <w:b/>
          <w:kern w:val="0"/>
          <w:lang w:eastAsia="en-US" w:bidi="en-US"/>
        </w:rPr>
        <w:t>-</w:t>
      </w:r>
      <w:r w:rsidR="006C2485" w:rsidRPr="006C2485">
        <w:rPr>
          <w:rFonts w:eastAsia="Andale Sans UI" w:cs="Tahoma"/>
          <w:b/>
          <w:kern w:val="0"/>
          <w:lang w:eastAsia="en-US" w:bidi="en-US"/>
        </w:rPr>
        <w:t>28724</w:t>
      </w:r>
      <w:r w:rsidR="00E34709" w:rsidRPr="006C2485">
        <w:rPr>
          <w:rFonts w:eastAsia="Andale Sans UI" w:cs="Tahoma"/>
          <w:b/>
          <w:kern w:val="0"/>
          <w:lang w:eastAsia="en-US" w:bidi="en-US"/>
        </w:rPr>
        <w:t xml:space="preserve">) </w:t>
      </w:r>
      <w:r w:rsidR="00D70EF3">
        <w:rPr>
          <w:b/>
          <w:bCs/>
        </w:rPr>
        <w:t>DERINIMO PAŽYMA</w:t>
      </w:r>
    </w:p>
    <w:p w:rsidR="00D97576" w:rsidRDefault="00D97576" w:rsidP="00D70EF3">
      <w:pPr>
        <w:jc w:val="center"/>
        <w:rPr>
          <w:b/>
          <w:bCs/>
        </w:rPr>
      </w:pP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176373" w:rsidP="00D97576">
            <w:pPr>
              <w:rPr>
                <w:b/>
                <w:sz w:val="22"/>
                <w:szCs w:val="22"/>
              </w:rPr>
            </w:pPr>
            <w:r w:rsidRPr="00962F42">
              <w:rPr>
                <w:b/>
                <w:sz w:val="22"/>
                <w:szCs w:val="22"/>
              </w:rPr>
              <w:t>1. Ekonomikos ir inovacijų ministerija</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sidRPr="00962F42">
              <w:rPr>
                <w:sz w:val="22"/>
                <w:szCs w:val="22"/>
              </w:rPr>
              <w:t>1.1.</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8C7C9A" w:rsidP="008C7C9A">
            <w:pPr>
              <w:pStyle w:val="Pagrindinistekstas"/>
              <w:ind w:firstLine="33"/>
              <w:rPr>
                <w:rFonts w:cs="Times New Roman"/>
                <w:sz w:val="22"/>
                <w:szCs w:val="22"/>
              </w:rPr>
            </w:pPr>
            <w:r w:rsidRPr="008C7C9A">
              <w:rPr>
                <w:rFonts w:cs="Times New Roman"/>
                <w:sz w:val="22"/>
                <w:szCs w:val="22"/>
              </w:rPr>
              <w:t>Remiantis aiškinamuoju raštu, Investicijų įstatymo (toliau – ĮĮ) ir Žemės įstatymo (toliau – ŽĮ) pataisos atliekamos siekiant išvengti prieštaravimo su SVĮ, tačiau nėra aišku, kodėl toks prieštaravimas nebuvo nustatytas SVĮ rengimo metu ir kokios konkrečiai SVĮ, IĮ ir ŽĮ nuostatos koreliuoja tarpusavyje bei prieštarauja viena kitai. Be to, IĮ ir ŽĮ siūlomi atlikti pakeitimai paaiškinti šabloniškai, jų nemotyvuojant ir neatskleidžiant tokių pakeitimų vykdymo motyvų.</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8C7C9A" w:rsidP="001559BA">
            <w:pPr>
              <w:jc w:val="both"/>
              <w:rPr>
                <w:b/>
                <w:sz w:val="22"/>
                <w:szCs w:val="22"/>
              </w:rPr>
            </w:pPr>
            <w:r w:rsidRPr="00962F42">
              <w:rPr>
                <w:b/>
                <w:sz w:val="22"/>
                <w:szCs w:val="22"/>
              </w:rPr>
              <w:t>Neatsižvelgta.</w:t>
            </w:r>
          </w:p>
          <w:p w:rsidR="008C7C9A" w:rsidRPr="00962F42" w:rsidRDefault="00305146" w:rsidP="00BD040E">
            <w:pPr>
              <w:jc w:val="both"/>
              <w:rPr>
                <w:sz w:val="22"/>
                <w:szCs w:val="22"/>
              </w:rPr>
            </w:pPr>
            <w:r w:rsidRPr="00305146">
              <w:rPr>
                <w:sz w:val="22"/>
                <w:szCs w:val="22"/>
              </w:rPr>
              <w:t>Aiškinamajame rašte yra detalizuota problematika ir įstatymų ke</w:t>
            </w:r>
            <w:r>
              <w:rPr>
                <w:sz w:val="22"/>
                <w:szCs w:val="22"/>
              </w:rPr>
              <w:t>itimo priežastys - tobulinant S</w:t>
            </w:r>
            <w:r w:rsidRPr="00305146">
              <w:rPr>
                <w:sz w:val="22"/>
                <w:szCs w:val="22"/>
              </w:rPr>
              <w:t>trateginio planavimo sistemą ir priėmus Strateginio valdymo įstatymą, Regioninės plėtros įstatymą bei šiuos įstatymus įgyvendinančius  teisės aktus, buvo nustatyta vieninga inte</w:t>
            </w:r>
            <w:r>
              <w:rPr>
                <w:sz w:val="22"/>
                <w:szCs w:val="22"/>
              </w:rPr>
              <w:t>gruota strateginio, teritorinio/</w:t>
            </w:r>
            <w:r w:rsidRPr="00305146">
              <w:rPr>
                <w:sz w:val="22"/>
                <w:szCs w:val="22"/>
              </w:rPr>
              <w:t>erdvinio, regioninio planavimo sistema, suvienodintas ES lėšų, kitų paramos šaltinių ir valstybės biudžeto lėšų planavimas ir skyrimo tvarka. Todėl Investicijų įstatyme atsisakoma nuostatų, kurios susijusios su valstybės investicijomis</w:t>
            </w:r>
            <w:r>
              <w:rPr>
                <w:sz w:val="22"/>
                <w:szCs w:val="22"/>
              </w:rPr>
              <w:t xml:space="preserve">, </w:t>
            </w:r>
            <w:r w:rsidRPr="00305146">
              <w:rPr>
                <w:sz w:val="22"/>
                <w:szCs w:val="22"/>
              </w:rPr>
              <w:t>parama ir kt.</w:t>
            </w:r>
            <w:r w:rsidR="00BD040E">
              <w:rPr>
                <w:sz w:val="22"/>
                <w:szCs w:val="22"/>
              </w:rPr>
              <w:t>. Visos valstybės investicijos,</w:t>
            </w:r>
            <w:r w:rsidR="00BD040E" w:rsidRPr="00BD040E">
              <w:rPr>
                <w:sz w:val="22"/>
                <w:szCs w:val="22"/>
              </w:rPr>
              <w:t xml:space="preserve"> parama dabar yra numatomos </w:t>
            </w:r>
            <w:r w:rsidR="00BD040E">
              <w:rPr>
                <w:sz w:val="22"/>
                <w:szCs w:val="22"/>
              </w:rPr>
              <w:t>institucijos s</w:t>
            </w:r>
            <w:r w:rsidR="00BD040E" w:rsidRPr="00BD040E">
              <w:rPr>
                <w:sz w:val="22"/>
                <w:szCs w:val="22"/>
              </w:rPr>
              <w:t>trateginiame veiklos plane (tiek pažangos lėš</w:t>
            </w:r>
            <w:r w:rsidR="00BD040E">
              <w:rPr>
                <w:sz w:val="22"/>
                <w:szCs w:val="22"/>
              </w:rPr>
              <w:t>omis finansuojamos priemonės, tiek ir tęstinės veiklos</w:t>
            </w:r>
            <w:r w:rsidR="00BD040E" w:rsidRPr="00BD040E">
              <w:rPr>
                <w:sz w:val="22"/>
                <w:szCs w:val="22"/>
              </w:rPr>
              <w:t xml:space="preserve"> lėšo</w:t>
            </w:r>
            <w:r w:rsidR="00BD040E">
              <w:rPr>
                <w:sz w:val="22"/>
                <w:szCs w:val="22"/>
              </w:rPr>
              <w:t>mi</w:t>
            </w:r>
            <w:r w:rsidR="00BD040E" w:rsidRPr="00BD040E">
              <w:rPr>
                <w:sz w:val="22"/>
                <w:szCs w:val="22"/>
              </w:rPr>
              <w:t>s).</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8C7C9A">
            <w:pPr>
              <w:rPr>
                <w:sz w:val="22"/>
                <w:szCs w:val="22"/>
              </w:rPr>
            </w:pPr>
            <w:r w:rsidRPr="00962F42">
              <w:rPr>
                <w:sz w:val="22"/>
                <w:szCs w:val="22"/>
              </w:rPr>
              <w:t>1.</w:t>
            </w:r>
            <w:r>
              <w:rPr>
                <w:sz w:val="22"/>
                <w:szCs w:val="22"/>
              </w:rPr>
              <w:t>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8C7C9A" w:rsidRDefault="008C7C9A" w:rsidP="008C7C9A">
            <w:pPr>
              <w:rPr>
                <w:lang w:eastAsia="en-US" w:bidi="en-US"/>
              </w:rPr>
            </w:pPr>
            <w:r w:rsidRPr="008C7C9A">
              <w:rPr>
                <w:rFonts w:eastAsia="Andale Sans UI"/>
                <w:kern w:val="0"/>
                <w:sz w:val="22"/>
                <w:szCs w:val="22"/>
                <w:lang w:eastAsia="en-US" w:bidi="en-US"/>
              </w:rPr>
              <w:t>Lietuvos Respublikos Vyriausybės nutarime Nr. 330 „Dėl ministrams pavedamų valdymo sričių“ yra nustatyta, už kokias valdymo sritis yra atsakingas kiekvienas iš ministrų. Šio Lietuvos Respublikos Vyriausybės nutarimo 1.11.2 papunktyje nustatyta, kad už konkurencingumo politiką, tame tarpe investicijų skatinimą, yra atsakingas ekonomikos ir inovacijų ministras. Todėl nėra aišku, kaip inicijuojami IĮ pakeitimai dera su valstybės valdymo organizavimo principais, kai pateiktas IĮ nebuvo koordinuotas ir derintas su už šią sritį atsakinga ministerija.</w:t>
            </w:r>
          </w:p>
        </w:tc>
        <w:tc>
          <w:tcPr>
            <w:tcW w:w="6095" w:type="dxa"/>
            <w:tcBorders>
              <w:top w:val="single" w:sz="4" w:space="0" w:color="auto"/>
              <w:left w:val="single" w:sz="4" w:space="0" w:color="000000"/>
              <w:bottom w:val="single" w:sz="4" w:space="0" w:color="auto"/>
              <w:right w:val="single" w:sz="4" w:space="0" w:color="000000"/>
            </w:tcBorders>
          </w:tcPr>
          <w:p w:rsidR="008C7C9A" w:rsidRDefault="008C7C9A" w:rsidP="001559BA">
            <w:pPr>
              <w:jc w:val="both"/>
              <w:rPr>
                <w:b/>
                <w:sz w:val="22"/>
                <w:szCs w:val="22"/>
              </w:rPr>
            </w:pPr>
            <w:r w:rsidRPr="00962F42">
              <w:rPr>
                <w:b/>
                <w:sz w:val="22"/>
                <w:szCs w:val="22"/>
              </w:rPr>
              <w:t>Neatsižvelgta.</w:t>
            </w:r>
          </w:p>
          <w:p w:rsidR="008C7C9A" w:rsidRPr="00305146" w:rsidRDefault="00305146" w:rsidP="001559BA">
            <w:pPr>
              <w:jc w:val="both"/>
              <w:rPr>
                <w:sz w:val="22"/>
                <w:szCs w:val="22"/>
              </w:rPr>
            </w:pPr>
            <w:r w:rsidRPr="00305146">
              <w:rPr>
                <w:sz w:val="22"/>
                <w:szCs w:val="22"/>
              </w:rPr>
              <w:t>Teikiamų įstatymų pakeitimų projektai neprieštarauja Ekonomikos ir inovacijų ministerijai priskirtai valdymo sričiai - konkurencingumo, įskaitant ir investicijų skatinimo politiką, kadangi teikiamų įstatymų pakeitimo projektai yra susieti su valstybės investicijų planavimu ir įgyvendinimu, kurie yra reglamentuojami Strateginio valdymo įstatymu.  Priešingai, siūlomais pakeitimais siekiama išgryninti Ekonomikos ir inovacijų ministerijos kompetencijos srities teisinį reguliavimą, ir koncentruoti į Investicijų įstatymo taikymą privačių investicijų skatinimo, apsaugos ir pritraukimo klausimus.</w:t>
            </w:r>
          </w:p>
        </w:tc>
      </w:tr>
      <w:tr w:rsidR="00BD040E" w:rsidRPr="009D11E4" w:rsidTr="007A525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BD040E" w:rsidRPr="00962F42" w:rsidRDefault="00BD040E" w:rsidP="007A5253">
            <w:pPr>
              <w:rPr>
                <w:sz w:val="22"/>
                <w:szCs w:val="22"/>
              </w:rPr>
            </w:pPr>
            <w:r>
              <w:rPr>
                <w:sz w:val="22"/>
                <w:szCs w:val="22"/>
              </w:rPr>
              <w:t>1.3</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BD040E" w:rsidRPr="00962F42" w:rsidRDefault="00BD040E" w:rsidP="007A5253">
            <w:pPr>
              <w:pStyle w:val="Pagrindinistekstas"/>
              <w:ind w:firstLine="0"/>
              <w:rPr>
                <w:rFonts w:cs="Times New Roman"/>
                <w:sz w:val="22"/>
                <w:szCs w:val="22"/>
              </w:rPr>
            </w:pPr>
            <w:r w:rsidRPr="00BD040E">
              <w:rPr>
                <w:rFonts w:cs="Times New Roman"/>
                <w:sz w:val="22"/>
                <w:szCs w:val="22"/>
              </w:rPr>
              <w:t>IĮ pakeitimo projekto 2 straipsnio 2 dalyje siūloma papildyti IĮ 2 straipsnio 3 dalį nurodant, kad „Investavimas šiame įstatyme nelaikomas valstybės ir savivaldybių turto investavimu“. Toks reglamentavimas prieštarauja visai investicijų politikos logikai, iškreipia susiformavusią sampratą. Pažymėtina, kad siūloma nuostata galimai apribotų dalies investicijas skatinančių priemonių įgyvendinimą, taip pat atkreiptinas dėmesys, kad teisės aktų pakeitimai, kurie užtikrintų šių priemonių įgyvendinimą, kartu su IĮ pakeitimo projektu nepateikti, todėl tokiam pakeitimui nepritariame.</w:t>
            </w:r>
          </w:p>
        </w:tc>
        <w:tc>
          <w:tcPr>
            <w:tcW w:w="6095" w:type="dxa"/>
            <w:tcBorders>
              <w:top w:val="single" w:sz="4" w:space="0" w:color="auto"/>
              <w:left w:val="single" w:sz="4" w:space="0" w:color="000000"/>
              <w:bottom w:val="single" w:sz="4" w:space="0" w:color="auto"/>
              <w:right w:val="single" w:sz="4" w:space="0" w:color="000000"/>
            </w:tcBorders>
          </w:tcPr>
          <w:p w:rsidR="00BD040E" w:rsidRPr="00305146" w:rsidRDefault="00BD040E" w:rsidP="007A5253">
            <w:pPr>
              <w:jc w:val="both"/>
              <w:rPr>
                <w:b/>
                <w:sz w:val="22"/>
                <w:szCs w:val="22"/>
              </w:rPr>
            </w:pPr>
            <w:r>
              <w:rPr>
                <w:b/>
                <w:sz w:val="22"/>
                <w:szCs w:val="22"/>
              </w:rPr>
              <w:t>Neatsižvelgta</w:t>
            </w:r>
            <w:r w:rsidRPr="00305146">
              <w:rPr>
                <w:b/>
                <w:sz w:val="22"/>
                <w:szCs w:val="22"/>
              </w:rPr>
              <w:t xml:space="preserve">. </w:t>
            </w:r>
          </w:p>
          <w:p w:rsidR="00BD040E" w:rsidRPr="00962F42" w:rsidRDefault="00BD040E" w:rsidP="00BD040E">
            <w:pPr>
              <w:jc w:val="both"/>
              <w:rPr>
                <w:sz w:val="22"/>
                <w:szCs w:val="22"/>
              </w:rPr>
            </w:pPr>
            <w:r w:rsidRPr="00BD040E">
              <w:rPr>
                <w:sz w:val="22"/>
                <w:szCs w:val="22"/>
              </w:rPr>
              <w:t xml:space="preserve">Valstybės investicijų planavimas, įgyvendinimas yra reglamentuojamas Strateginio valdymo įstatymu. Privačių investicijų apsauga,  skatinimas toliau yra reglamentuojamas Investicijų įstatyme, t.y.  įstatymų pakeitimų projektų paketu siūloma aiškiai atskirti valstybės investicijų reglamentavimą nuo privačių investicijų reglamentavimo. Pažymime, kad siūlomas </w:t>
            </w:r>
            <w:r w:rsidRPr="00BD040E">
              <w:rPr>
                <w:sz w:val="22"/>
                <w:szCs w:val="22"/>
              </w:rPr>
              <w:lastRenderedPageBreak/>
              <w:t>reglamentavimas niekaip neįtakoja privačių investicijų skatinimo.  Valstybės veiksmus, skirtus investuotojų pritraukimui</w:t>
            </w:r>
            <w:r>
              <w:rPr>
                <w:sz w:val="22"/>
                <w:szCs w:val="22"/>
              </w:rPr>
              <w:t>,</w:t>
            </w:r>
            <w:r w:rsidRPr="00BD040E">
              <w:rPr>
                <w:sz w:val="22"/>
                <w:szCs w:val="22"/>
              </w:rPr>
              <w:t xml:space="preserve"> investicijų skatinimui, ministerijos ir savivaldybės planuoja Strateginio valdymo sistemos apibrėžtuose planavimo dokumentuose, vadovaujantis Strateginio valdymo įstatymu ir jį įgyvendinančių poįstatyminių teisės aktų nuostatomis, ir realizuoja per nacionalines plėtros programas ir pažangos priemones.</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BD040E">
            <w:pPr>
              <w:rPr>
                <w:sz w:val="22"/>
                <w:szCs w:val="22"/>
              </w:rPr>
            </w:pPr>
            <w:r>
              <w:rPr>
                <w:sz w:val="22"/>
                <w:szCs w:val="22"/>
              </w:rPr>
              <w:lastRenderedPageBreak/>
              <w:t>1.</w:t>
            </w:r>
            <w:r w:rsidR="00BD040E">
              <w:rPr>
                <w:sz w:val="22"/>
                <w:szCs w:val="22"/>
              </w:rPr>
              <w:t>4</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8C7C9A" w:rsidP="008C7C9A">
            <w:pPr>
              <w:pStyle w:val="Pagrindinistekstas"/>
              <w:ind w:firstLine="0"/>
              <w:rPr>
                <w:rFonts w:cs="Times New Roman"/>
                <w:sz w:val="22"/>
                <w:szCs w:val="22"/>
              </w:rPr>
            </w:pPr>
            <w:r w:rsidRPr="008C7C9A">
              <w:rPr>
                <w:rFonts w:cs="Times New Roman"/>
                <w:sz w:val="22"/>
                <w:szCs w:val="22"/>
              </w:rPr>
              <w:t>IĮ pakeitimo projekto 2 straipsnio 3 dalimi siekiama iš esmės pakeisti investuotojų sąvoką, ją siejant su užsienio valstybės, tarptautinės organizacijos, Lietuvos Respublikos ir užsienio juridinio ar fizinio asmens privačiu turtu ir eliminuoti valdžios sektoriui priskiriamą turtą. Pirma, nėra aišku, ką šio įstatymo prasme reikėtų laikyti valdžios sektoriumi; antra, kadangi užsienio valstybė irgi laikytina valdžia, tuomet ar nėra prieštaravimo dėl šios valstybės lėšų ir valdžios sektoriaus; trečia, nėra aišku, kodėl Lietuvos Respublikos valstybės įstaigos ir institucijos negali būti laikomos investuotojais. Manome, kad Investuotojo sąvokos pakeitimas taip pat sąlygotų minėtą problematiką, kaip išdėstyta rašto 4.4 punkte, todėl pakeitimui nepritariame.</w:t>
            </w:r>
          </w:p>
        </w:tc>
        <w:tc>
          <w:tcPr>
            <w:tcW w:w="6095" w:type="dxa"/>
            <w:tcBorders>
              <w:top w:val="single" w:sz="4" w:space="0" w:color="auto"/>
              <w:left w:val="single" w:sz="4" w:space="0" w:color="000000"/>
              <w:bottom w:val="single" w:sz="4" w:space="0" w:color="auto"/>
              <w:right w:val="single" w:sz="4" w:space="0" w:color="000000"/>
            </w:tcBorders>
          </w:tcPr>
          <w:p w:rsidR="008C7C9A" w:rsidRPr="00305146" w:rsidRDefault="008C7C9A" w:rsidP="008C7C9A">
            <w:pPr>
              <w:jc w:val="both"/>
              <w:rPr>
                <w:b/>
                <w:sz w:val="22"/>
                <w:szCs w:val="22"/>
              </w:rPr>
            </w:pPr>
            <w:r w:rsidRPr="00305146">
              <w:rPr>
                <w:b/>
                <w:sz w:val="22"/>
                <w:szCs w:val="22"/>
              </w:rPr>
              <w:t xml:space="preserve">Atsižvelgta iš dalies. </w:t>
            </w:r>
          </w:p>
          <w:p w:rsidR="008C7C9A" w:rsidRPr="00962F42" w:rsidRDefault="008C7C9A" w:rsidP="008C7C9A">
            <w:pPr>
              <w:jc w:val="both"/>
              <w:rPr>
                <w:sz w:val="22"/>
                <w:szCs w:val="22"/>
              </w:rPr>
            </w:pPr>
            <w:r w:rsidRPr="008C7C9A">
              <w:rPr>
                <w:sz w:val="22"/>
                <w:szCs w:val="22"/>
              </w:rPr>
              <w:t>Siekiant aiškumo, Investicijų įstatymo pakeitimo įstatymo projekto 2 straipsnio 3 dalis papildyta nuoroda į  Lietuvos Respublikos valstybės skolos įstatymą. Atkreiptinas dėmesys, kad valstybės ir savivaldybės institucijos, įstaigos, dalyvaujančios valstybės investicijų planavime ir įgyvendinime yra priskiriamos prie Strateginio valdymo sistemos dalyvių, kurie yra apibrėžti Strateginio valdymo įstatyme.</w:t>
            </w:r>
          </w:p>
        </w:tc>
      </w:tr>
      <w:tr w:rsidR="003542CD"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3542CD" w:rsidRDefault="001A20CF" w:rsidP="00176373">
            <w:pPr>
              <w:rPr>
                <w:sz w:val="22"/>
                <w:szCs w:val="22"/>
              </w:rPr>
            </w:pPr>
            <w:r>
              <w:rPr>
                <w:sz w:val="22"/>
                <w:szCs w:val="22"/>
              </w:rPr>
              <w:t>1.5</w:t>
            </w:r>
            <w:r w:rsidR="003542CD">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3542CD" w:rsidRPr="00F54D8E" w:rsidRDefault="00F54D8E" w:rsidP="00F54D8E">
            <w:pPr>
              <w:pStyle w:val="Komentarotekstas"/>
              <w:jc w:val="both"/>
              <w:rPr>
                <w:sz w:val="22"/>
                <w:szCs w:val="22"/>
              </w:rPr>
            </w:pPr>
            <w:r w:rsidRPr="00F54D8E">
              <w:rPr>
                <w:sz w:val="22"/>
                <w:szCs w:val="22"/>
              </w:rPr>
              <w:t>Dėl 9</w:t>
            </w:r>
            <w:r w:rsidRPr="00F54D8E">
              <w:rPr>
                <w:sz w:val="22"/>
                <w:szCs w:val="22"/>
                <w:vertAlign w:val="superscript"/>
              </w:rPr>
              <w:t xml:space="preserve">1 </w:t>
            </w:r>
            <w:r w:rsidRPr="00F54D8E">
              <w:rPr>
                <w:sz w:val="22"/>
                <w:szCs w:val="22"/>
              </w:rPr>
              <w:t xml:space="preserve">straipsnio 3 </w:t>
            </w:r>
            <w:r>
              <w:rPr>
                <w:sz w:val="22"/>
                <w:szCs w:val="22"/>
              </w:rPr>
              <w:t>dalies</w:t>
            </w:r>
            <w:r w:rsidRPr="00F54D8E">
              <w:rPr>
                <w:sz w:val="22"/>
                <w:szCs w:val="22"/>
              </w:rPr>
              <w:t xml:space="preserve"> pakeitimo.</w:t>
            </w:r>
            <w:r w:rsidRPr="00F54D8E">
              <w:rPr>
                <w:b/>
                <w:sz w:val="22"/>
                <w:szCs w:val="22"/>
              </w:rPr>
              <w:t xml:space="preserve"> </w:t>
            </w:r>
            <w:r w:rsidRPr="00F54D8E">
              <w:rPr>
                <w:sz w:val="22"/>
                <w:szCs w:val="22"/>
              </w:rPr>
              <w:t>Perteklinė nuostata, nes galiojančiame įstatyme jau yra numatyta, kad teritorija turi būti numatyta teritorijų planavimo dokumentuose, ir tam automatiškai bus privaloma atitiktis teisės aktams, kurie reglamentuoja teritorijų planavimą. Taip pat iš siūlomos nuostatos neaišku, kodėl išskiriami tik sprendimai dėl teritorijų planavimo dokumentų.</w:t>
            </w:r>
          </w:p>
        </w:tc>
        <w:tc>
          <w:tcPr>
            <w:tcW w:w="6095" w:type="dxa"/>
            <w:tcBorders>
              <w:top w:val="single" w:sz="4" w:space="0" w:color="auto"/>
              <w:left w:val="single" w:sz="4" w:space="0" w:color="000000"/>
              <w:bottom w:val="single" w:sz="4" w:space="0" w:color="auto"/>
              <w:right w:val="single" w:sz="4" w:space="0" w:color="000000"/>
            </w:tcBorders>
          </w:tcPr>
          <w:p w:rsidR="003542CD" w:rsidRDefault="00F54D8E" w:rsidP="008C7C9A">
            <w:pPr>
              <w:jc w:val="both"/>
              <w:rPr>
                <w:b/>
                <w:sz w:val="22"/>
                <w:szCs w:val="22"/>
              </w:rPr>
            </w:pPr>
            <w:r>
              <w:rPr>
                <w:b/>
                <w:sz w:val="22"/>
                <w:szCs w:val="22"/>
              </w:rPr>
              <w:t>Neatsižvelgta.</w:t>
            </w:r>
          </w:p>
          <w:p w:rsidR="00F54D8E" w:rsidRPr="00962F42" w:rsidRDefault="00F54D8E" w:rsidP="008C7C9A">
            <w:pPr>
              <w:jc w:val="both"/>
              <w:rPr>
                <w:b/>
                <w:sz w:val="22"/>
                <w:szCs w:val="22"/>
              </w:rPr>
            </w:pPr>
            <w:r w:rsidRPr="00980578">
              <w:rPr>
                <w:sz w:val="22"/>
              </w:rPr>
              <w:t>Nuoroda siūloma atsižvelgiant į sprendimus integruoti teritorinio planavimo ir strateginio planavimo sistemas.</w:t>
            </w:r>
          </w:p>
        </w:tc>
      </w:tr>
      <w:tr w:rsidR="00F54D8E" w:rsidRPr="009D11E4" w:rsidTr="00EE42E3">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F54D8E" w:rsidRDefault="001A20CF" w:rsidP="00176373">
            <w:pPr>
              <w:rPr>
                <w:sz w:val="22"/>
                <w:szCs w:val="22"/>
              </w:rPr>
            </w:pPr>
            <w:r>
              <w:rPr>
                <w:sz w:val="22"/>
                <w:szCs w:val="22"/>
              </w:rPr>
              <w:t>1.6</w:t>
            </w:r>
            <w:r w:rsidR="00F54D8E">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F54D8E" w:rsidRPr="00F54D8E" w:rsidRDefault="00F54D8E" w:rsidP="00F54D8E">
            <w:pPr>
              <w:pStyle w:val="Komentarotekstas"/>
              <w:jc w:val="both"/>
              <w:rPr>
                <w:sz w:val="22"/>
                <w:szCs w:val="22"/>
              </w:rPr>
            </w:pPr>
            <w:r w:rsidRPr="00F54D8E">
              <w:rPr>
                <w:sz w:val="22"/>
                <w:szCs w:val="22"/>
              </w:rPr>
              <w:t>Dėl 9</w:t>
            </w:r>
            <w:r w:rsidRPr="00F54D8E">
              <w:rPr>
                <w:sz w:val="22"/>
                <w:szCs w:val="22"/>
                <w:vertAlign w:val="superscript"/>
              </w:rPr>
              <w:t xml:space="preserve">1 </w:t>
            </w:r>
            <w:r w:rsidRPr="00F54D8E">
              <w:rPr>
                <w:sz w:val="22"/>
                <w:szCs w:val="22"/>
              </w:rPr>
              <w:t xml:space="preserve">straipsnio 10 dalies naikinimo. Siūlytina palikti, kad tais atvejais, kai savivaldybės taryba priima sprendimą, </w:t>
            </w:r>
            <w:r w:rsidRPr="00F54D8E">
              <w:rPr>
                <w:b/>
                <w:bCs/>
                <w:sz w:val="22"/>
                <w:szCs w:val="22"/>
                <w:u w:val="single"/>
              </w:rPr>
              <w:t>kad savivaldybės administracija valdys parką, tokiu atveju jos valdymo veikla turėtų apsiriboti tik žemės sklypų nuomos organizavimu.</w:t>
            </w:r>
            <w:r w:rsidRPr="00F54D8E">
              <w:rPr>
                <w:sz w:val="22"/>
                <w:szCs w:val="22"/>
              </w:rPr>
              <w:t xml:space="preserve"> Tai gali būti aktualu mažesnio dydžio pramonės parkams, kai privačiam verslui nėra komercinio intereso valdyti vieną ar du sklypus. Taip pat gali būti aktualu, jei operatoriaus konkursai neįvyksta ar operatorius bankrutuoja, o pradinės investicijos į parko išvystymą jau padarytos ir tokiu atveju nebus aišku, kaip valdyti tokį parką.</w:t>
            </w:r>
          </w:p>
        </w:tc>
        <w:tc>
          <w:tcPr>
            <w:tcW w:w="6095" w:type="dxa"/>
            <w:tcBorders>
              <w:top w:val="single" w:sz="4" w:space="0" w:color="auto"/>
              <w:left w:val="single" w:sz="4" w:space="0" w:color="000000"/>
              <w:bottom w:val="single" w:sz="4" w:space="0" w:color="auto"/>
              <w:right w:val="single" w:sz="4" w:space="0" w:color="000000"/>
            </w:tcBorders>
          </w:tcPr>
          <w:p w:rsidR="00F54D8E" w:rsidRDefault="00F54D8E" w:rsidP="008C7C9A">
            <w:pPr>
              <w:jc w:val="both"/>
              <w:rPr>
                <w:b/>
                <w:sz w:val="22"/>
                <w:szCs w:val="22"/>
              </w:rPr>
            </w:pPr>
            <w:r>
              <w:rPr>
                <w:b/>
                <w:sz w:val="22"/>
                <w:szCs w:val="22"/>
              </w:rPr>
              <w:t>Neatsižvelgta.</w:t>
            </w:r>
          </w:p>
          <w:p w:rsidR="00F54D8E" w:rsidRPr="00F54D8E" w:rsidRDefault="00F54D8E" w:rsidP="00F54D8E">
            <w:pPr>
              <w:pStyle w:val="Komentarotekstas"/>
              <w:jc w:val="both"/>
              <w:rPr>
                <w:sz w:val="22"/>
                <w:szCs w:val="22"/>
              </w:rPr>
            </w:pPr>
            <w:r>
              <w:rPr>
                <w:sz w:val="22"/>
                <w:szCs w:val="22"/>
              </w:rPr>
              <w:t>P</w:t>
            </w:r>
            <w:r w:rsidRPr="00F54D8E">
              <w:rPr>
                <w:sz w:val="22"/>
                <w:szCs w:val="22"/>
              </w:rPr>
              <w:t xml:space="preserve">astaboje yra paaiškinama, kokiais atvejais savivaldybės taryba gali priimti tokį sprendimą ir kaip apriboti administracijos veiklą, o </w:t>
            </w:r>
            <w:r>
              <w:rPr>
                <w:sz w:val="22"/>
                <w:szCs w:val="22"/>
              </w:rPr>
              <w:t xml:space="preserve">minėtame </w:t>
            </w:r>
            <w:r w:rsidRPr="00F54D8E">
              <w:rPr>
                <w:sz w:val="22"/>
                <w:szCs w:val="22"/>
              </w:rPr>
              <w:t>punkte tokios informacijos nėra</w:t>
            </w:r>
            <w:r>
              <w:rPr>
                <w:sz w:val="22"/>
                <w:szCs w:val="22"/>
              </w:rPr>
              <w:t>.</w:t>
            </w:r>
          </w:p>
          <w:p w:rsidR="00F54D8E" w:rsidRPr="00F54D8E" w:rsidRDefault="00F54D8E" w:rsidP="00F54D8E">
            <w:pPr>
              <w:pStyle w:val="Komentarotekstas"/>
              <w:jc w:val="both"/>
            </w:pPr>
            <w:r>
              <w:rPr>
                <w:sz w:val="22"/>
                <w:szCs w:val="22"/>
              </w:rPr>
              <w:t>Įstatymo</w:t>
            </w:r>
            <w:r w:rsidRPr="00F54D8E">
              <w:rPr>
                <w:sz w:val="22"/>
                <w:szCs w:val="22"/>
              </w:rPr>
              <w:t xml:space="preserve"> 5 p. </w:t>
            </w:r>
            <w:r>
              <w:rPr>
                <w:sz w:val="22"/>
                <w:szCs w:val="22"/>
              </w:rPr>
              <w:t>siūloma nurodyti,</w:t>
            </w:r>
            <w:r w:rsidRPr="00F54D8E">
              <w:rPr>
                <w:sz w:val="22"/>
                <w:szCs w:val="22"/>
              </w:rPr>
              <w:t xml:space="preserve"> kad „Kol pramonės parko operatorius neatrinktas, už pramonės parko veiklos organizavimą yra atsakinga savivaldybės administracija“ – manome, šios nuostatos pakanka leisti administracijai valdyti parką laikinai.</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F135D6" w:rsidRDefault="008C7C9A" w:rsidP="008C7C9A">
            <w:pPr>
              <w:rPr>
                <w:b/>
                <w:sz w:val="22"/>
                <w:szCs w:val="22"/>
              </w:rPr>
            </w:pPr>
            <w:bookmarkStart w:id="0" w:name="_GoBack"/>
            <w:bookmarkEnd w:id="0"/>
            <w:r w:rsidRPr="00F135D6">
              <w:rPr>
                <w:b/>
                <w:sz w:val="22"/>
                <w:szCs w:val="22"/>
              </w:rPr>
              <w:t>2. Teisingumo ministerija</w:t>
            </w:r>
          </w:p>
        </w:tc>
      </w:tr>
      <w:tr w:rsidR="00066AA4" w:rsidRPr="009D11E4" w:rsidTr="00EE42E3">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66AA4" w:rsidRPr="00962F42" w:rsidRDefault="00066AA4" w:rsidP="00176373">
            <w:pPr>
              <w:rPr>
                <w:sz w:val="22"/>
                <w:szCs w:val="22"/>
              </w:rPr>
            </w:pPr>
            <w:r>
              <w:rPr>
                <w:sz w:val="22"/>
                <w:szCs w:val="22"/>
              </w:rPr>
              <w:t>2.1</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066AA4" w:rsidRPr="00962F42" w:rsidRDefault="00305146" w:rsidP="00305146">
            <w:pPr>
              <w:pStyle w:val="Pagrindinistekstas"/>
              <w:ind w:firstLine="0"/>
              <w:rPr>
                <w:rFonts w:cs="Times New Roman"/>
                <w:sz w:val="22"/>
                <w:szCs w:val="22"/>
              </w:rPr>
            </w:pPr>
            <w:r w:rsidRPr="00305146">
              <w:rPr>
                <w:rFonts w:cs="Times New Roman"/>
                <w:sz w:val="22"/>
                <w:szCs w:val="22"/>
              </w:rPr>
              <w:t>Atsižvelgiant į tai, kad dėstomame IĮ 91 str. atsisakoma galiojančios nuostatos „Tais atvejais, kai savivaldybės taryba priima sprendimą dėl pramonės parko operatoriaus (savivaldybės administracijos) paskyrimo, pramonės parko operatoriaus veikla, teisės ir pareigos, atsakomybė, sprendimų priėmimas ir kitos sąlygos nustatomos savivaldybės tarybos sprendime“, siūlytina įvertinti baigiamųjų nuostatų IĮ projekte įtvirtinimo poreikį, aptariant pakeitimo taikymą/netaikymą iki IĮ pakeitimo projekto įsigaliojimo savivaldybės tarybos sprendimu paskirtiems pramonės parko operatoriams/sureguliuojant tai, kur (kokiame dokumente/teisės akte) būtų nustatyti minėti aspektai.</w:t>
            </w:r>
          </w:p>
        </w:tc>
        <w:tc>
          <w:tcPr>
            <w:tcW w:w="6095" w:type="dxa"/>
            <w:vMerge w:val="restart"/>
            <w:tcBorders>
              <w:top w:val="single" w:sz="4" w:space="0" w:color="auto"/>
              <w:left w:val="single" w:sz="4" w:space="0" w:color="000000"/>
              <w:right w:val="single" w:sz="4" w:space="0" w:color="000000"/>
            </w:tcBorders>
          </w:tcPr>
          <w:p w:rsidR="008C7C9A" w:rsidRPr="00962F42" w:rsidRDefault="008C7C9A" w:rsidP="008C7C9A">
            <w:pPr>
              <w:jc w:val="both"/>
              <w:rPr>
                <w:b/>
                <w:sz w:val="22"/>
                <w:szCs w:val="22"/>
              </w:rPr>
            </w:pPr>
            <w:r w:rsidRPr="00962F42">
              <w:rPr>
                <w:b/>
                <w:sz w:val="22"/>
                <w:szCs w:val="22"/>
              </w:rPr>
              <w:t>Neatsižvelgta.</w:t>
            </w:r>
          </w:p>
          <w:p w:rsidR="00066AA4" w:rsidRPr="00962F42" w:rsidRDefault="00305146" w:rsidP="00EE42E3">
            <w:pPr>
              <w:jc w:val="both"/>
              <w:rPr>
                <w:sz w:val="22"/>
                <w:szCs w:val="22"/>
              </w:rPr>
            </w:pPr>
            <w:r w:rsidRPr="00305146">
              <w:rPr>
                <w:sz w:val="22"/>
                <w:szCs w:val="22"/>
              </w:rPr>
              <w:t xml:space="preserve">Atsižvelgiant į Strateginio valdymo įstatymo įsigaliojimo terminus (nuo 2021 m. sausio 1 d.), įskaitant ir tai, kad atskiros Strateginio valdymo įstatymo nuostatos įsigalioja nuo 2022 m. sausio 1 </w:t>
            </w:r>
            <w:proofErr w:type="spellStart"/>
            <w:r w:rsidRPr="00305146">
              <w:rPr>
                <w:sz w:val="22"/>
                <w:szCs w:val="22"/>
              </w:rPr>
              <w:t>d.,visi</w:t>
            </w:r>
            <w:proofErr w:type="spellEnd"/>
            <w:r w:rsidRPr="00305146">
              <w:rPr>
                <w:sz w:val="22"/>
                <w:szCs w:val="22"/>
              </w:rPr>
              <w:t xml:space="preserve"> sprendimai, susiję su investicijų skatinimu turėtų būti priimami ir įgyvendinami atsižvelgiant į naują valstybės investicijų planavimo ir įgyvendinimo tvarką</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Pr>
                <w:sz w:val="22"/>
                <w:szCs w:val="22"/>
              </w:rPr>
              <w:lastRenderedPageBreak/>
              <w:t>2.2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305146" w:rsidP="00305146">
            <w:pPr>
              <w:pStyle w:val="Pagrindinistekstas"/>
              <w:ind w:firstLine="0"/>
              <w:rPr>
                <w:rFonts w:cs="Times New Roman"/>
                <w:sz w:val="22"/>
                <w:szCs w:val="22"/>
              </w:rPr>
            </w:pPr>
            <w:r w:rsidRPr="00305146">
              <w:rPr>
                <w:rFonts w:cs="Times New Roman"/>
                <w:sz w:val="22"/>
                <w:szCs w:val="22"/>
              </w:rPr>
              <w:t>Poreikis įtvirtinti baigiamąsias nuostatas IĮ pakeitimo projekte galimas ir dėl keičiamo IĮ 12 str. 2 d. 7 p. nuostatų, kuriomis keičiamas vienas iš pagrindų, kuomet valstybė remia investicijas IĮ 13 str. nustatytais būdais.</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8C7C9A" w:rsidP="001559BA">
            <w:pPr>
              <w:jc w:val="both"/>
              <w:rPr>
                <w:b/>
                <w:sz w:val="22"/>
                <w:szCs w:val="22"/>
              </w:rPr>
            </w:pPr>
            <w:r w:rsidRPr="00962F42">
              <w:rPr>
                <w:b/>
                <w:sz w:val="22"/>
                <w:szCs w:val="22"/>
              </w:rPr>
              <w:t>Neatsižvelgta.</w:t>
            </w:r>
          </w:p>
          <w:p w:rsidR="008C7C9A" w:rsidRPr="00962F42" w:rsidRDefault="00305146" w:rsidP="001559BA">
            <w:pPr>
              <w:jc w:val="both"/>
              <w:rPr>
                <w:sz w:val="22"/>
                <w:szCs w:val="22"/>
              </w:rPr>
            </w:pPr>
            <w:r w:rsidRPr="00305146">
              <w:rPr>
                <w:sz w:val="22"/>
                <w:szCs w:val="22"/>
              </w:rPr>
              <w:t xml:space="preserve">Atsižvelgiant į Strateginio valdymo įstatymo įsigaliojimo terminus (nuo 2021 m. sausio 1 d.), įskaitant ir tai, kad atskiros Strateginio valdymo įstatymo nuostatos įsigalioja nuo 2022 m. sausio 1 </w:t>
            </w:r>
            <w:proofErr w:type="spellStart"/>
            <w:r w:rsidRPr="00305146">
              <w:rPr>
                <w:sz w:val="22"/>
                <w:szCs w:val="22"/>
              </w:rPr>
              <w:t>d.,visi</w:t>
            </w:r>
            <w:proofErr w:type="spellEnd"/>
            <w:r w:rsidRPr="00305146">
              <w:rPr>
                <w:sz w:val="22"/>
                <w:szCs w:val="22"/>
              </w:rPr>
              <w:t xml:space="preserve"> sprendimai, susiję su investicijų skatinimu turėtų būti priimami ir įgyvendinami atsižvelgiant į naują valstybės investicijų planavimo ir įgyvendinimo tvarką</w:t>
            </w:r>
          </w:p>
        </w:tc>
      </w:tr>
      <w:tr w:rsidR="008C7C9A" w:rsidRPr="009D11E4" w:rsidTr="001559B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C7C9A" w:rsidRPr="00962F42" w:rsidRDefault="008C7C9A" w:rsidP="001559BA">
            <w:pPr>
              <w:rPr>
                <w:sz w:val="22"/>
                <w:szCs w:val="22"/>
              </w:rPr>
            </w:pPr>
            <w:r>
              <w:rPr>
                <w:sz w:val="22"/>
                <w:szCs w:val="22"/>
              </w:rPr>
              <w:t>2.3</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8C7C9A" w:rsidRPr="00962F42" w:rsidRDefault="00305146" w:rsidP="00305146">
            <w:pPr>
              <w:pStyle w:val="Pagrindinistekstas"/>
              <w:ind w:firstLine="0"/>
              <w:rPr>
                <w:rFonts w:cs="Times New Roman"/>
                <w:sz w:val="22"/>
                <w:szCs w:val="22"/>
              </w:rPr>
            </w:pPr>
            <w:r w:rsidRPr="00305146">
              <w:rPr>
                <w:rFonts w:cs="Times New Roman"/>
                <w:sz w:val="22"/>
                <w:szCs w:val="22"/>
              </w:rPr>
              <w:t>IĮ pakeitimo projekto 6 str. 1 ir 2 d. siūloma keisti IĮ 13 str. 1 d. 7 ir 9 p., tačiau  IĮ projekto 6 str. 3 d. siūlomas dėstyti nauja redakcija visas IĮ 13 str. Pastebėtina, kad IĮ pakeitimo projektas stokoja reglamentavimo dėl šių atskirų IĮ 13 str. pakeitimų įsigaliojimo tvarkos/terminų (pagal IĮ pakeitimo projekto 7 str. visi šie (pastebėtina, skirtingo turinio) pakeitimai įsigaliotų vienu metu – 2022 m. sausio 1 d.</w:t>
            </w:r>
          </w:p>
        </w:tc>
        <w:tc>
          <w:tcPr>
            <w:tcW w:w="6095" w:type="dxa"/>
            <w:tcBorders>
              <w:top w:val="single" w:sz="4" w:space="0" w:color="auto"/>
              <w:left w:val="single" w:sz="4" w:space="0" w:color="000000"/>
              <w:bottom w:val="single" w:sz="4" w:space="0" w:color="auto"/>
              <w:right w:val="single" w:sz="4" w:space="0" w:color="000000"/>
            </w:tcBorders>
          </w:tcPr>
          <w:p w:rsidR="008C7C9A" w:rsidRPr="00962F42" w:rsidRDefault="00305146" w:rsidP="001559BA">
            <w:pPr>
              <w:jc w:val="both"/>
              <w:rPr>
                <w:b/>
                <w:sz w:val="22"/>
                <w:szCs w:val="22"/>
              </w:rPr>
            </w:pPr>
            <w:r>
              <w:rPr>
                <w:b/>
                <w:sz w:val="22"/>
                <w:szCs w:val="22"/>
              </w:rPr>
              <w:t>A</w:t>
            </w:r>
            <w:r w:rsidR="008C7C9A" w:rsidRPr="00962F42">
              <w:rPr>
                <w:b/>
                <w:sz w:val="22"/>
                <w:szCs w:val="22"/>
              </w:rPr>
              <w:t>tsižvelgta</w:t>
            </w:r>
            <w:r>
              <w:rPr>
                <w:b/>
                <w:sz w:val="22"/>
                <w:szCs w:val="22"/>
              </w:rPr>
              <w:t xml:space="preserve"> iš dalies</w:t>
            </w:r>
            <w:r w:rsidR="008C7C9A" w:rsidRPr="00962F42">
              <w:rPr>
                <w:b/>
                <w:sz w:val="22"/>
                <w:szCs w:val="22"/>
              </w:rPr>
              <w:t>.</w:t>
            </w:r>
          </w:p>
          <w:p w:rsidR="008C7C9A" w:rsidRPr="00962F42" w:rsidRDefault="00305146" w:rsidP="001559BA">
            <w:pPr>
              <w:jc w:val="both"/>
              <w:rPr>
                <w:sz w:val="22"/>
                <w:szCs w:val="22"/>
              </w:rPr>
            </w:pPr>
            <w:r>
              <w:rPr>
                <w:sz w:val="22"/>
                <w:szCs w:val="22"/>
              </w:rPr>
              <w:t>I</w:t>
            </w:r>
            <w:r w:rsidRPr="00305146">
              <w:rPr>
                <w:sz w:val="22"/>
                <w:szCs w:val="22"/>
              </w:rPr>
              <w:t xml:space="preserve">štaisyta </w:t>
            </w:r>
            <w:r>
              <w:rPr>
                <w:sz w:val="22"/>
                <w:szCs w:val="22"/>
              </w:rPr>
              <w:t>t</w:t>
            </w:r>
            <w:r w:rsidRPr="00305146">
              <w:rPr>
                <w:sz w:val="22"/>
                <w:szCs w:val="22"/>
              </w:rPr>
              <w:t xml:space="preserve">echninė klaida, patikslinant Investicijų įstatymo 13 straipsnio pakeitimą. Manome, kad nėra poreikio numatyti skirtingus šio straipsnio įsigaliojimo terminus, kadangi siūlomi pakeitimai yra susiję su teisiniu reglamentavimu, kuris yra įsigaliojęs ir taikomas investicijų skatinimui nuo 2021 metų.  </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03" w:rsidRDefault="00F90A03" w:rsidP="009D11E4">
      <w:r>
        <w:separator/>
      </w:r>
    </w:p>
  </w:endnote>
  <w:endnote w:type="continuationSeparator" w:id="0">
    <w:p w:rsidR="00F90A03" w:rsidRDefault="00F90A0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03" w:rsidRDefault="00F90A03" w:rsidP="009D11E4">
      <w:r>
        <w:separator/>
      </w:r>
    </w:p>
  </w:footnote>
  <w:footnote w:type="continuationSeparator" w:id="0">
    <w:p w:rsidR="00F90A03" w:rsidRDefault="00F90A0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7128"/>
    <w:rsid w:val="0004070B"/>
    <w:rsid w:val="0004661F"/>
    <w:rsid w:val="0006571B"/>
    <w:rsid w:val="00066AA4"/>
    <w:rsid w:val="000758A0"/>
    <w:rsid w:val="00083EFD"/>
    <w:rsid w:val="00094DE9"/>
    <w:rsid w:val="000A30F5"/>
    <w:rsid w:val="000B25FC"/>
    <w:rsid w:val="000C1F90"/>
    <w:rsid w:val="000D00E3"/>
    <w:rsid w:val="000D20A2"/>
    <w:rsid w:val="000F207D"/>
    <w:rsid w:val="001021D1"/>
    <w:rsid w:val="001259DC"/>
    <w:rsid w:val="00125E6D"/>
    <w:rsid w:val="00134FE5"/>
    <w:rsid w:val="0014383C"/>
    <w:rsid w:val="00157EE8"/>
    <w:rsid w:val="00162A41"/>
    <w:rsid w:val="00170E23"/>
    <w:rsid w:val="00176373"/>
    <w:rsid w:val="001A05BB"/>
    <w:rsid w:val="001A20CF"/>
    <w:rsid w:val="001A7876"/>
    <w:rsid w:val="001C17F0"/>
    <w:rsid w:val="001D5357"/>
    <w:rsid w:val="0022451E"/>
    <w:rsid w:val="002472B3"/>
    <w:rsid w:val="00270FCC"/>
    <w:rsid w:val="002A00ED"/>
    <w:rsid w:val="002A12D5"/>
    <w:rsid w:val="002B6AC8"/>
    <w:rsid w:val="002D51AE"/>
    <w:rsid w:val="002E1166"/>
    <w:rsid w:val="002E4270"/>
    <w:rsid w:val="00305146"/>
    <w:rsid w:val="00320CF4"/>
    <w:rsid w:val="00324FB4"/>
    <w:rsid w:val="00326990"/>
    <w:rsid w:val="00351044"/>
    <w:rsid w:val="003542CD"/>
    <w:rsid w:val="00357494"/>
    <w:rsid w:val="00362DBA"/>
    <w:rsid w:val="00366F30"/>
    <w:rsid w:val="00374698"/>
    <w:rsid w:val="003A29F0"/>
    <w:rsid w:val="003B11DF"/>
    <w:rsid w:val="003B4BCA"/>
    <w:rsid w:val="003C0189"/>
    <w:rsid w:val="003C71F8"/>
    <w:rsid w:val="003D72A7"/>
    <w:rsid w:val="003E04C2"/>
    <w:rsid w:val="003F039C"/>
    <w:rsid w:val="003F7326"/>
    <w:rsid w:val="003F7B46"/>
    <w:rsid w:val="00433E52"/>
    <w:rsid w:val="00445C20"/>
    <w:rsid w:val="00460FE9"/>
    <w:rsid w:val="00472155"/>
    <w:rsid w:val="00476C5B"/>
    <w:rsid w:val="004C7EE0"/>
    <w:rsid w:val="004E3272"/>
    <w:rsid w:val="00576001"/>
    <w:rsid w:val="0058586D"/>
    <w:rsid w:val="00590251"/>
    <w:rsid w:val="00593CF4"/>
    <w:rsid w:val="005A369B"/>
    <w:rsid w:val="005A7B9E"/>
    <w:rsid w:val="005B7EA1"/>
    <w:rsid w:val="005E66BE"/>
    <w:rsid w:val="00601A59"/>
    <w:rsid w:val="00607A99"/>
    <w:rsid w:val="0061331E"/>
    <w:rsid w:val="00613F3D"/>
    <w:rsid w:val="00615F89"/>
    <w:rsid w:val="00644C8F"/>
    <w:rsid w:val="00666402"/>
    <w:rsid w:val="00692D12"/>
    <w:rsid w:val="00695328"/>
    <w:rsid w:val="006A114F"/>
    <w:rsid w:val="006A2EFB"/>
    <w:rsid w:val="006A4DB9"/>
    <w:rsid w:val="006A6B8B"/>
    <w:rsid w:val="006C2485"/>
    <w:rsid w:val="006C3CFC"/>
    <w:rsid w:val="006F798F"/>
    <w:rsid w:val="007102B2"/>
    <w:rsid w:val="00720F1F"/>
    <w:rsid w:val="00723D46"/>
    <w:rsid w:val="00726349"/>
    <w:rsid w:val="00732DA6"/>
    <w:rsid w:val="00744190"/>
    <w:rsid w:val="00753A4C"/>
    <w:rsid w:val="00776F25"/>
    <w:rsid w:val="00781BCF"/>
    <w:rsid w:val="007A261A"/>
    <w:rsid w:val="007A77A4"/>
    <w:rsid w:val="007B100F"/>
    <w:rsid w:val="007B2E14"/>
    <w:rsid w:val="007F123A"/>
    <w:rsid w:val="008248C8"/>
    <w:rsid w:val="00841113"/>
    <w:rsid w:val="00843076"/>
    <w:rsid w:val="00850540"/>
    <w:rsid w:val="00887BCE"/>
    <w:rsid w:val="008C17C1"/>
    <w:rsid w:val="008C7C9A"/>
    <w:rsid w:val="008D0B06"/>
    <w:rsid w:val="008E3DE1"/>
    <w:rsid w:val="008F66EE"/>
    <w:rsid w:val="009175BC"/>
    <w:rsid w:val="009202FC"/>
    <w:rsid w:val="00953C64"/>
    <w:rsid w:val="009546DE"/>
    <w:rsid w:val="0096087B"/>
    <w:rsid w:val="00962F42"/>
    <w:rsid w:val="00966848"/>
    <w:rsid w:val="009777AA"/>
    <w:rsid w:val="00980578"/>
    <w:rsid w:val="009A545F"/>
    <w:rsid w:val="009D11E4"/>
    <w:rsid w:val="009F64DD"/>
    <w:rsid w:val="00A0064F"/>
    <w:rsid w:val="00A04D40"/>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2BFC"/>
    <w:rsid w:val="00B34AA6"/>
    <w:rsid w:val="00B509B9"/>
    <w:rsid w:val="00B629E9"/>
    <w:rsid w:val="00B64DC9"/>
    <w:rsid w:val="00B661CF"/>
    <w:rsid w:val="00B73A3B"/>
    <w:rsid w:val="00B759F5"/>
    <w:rsid w:val="00B94ADC"/>
    <w:rsid w:val="00BB33C2"/>
    <w:rsid w:val="00BC2E1C"/>
    <w:rsid w:val="00BD040E"/>
    <w:rsid w:val="00BE23CD"/>
    <w:rsid w:val="00BE568D"/>
    <w:rsid w:val="00BE68AF"/>
    <w:rsid w:val="00BF2FA8"/>
    <w:rsid w:val="00BF465C"/>
    <w:rsid w:val="00C105C2"/>
    <w:rsid w:val="00C121F1"/>
    <w:rsid w:val="00C34044"/>
    <w:rsid w:val="00C4026C"/>
    <w:rsid w:val="00C45D8D"/>
    <w:rsid w:val="00C60A92"/>
    <w:rsid w:val="00C60EA1"/>
    <w:rsid w:val="00C61366"/>
    <w:rsid w:val="00C678FA"/>
    <w:rsid w:val="00C72A95"/>
    <w:rsid w:val="00C813D5"/>
    <w:rsid w:val="00C86800"/>
    <w:rsid w:val="00C94612"/>
    <w:rsid w:val="00CC437A"/>
    <w:rsid w:val="00CD1AF2"/>
    <w:rsid w:val="00CE6614"/>
    <w:rsid w:val="00CF717E"/>
    <w:rsid w:val="00D02B96"/>
    <w:rsid w:val="00D0486C"/>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97576"/>
    <w:rsid w:val="00DB56F2"/>
    <w:rsid w:val="00DD5AB1"/>
    <w:rsid w:val="00DE0D6D"/>
    <w:rsid w:val="00DF7B72"/>
    <w:rsid w:val="00E01F77"/>
    <w:rsid w:val="00E3248C"/>
    <w:rsid w:val="00E34709"/>
    <w:rsid w:val="00E357B4"/>
    <w:rsid w:val="00E515AF"/>
    <w:rsid w:val="00E66854"/>
    <w:rsid w:val="00E87ACE"/>
    <w:rsid w:val="00E91538"/>
    <w:rsid w:val="00EE42E3"/>
    <w:rsid w:val="00F135D6"/>
    <w:rsid w:val="00F21C92"/>
    <w:rsid w:val="00F368EB"/>
    <w:rsid w:val="00F41EFA"/>
    <w:rsid w:val="00F52358"/>
    <w:rsid w:val="00F54D8E"/>
    <w:rsid w:val="00F90A03"/>
    <w:rsid w:val="00FB0666"/>
    <w:rsid w:val="00FB5F29"/>
    <w:rsid w:val="00FE1FCB"/>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unhideWhenUsed/>
    <w:rsid w:val="003F039C"/>
    <w:rPr>
      <w:sz w:val="20"/>
      <w:szCs w:val="20"/>
    </w:rPr>
  </w:style>
  <w:style w:type="character" w:customStyle="1" w:styleId="KomentarotekstasDiagrama">
    <w:name w:val="Komentaro tekstas Diagrama"/>
    <w:basedOn w:val="Numatytasispastraiposriftas"/>
    <w:link w:val="Komentarotekstas"/>
    <w:uiPriority w:val="99"/>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9CC9-7AE9-44A7-B8CE-FD39B403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5950</Words>
  <Characters>3393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13</cp:revision>
  <dcterms:created xsi:type="dcterms:W3CDTF">2021-09-15T15:49:00Z</dcterms:created>
  <dcterms:modified xsi:type="dcterms:W3CDTF">2021-09-29T14:59:00Z</dcterms:modified>
</cp:coreProperties>
</file>